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BEFF" w14:textId="4FAC906A" w:rsidR="007A3289" w:rsidRPr="007A3289" w:rsidRDefault="007A3289" w:rsidP="007A3289">
      <w:pPr>
        <w:pStyle w:val="PargrafodaLista"/>
        <w:tabs>
          <w:tab w:val="left" w:pos="284"/>
        </w:tabs>
        <w:spacing w:line="360" w:lineRule="auto"/>
        <w:ind w:left="0"/>
        <w:jc w:val="both"/>
        <w:outlineLvl w:val="0"/>
        <w:rPr>
          <w:rFonts w:ascii="Arial" w:hAnsi="Arial"/>
          <w:b/>
          <w:bCs/>
          <w:sz w:val="24"/>
        </w:rPr>
      </w:pPr>
      <w:bookmarkStart w:id="0" w:name="_Toc113313984"/>
      <w:r>
        <w:rPr>
          <w:rFonts w:ascii="Arial" w:hAnsi="Arial"/>
          <w:b/>
          <w:bCs/>
          <w:sz w:val="24"/>
        </w:rPr>
        <w:t>BREVES CONSIDER</w:t>
      </w:r>
      <w:r w:rsidRPr="007A3289">
        <w:rPr>
          <w:rFonts w:ascii="Arial" w:hAnsi="Arial"/>
          <w:b/>
          <w:bCs/>
          <w:sz w:val="24"/>
        </w:rPr>
        <w:t xml:space="preserve">AÇOES SOBRE </w:t>
      </w:r>
      <w:r>
        <w:rPr>
          <w:rFonts w:ascii="Arial" w:hAnsi="Arial"/>
          <w:b/>
          <w:bCs/>
          <w:sz w:val="24"/>
        </w:rPr>
        <w:t xml:space="preserve">O </w:t>
      </w:r>
      <w:r w:rsidRPr="007A3289">
        <w:rPr>
          <w:rFonts w:ascii="Arial" w:hAnsi="Arial"/>
          <w:b/>
          <w:bCs/>
          <w:sz w:val="24"/>
        </w:rPr>
        <w:t xml:space="preserve">ACORDO DE NÃO </w:t>
      </w:r>
      <w:r>
        <w:rPr>
          <w:rFonts w:ascii="Arial" w:hAnsi="Arial"/>
          <w:b/>
          <w:bCs/>
          <w:sz w:val="24"/>
        </w:rPr>
        <w:t xml:space="preserve">PERSECUSSÃO </w:t>
      </w:r>
      <w:r w:rsidRPr="007A3289">
        <w:rPr>
          <w:rFonts w:ascii="Arial" w:hAnsi="Arial"/>
          <w:b/>
          <w:bCs/>
          <w:sz w:val="24"/>
        </w:rPr>
        <w:t>PENAL</w:t>
      </w:r>
      <w:bookmarkEnd w:id="0"/>
      <w:r w:rsidRPr="007A3289">
        <w:rPr>
          <w:rFonts w:ascii="Arial" w:hAnsi="Arial"/>
          <w:b/>
          <w:bCs/>
          <w:sz w:val="24"/>
        </w:rPr>
        <w:t xml:space="preserve"> </w:t>
      </w:r>
      <w:r>
        <w:rPr>
          <w:rFonts w:ascii="Arial" w:hAnsi="Arial"/>
          <w:b/>
          <w:bCs/>
          <w:sz w:val="24"/>
        </w:rPr>
        <w:t>NO BRASIL</w:t>
      </w:r>
    </w:p>
    <w:p w14:paraId="552A3351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 w:rsidRPr="007321D5">
        <w:rPr>
          <w:rFonts w:ascii="Arial" w:hAnsi="Arial"/>
          <w:sz w:val="24"/>
        </w:rPr>
        <w:t>As políticas de desencarceramento e</w:t>
      </w:r>
      <w:r>
        <w:rPr>
          <w:rFonts w:ascii="Arial" w:hAnsi="Arial"/>
          <w:sz w:val="24"/>
        </w:rPr>
        <w:t xml:space="preserve"> negociação criminal vem sendo introduzidas gradativamente no ordenamento brasileiro desde a década de 1990, quando em atendimento ao comando constitucional da celeridade processual e criaçã</w:t>
      </w:r>
      <w:r w:rsidRPr="007215FD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 xml:space="preserve"> de</w:t>
      </w:r>
      <w:r w:rsidRPr="007215FD">
        <w:rPr>
          <w:rFonts w:ascii="Arial" w:hAnsi="Arial"/>
          <w:sz w:val="24"/>
        </w:rPr>
        <w:t xml:space="preserve"> juizados especiais, providos por ju</w:t>
      </w:r>
      <w:r>
        <w:rPr>
          <w:rFonts w:ascii="Arial" w:hAnsi="Arial"/>
          <w:sz w:val="24"/>
        </w:rPr>
        <w:t>í</w:t>
      </w:r>
      <w:r w:rsidRPr="007215FD">
        <w:rPr>
          <w:rFonts w:ascii="Arial" w:hAnsi="Arial"/>
          <w:sz w:val="24"/>
        </w:rPr>
        <w:t>zes togados, ou togados e leigos, competentes para a conciliação</w:t>
      </w:r>
      <w:r>
        <w:rPr>
          <w:rFonts w:ascii="Arial" w:hAnsi="Arial"/>
          <w:sz w:val="24"/>
        </w:rPr>
        <w:t xml:space="preserve"> e</w:t>
      </w:r>
      <w:r w:rsidRPr="007215FD">
        <w:rPr>
          <w:rFonts w:ascii="Arial" w:hAnsi="Arial"/>
          <w:sz w:val="24"/>
        </w:rPr>
        <w:t xml:space="preserve"> julgamento </w:t>
      </w:r>
      <w:r>
        <w:rPr>
          <w:rFonts w:ascii="Arial" w:hAnsi="Arial"/>
          <w:sz w:val="24"/>
        </w:rPr>
        <w:t>d</w:t>
      </w:r>
      <w:r w:rsidRPr="007215FD">
        <w:rPr>
          <w:rFonts w:ascii="Arial" w:hAnsi="Arial"/>
          <w:sz w:val="24"/>
        </w:rPr>
        <w:t>e infrações penais de menor potencial ofensivo, mediante os procedimentos oral e sumaríssimo</w:t>
      </w:r>
      <w:r>
        <w:rPr>
          <w:rFonts w:ascii="Arial" w:hAnsi="Arial"/>
          <w:sz w:val="24"/>
        </w:rPr>
        <w:t>, parlamentarem aprovaram a Lei 9.099 em 1995.</w:t>
      </w:r>
    </w:p>
    <w:p w14:paraId="4EFF91C0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 w:rsidRPr="006C583F">
        <w:rPr>
          <w:rFonts w:ascii="Arial" w:hAnsi="Arial"/>
          <w:sz w:val="24"/>
        </w:rPr>
        <w:t xml:space="preserve">A Lei n. 9.099/95 instituiu três </w:t>
      </w:r>
      <w:r>
        <w:rPr>
          <w:rFonts w:ascii="Arial" w:hAnsi="Arial"/>
          <w:sz w:val="24"/>
        </w:rPr>
        <w:t>inovações</w:t>
      </w:r>
      <w:r w:rsidRPr="006C583F">
        <w:rPr>
          <w:rFonts w:ascii="Arial" w:hAnsi="Arial"/>
          <w:sz w:val="24"/>
        </w:rPr>
        <w:t xml:space="preserve"> de natureza </w:t>
      </w:r>
      <w:r>
        <w:rPr>
          <w:rFonts w:ascii="Arial" w:hAnsi="Arial"/>
          <w:sz w:val="24"/>
        </w:rPr>
        <w:t>transacion</w:t>
      </w:r>
      <w:r w:rsidRPr="006C583F">
        <w:rPr>
          <w:rFonts w:ascii="Arial" w:hAnsi="Arial"/>
          <w:sz w:val="24"/>
        </w:rPr>
        <w:t>al</w:t>
      </w:r>
      <w:r>
        <w:rPr>
          <w:rFonts w:ascii="Arial" w:hAnsi="Arial"/>
          <w:sz w:val="24"/>
        </w:rPr>
        <w:t>, a saber</w:t>
      </w:r>
      <w:r w:rsidRPr="006C583F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 w:rsidRPr="002B759B">
        <w:rPr>
          <w:rFonts w:ascii="Arial" w:hAnsi="Arial"/>
          <w:b/>
          <w:bCs/>
          <w:sz w:val="24"/>
        </w:rPr>
        <w:t>1)</w:t>
      </w:r>
      <w:r>
        <w:rPr>
          <w:rFonts w:ascii="Arial" w:hAnsi="Arial"/>
          <w:sz w:val="24"/>
        </w:rPr>
        <w:t xml:space="preserve"> </w:t>
      </w:r>
      <w:r w:rsidRPr="002B759B">
        <w:rPr>
          <w:rFonts w:ascii="Arial" w:hAnsi="Arial"/>
          <w:sz w:val="24"/>
        </w:rPr>
        <w:t>composição dos danos civis</w:t>
      </w:r>
      <w:r>
        <w:rPr>
          <w:rFonts w:ascii="Arial" w:hAnsi="Arial"/>
          <w:sz w:val="24"/>
        </w:rPr>
        <w:t>;</w:t>
      </w:r>
      <w:r w:rsidRPr="002B759B">
        <w:rPr>
          <w:rFonts w:ascii="Arial" w:hAnsi="Arial"/>
          <w:sz w:val="24"/>
        </w:rPr>
        <w:t xml:space="preserve"> </w:t>
      </w:r>
      <w:r w:rsidRPr="002B759B">
        <w:rPr>
          <w:rFonts w:ascii="Arial" w:hAnsi="Arial"/>
          <w:b/>
          <w:bCs/>
          <w:sz w:val="24"/>
        </w:rPr>
        <w:t>2)</w:t>
      </w:r>
      <w:r w:rsidRPr="002B759B">
        <w:rPr>
          <w:rFonts w:ascii="Arial" w:hAnsi="Arial"/>
          <w:sz w:val="24"/>
        </w:rPr>
        <w:t xml:space="preserve"> transação penal</w:t>
      </w:r>
      <w:r>
        <w:rPr>
          <w:rFonts w:ascii="Arial" w:hAnsi="Arial"/>
          <w:sz w:val="24"/>
        </w:rPr>
        <w:t xml:space="preserve">; </w:t>
      </w:r>
      <w:r w:rsidRPr="002B759B">
        <w:rPr>
          <w:rFonts w:ascii="Arial" w:hAnsi="Arial"/>
          <w:sz w:val="24"/>
        </w:rPr>
        <w:t xml:space="preserve">e </w:t>
      </w:r>
      <w:r w:rsidRPr="002B759B">
        <w:rPr>
          <w:rFonts w:ascii="Arial" w:hAnsi="Arial"/>
          <w:b/>
          <w:bCs/>
          <w:sz w:val="24"/>
        </w:rPr>
        <w:t>3)</w:t>
      </w:r>
      <w:r>
        <w:rPr>
          <w:rFonts w:ascii="Arial" w:hAnsi="Arial"/>
          <w:sz w:val="24"/>
        </w:rPr>
        <w:t xml:space="preserve"> </w:t>
      </w:r>
      <w:r w:rsidRPr="002B759B">
        <w:rPr>
          <w:rFonts w:ascii="Arial" w:hAnsi="Arial"/>
          <w:sz w:val="24"/>
        </w:rPr>
        <w:t xml:space="preserve">suspensão condicional do processo, também conhecida como </w:t>
      </w:r>
      <w:r w:rsidRPr="002B759B">
        <w:rPr>
          <w:rFonts w:ascii="Arial" w:hAnsi="Arial"/>
          <w:i/>
          <w:iCs/>
          <w:sz w:val="24"/>
        </w:rPr>
        <w:t>sursis</w:t>
      </w:r>
      <w:r w:rsidRPr="002B759B">
        <w:rPr>
          <w:rFonts w:ascii="Arial" w:hAnsi="Arial"/>
          <w:sz w:val="24"/>
        </w:rPr>
        <w:t xml:space="preserve"> processual.</w:t>
      </w:r>
    </w:p>
    <w:p w14:paraId="3D875F19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Pr="00A96424">
        <w:rPr>
          <w:rFonts w:ascii="Arial" w:hAnsi="Arial"/>
          <w:sz w:val="24"/>
        </w:rPr>
        <w:t xml:space="preserve"> transação penal está prevista na </w:t>
      </w:r>
      <w:r>
        <w:rPr>
          <w:rFonts w:ascii="Arial" w:hAnsi="Arial"/>
          <w:sz w:val="24"/>
        </w:rPr>
        <w:t xml:space="preserve">referida lei </w:t>
      </w:r>
      <w:r w:rsidRPr="00A96424">
        <w:rPr>
          <w:rFonts w:ascii="Arial" w:hAnsi="Arial"/>
          <w:sz w:val="24"/>
        </w:rPr>
        <w:t xml:space="preserve">no art. 76 </w:t>
      </w:r>
      <w:r>
        <w:rPr>
          <w:rFonts w:ascii="Arial" w:hAnsi="Arial"/>
          <w:sz w:val="24"/>
        </w:rPr>
        <w:t xml:space="preserve">e </w:t>
      </w:r>
      <w:r w:rsidRPr="00A96424">
        <w:rPr>
          <w:rFonts w:ascii="Arial" w:hAnsi="Arial"/>
          <w:sz w:val="24"/>
        </w:rPr>
        <w:t>diz respeito a um</w:t>
      </w:r>
      <w:r>
        <w:rPr>
          <w:rFonts w:ascii="Arial" w:hAnsi="Arial"/>
          <w:sz w:val="24"/>
        </w:rPr>
        <w:t>a forma</w:t>
      </w:r>
      <w:r w:rsidRPr="00A96424">
        <w:rPr>
          <w:rFonts w:ascii="Arial" w:hAnsi="Arial"/>
          <w:sz w:val="24"/>
        </w:rPr>
        <w:t xml:space="preserve"> de abreviação do processo através de um acordo </w:t>
      </w:r>
      <w:r>
        <w:rPr>
          <w:rFonts w:ascii="Arial" w:hAnsi="Arial"/>
          <w:sz w:val="24"/>
        </w:rPr>
        <w:t>entre o acusado e o Ministério Público, onde ocorre a</w:t>
      </w:r>
      <w:r w:rsidRPr="00A96424">
        <w:rPr>
          <w:rFonts w:ascii="Arial" w:hAnsi="Arial"/>
          <w:sz w:val="24"/>
        </w:rPr>
        <w:t xml:space="preserve"> aplicação imediata de pena restritiva de direitos ou multa. Este acordo pode </w:t>
      </w:r>
      <w:r>
        <w:rPr>
          <w:rFonts w:ascii="Arial" w:hAnsi="Arial"/>
          <w:sz w:val="24"/>
        </w:rPr>
        <w:t>acontece</w:t>
      </w:r>
      <w:r w:rsidRPr="00A96424">
        <w:rPr>
          <w:rFonts w:ascii="Arial" w:hAnsi="Arial"/>
          <w:sz w:val="24"/>
        </w:rPr>
        <w:t xml:space="preserve"> quando, não sendo caso de arquivamento, houver representação do ofendido ou se tratar de ação penal pública incondicionada. </w:t>
      </w:r>
    </w:p>
    <w:p w14:paraId="0D580E96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 w:rsidRPr="00E52BB5">
        <w:rPr>
          <w:rFonts w:ascii="Arial" w:hAnsi="Arial"/>
          <w:sz w:val="24"/>
        </w:rPr>
        <w:t>A composição dos danos civis, está previsto nos artigos 72 e seguintes da Lei n. 9.099/95 e só pode ser aplicado crimes de ação pública condicionada à representação e ação penal privada</w:t>
      </w:r>
      <w:r>
        <w:rPr>
          <w:rFonts w:ascii="Arial" w:hAnsi="Arial"/>
          <w:sz w:val="24"/>
        </w:rPr>
        <w:t>. Trat</w:t>
      </w:r>
      <w:r w:rsidRPr="00E52BB5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>-se</w:t>
      </w:r>
      <w:r w:rsidRPr="00E52BB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de </w:t>
      </w:r>
      <w:r w:rsidRPr="00E52BB5">
        <w:rPr>
          <w:rFonts w:ascii="Arial" w:hAnsi="Arial"/>
          <w:sz w:val="24"/>
        </w:rPr>
        <w:t xml:space="preserve">proposta de reparação dos prejuízos causados pela infração </w:t>
      </w:r>
      <w:r>
        <w:rPr>
          <w:rFonts w:ascii="Arial" w:hAnsi="Arial"/>
          <w:sz w:val="24"/>
        </w:rPr>
        <w:t xml:space="preserve">diretamente </w:t>
      </w:r>
      <w:r w:rsidRPr="00E52BB5">
        <w:rPr>
          <w:rFonts w:ascii="Arial" w:hAnsi="Arial"/>
          <w:sz w:val="24"/>
        </w:rPr>
        <w:t>à vítima</w:t>
      </w:r>
      <w:r>
        <w:rPr>
          <w:rFonts w:ascii="Arial" w:hAnsi="Arial"/>
          <w:sz w:val="24"/>
        </w:rPr>
        <w:t>, e caso ela</w:t>
      </w:r>
      <w:r w:rsidRPr="00E52BB5">
        <w:rPr>
          <w:rFonts w:ascii="Arial" w:hAnsi="Arial"/>
          <w:sz w:val="24"/>
        </w:rPr>
        <w:t xml:space="preserve"> aceite a proposta formulada pelo autor do fato, a conduta implicará renúncia </w:t>
      </w:r>
      <w:r>
        <w:rPr>
          <w:rFonts w:ascii="Arial" w:hAnsi="Arial"/>
          <w:sz w:val="24"/>
        </w:rPr>
        <w:t>da ação e consequentemente na extinção d</w:t>
      </w:r>
      <w:r w:rsidRPr="00E52BB5">
        <w:rPr>
          <w:rFonts w:ascii="Arial" w:hAnsi="Arial"/>
          <w:sz w:val="24"/>
        </w:rPr>
        <w:t>a punibilidade.</w:t>
      </w:r>
    </w:p>
    <w:p w14:paraId="0634556E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Há também a previsão de</w:t>
      </w:r>
      <w:r w:rsidRPr="00235BD0">
        <w:rPr>
          <w:rFonts w:ascii="Arial" w:hAnsi="Arial"/>
          <w:sz w:val="24"/>
        </w:rPr>
        <w:t xml:space="preserve"> suspensão condicional do processo</w:t>
      </w:r>
      <w:r>
        <w:rPr>
          <w:rFonts w:ascii="Arial" w:hAnsi="Arial"/>
          <w:sz w:val="24"/>
        </w:rPr>
        <w:t xml:space="preserve"> (</w:t>
      </w:r>
      <w:r w:rsidRPr="00235BD0">
        <w:rPr>
          <w:rFonts w:ascii="Arial" w:hAnsi="Arial"/>
          <w:sz w:val="24"/>
        </w:rPr>
        <w:t>art. 89 da referida lei</w:t>
      </w:r>
      <w:r>
        <w:rPr>
          <w:rFonts w:ascii="Arial" w:hAnsi="Arial"/>
          <w:sz w:val="24"/>
        </w:rPr>
        <w:t>) trata da possibilidade d</w:t>
      </w:r>
      <w:r w:rsidRPr="00235BD0">
        <w:rPr>
          <w:rFonts w:ascii="Arial" w:hAnsi="Arial"/>
          <w:sz w:val="24"/>
        </w:rPr>
        <w:t>o Ministério Público, ao oferecer a denúncia, propor a suspensão do processo</w:t>
      </w:r>
      <w:r>
        <w:rPr>
          <w:rFonts w:ascii="Arial" w:hAnsi="Arial"/>
          <w:sz w:val="24"/>
        </w:rPr>
        <w:t>, porém somente pode fazê-lo</w:t>
      </w:r>
      <w:r w:rsidRPr="00235BD0">
        <w:rPr>
          <w:rFonts w:ascii="Arial" w:hAnsi="Arial"/>
          <w:sz w:val="24"/>
        </w:rPr>
        <w:t xml:space="preserve"> nos crimes em que a pena mínima cominada for igual ou inferior a um ano,</w:t>
      </w:r>
      <w:r>
        <w:rPr>
          <w:rFonts w:ascii="Arial" w:hAnsi="Arial"/>
          <w:sz w:val="24"/>
        </w:rPr>
        <w:t xml:space="preserve"> oportunidade em que </w:t>
      </w:r>
      <w:r w:rsidRPr="00235BD0">
        <w:rPr>
          <w:rFonts w:ascii="Arial" w:hAnsi="Arial"/>
          <w:sz w:val="24"/>
        </w:rPr>
        <w:t>submete</w:t>
      </w:r>
      <w:r>
        <w:rPr>
          <w:rFonts w:ascii="Arial" w:hAnsi="Arial"/>
          <w:sz w:val="24"/>
        </w:rPr>
        <w:t>rá</w:t>
      </w:r>
      <w:r w:rsidRPr="00235BD0">
        <w:rPr>
          <w:rFonts w:ascii="Arial" w:hAnsi="Arial"/>
          <w:sz w:val="24"/>
        </w:rPr>
        <w:t xml:space="preserve"> o acusado a período de prova, de acordo com as condições descritas no dispositivo</w:t>
      </w:r>
      <w:r>
        <w:rPr>
          <w:rFonts w:ascii="Arial" w:hAnsi="Arial"/>
          <w:sz w:val="24"/>
        </w:rPr>
        <w:t>.</w:t>
      </w:r>
    </w:p>
    <w:p w14:paraId="20BE14A3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Todos esses mecanismos da referida lei, de certa forma pode-se dizer que formaram o embrião de outras medidas que vieram posteriormente com o intuito de </w:t>
      </w:r>
      <w:r w:rsidRPr="001264A1">
        <w:rPr>
          <w:rFonts w:ascii="Arial" w:hAnsi="Arial"/>
          <w:sz w:val="24"/>
        </w:rPr>
        <w:t>ampl</w:t>
      </w:r>
      <w:r>
        <w:rPr>
          <w:rFonts w:ascii="Arial" w:hAnsi="Arial"/>
          <w:sz w:val="24"/>
        </w:rPr>
        <w:t xml:space="preserve">iar </w:t>
      </w:r>
      <w:r w:rsidRPr="001264A1">
        <w:rPr>
          <w:rFonts w:ascii="Arial" w:hAnsi="Arial"/>
          <w:sz w:val="24"/>
        </w:rPr>
        <w:t>o acesso à Justiça</w:t>
      </w:r>
      <w:r>
        <w:rPr>
          <w:rFonts w:ascii="Arial" w:hAnsi="Arial"/>
          <w:sz w:val="24"/>
        </w:rPr>
        <w:t xml:space="preserve"> e minimizar os efeitos do encarceramento desnecessário.</w:t>
      </w:r>
    </w:p>
    <w:p w14:paraId="372A631E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Neste ponto trazemos a colação interessante observação de </w:t>
      </w:r>
      <w:r w:rsidRPr="00837A86">
        <w:rPr>
          <w:rFonts w:ascii="Arial" w:hAnsi="Arial"/>
          <w:sz w:val="24"/>
        </w:rPr>
        <w:t xml:space="preserve">Alexandre Ayub </w:t>
      </w:r>
      <w:proofErr w:type="spellStart"/>
      <w:r w:rsidRPr="00837A86">
        <w:rPr>
          <w:rFonts w:ascii="Arial" w:hAnsi="Arial"/>
          <w:sz w:val="24"/>
        </w:rPr>
        <w:t>Dargél</w:t>
      </w:r>
      <w:proofErr w:type="spellEnd"/>
      <w:r w:rsidRPr="00837A86">
        <w:rPr>
          <w:rFonts w:ascii="Arial" w:hAnsi="Arial"/>
          <w:sz w:val="24"/>
        </w:rPr>
        <w:t xml:space="preserve"> e Christian </w:t>
      </w:r>
      <w:proofErr w:type="spellStart"/>
      <w:r w:rsidRPr="00837A86">
        <w:rPr>
          <w:rFonts w:ascii="Arial" w:hAnsi="Arial"/>
          <w:sz w:val="24"/>
        </w:rPr>
        <w:t>Corsetti</w:t>
      </w:r>
      <w:proofErr w:type="spellEnd"/>
      <w:r w:rsidRPr="00837A8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que ao analisarem as </w:t>
      </w:r>
      <w:r w:rsidRPr="00C93DDE">
        <w:rPr>
          <w:rFonts w:ascii="Arial" w:hAnsi="Arial"/>
          <w:sz w:val="24"/>
        </w:rPr>
        <w:t>medidas despenalizadoras elencadas na Lei 9.099/95</w:t>
      </w:r>
      <w:r>
        <w:rPr>
          <w:rFonts w:ascii="Arial" w:hAnsi="Arial"/>
          <w:sz w:val="24"/>
        </w:rPr>
        <w:t xml:space="preserve"> em relação ao ACORDO DE NÃO PERSECUÇÃO PENAL.</w:t>
      </w:r>
    </w:p>
    <w:p w14:paraId="70294EB0" w14:textId="77777777" w:rsidR="007A3289" w:rsidRPr="006A6066" w:rsidRDefault="007A3289" w:rsidP="007A3289">
      <w:pPr>
        <w:spacing w:line="360" w:lineRule="auto"/>
        <w:ind w:left="2268"/>
        <w:jc w:val="both"/>
        <w:rPr>
          <w:rFonts w:ascii="Arial" w:hAnsi="Arial"/>
          <w:sz w:val="20"/>
          <w:szCs w:val="18"/>
        </w:rPr>
      </w:pPr>
      <w:r w:rsidRPr="006A6066">
        <w:rPr>
          <w:rFonts w:ascii="Arial" w:hAnsi="Arial"/>
          <w:sz w:val="20"/>
          <w:szCs w:val="18"/>
        </w:rPr>
        <w:t xml:space="preserve">Comparando-se os requisitos para a celebração do </w:t>
      </w:r>
      <w:r>
        <w:rPr>
          <w:rFonts w:ascii="Arial" w:hAnsi="Arial"/>
          <w:sz w:val="20"/>
          <w:szCs w:val="18"/>
        </w:rPr>
        <w:t xml:space="preserve">acordo de não persecução penal </w:t>
      </w:r>
      <w:r w:rsidRPr="006A6066">
        <w:rPr>
          <w:rFonts w:ascii="Arial" w:hAnsi="Arial"/>
          <w:sz w:val="20"/>
          <w:szCs w:val="18"/>
        </w:rPr>
        <w:t xml:space="preserve">com aqueles exigidos nas três medidas despenalizadoras elencadas na Lei 9.099/95, a diferença básica é justamente a necessidade de o investigado confessar formal e circunstancialmente a prática da infração penal. Até porque as condições impostas àqueles que aderem ao </w:t>
      </w:r>
      <w:r>
        <w:rPr>
          <w:rFonts w:ascii="Arial" w:hAnsi="Arial"/>
          <w:sz w:val="20"/>
          <w:szCs w:val="18"/>
        </w:rPr>
        <w:t xml:space="preserve">acordo de não persecução penal </w:t>
      </w:r>
      <w:r w:rsidRPr="006A6066">
        <w:rPr>
          <w:rFonts w:ascii="Arial" w:hAnsi="Arial"/>
          <w:sz w:val="20"/>
          <w:szCs w:val="18"/>
        </w:rPr>
        <w:t xml:space="preserve">são muito semelhantes às previstas na Lei 9.099/95, não havendo, portanto, qualquer justificativa para a criação de um obstáculo aos investigados, quando o propósito da medida é justamente o oposto. </w:t>
      </w:r>
      <w:sdt>
        <w:sdtPr>
          <w:rPr>
            <w:rFonts w:ascii="Arial" w:hAnsi="Arial"/>
            <w:sz w:val="20"/>
            <w:szCs w:val="18"/>
          </w:rPr>
          <w:id w:val="-931041301"/>
          <w:citation/>
        </w:sdtPr>
        <w:sdtContent>
          <w:r w:rsidRPr="006A6066">
            <w:rPr>
              <w:rFonts w:ascii="Arial" w:hAnsi="Arial"/>
              <w:sz w:val="20"/>
              <w:szCs w:val="18"/>
            </w:rPr>
            <w:fldChar w:fldCharType="begin"/>
          </w:r>
          <w:r>
            <w:rPr>
              <w:rFonts w:ascii="Arial" w:hAnsi="Arial"/>
              <w:sz w:val="20"/>
              <w:szCs w:val="18"/>
            </w:rPr>
            <w:instrText xml:space="preserve">CITATION Dar21 \l 1046 </w:instrText>
          </w:r>
          <w:r w:rsidRPr="006A6066">
            <w:rPr>
              <w:rFonts w:ascii="Arial" w:hAnsi="Arial"/>
              <w:sz w:val="20"/>
              <w:szCs w:val="18"/>
            </w:rPr>
            <w:fldChar w:fldCharType="separate"/>
          </w:r>
          <w:r w:rsidRPr="00487FCC">
            <w:rPr>
              <w:rFonts w:ascii="Arial" w:hAnsi="Arial"/>
              <w:noProof/>
              <w:sz w:val="20"/>
              <w:szCs w:val="18"/>
            </w:rPr>
            <w:t>(DARGÉL e CORSETTI, 2021)</w:t>
          </w:r>
          <w:r w:rsidRPr="006A6066">
            <w:rPr>
              <w:rFonts w:ascii="Arial" w:hAnsi="Arial"/>
              <w:sz w:val="20"/>
              <w:szCs w:val="18"/>
            </w:rPr>
            <w:fldChar w:fldCharType="end"/>
          </w:r>
        </w:sdtContent>
      </w:sdt>
      <w:r w:rsidRPr="006A6066">
        <w:rPr>
          <w:rFonts w:ascii="Arial" w:hAnsi="Arial"/>
          <w:sz w:val="20"/>
          <w:szCs w:val="18"/>
        </w:rPr>
        <w:t>.</w:t>
      </w:r>
    </w:p>
    <w:p w14:paraId="7BBC9924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</w:p>
    <w:p w14:paraId="0D4BE6CD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Seguindo, outros são os exemplos de e</w:t>
      </w:r>
      <w:r w:rsidRPr="00880F85">
        <w:rPr>
          <w:rFonts w:ascii="Arial" w:hAnsi="Arial"/>
          <w:sz w:val="24"/>
        </w:rPr>
        <w:t xml:space="preserve">xpansão da </w:t>
      </w:r>
      <w:r>
        <w:rPr>
          <w:rFonts w:ascii="Arial" w:hAnsi="Arial"/>
          <w:sz w:val="24"/>
        </w:rPr>
        <w:t>j</w:t>
      </w:r>
      <w:r w:rsidRPr="00880F85">
        <w:rPr>
          <w:rFonts w:ascii="Arial" w:hAnsi="Arial"/>
          <w:sz w:val="24"/>
        </w:rPr>
        <w:t>ustiça consensual no Brasil</w:t>
      </w:r>
      <w:r>
        <w:rPr>
          <w:rFonts w:ascii="Arial" w:hAnsi="Arial"/>
          <w:sz w:val="24"/>
        </w:rPr>
        <w:t xml:space="preserve"> tais como a </w:t>
      </w:r>
      <w:r w:rsidRPr="00880F85">
        <w:rPr>
          <w:rFonts w:ascii="Arial" w:hAnsi="Arial"/>
          <w:sz w:val="24"/>
        </w:rPr>
        <w:t>colaboração premiada como acordo</w:t>
      </w:r>
      <w:r>
        <w:rPr>
          <w:rFonts w:ascii="Arial" w:hAnsi="Arial"/>
          <w:sz w:val="24"/>
        </w:rPr>
        <w:t xml:space="preserve"> prevista na </w:t>
      </w:r>
      <w:r w:rsidRPr="00880F85">
        <w:rPr>
          <w:rFonts w:ascii="Arial" w:hAnsi="Arial"/>
          <w:sz w:val="24"/>
        </w:rPr>
        <w:t>Lei 9.807/99;</w:t>
      </w:r>
      <w:r>
        <w:rPr>
          <w:rFonts w:ascii="Arial" w:hAnsi="Arial"/>
          <w:sz w:val="24"/>
        </w:rPr>
        <w:t xml:space="preserve"> o </w:t>
      </w:r>
      <w:r w:rsidRPr="00880F85">
        <w:rPr>
          <w:rFonts w:ascii="Arial" w:hAnsi="Arial"/>
          <w:sz w:val="24"/>
        </w:rPr>
        <w:t>procedimento consensual como meio especial de obtenção de</w:t>
      </w:r>
      <w:r>
        <w:rPr>
          <w:rFonts w:ascii="Arial" w:hAnsi="Arial"/>
          <w:sz w:val="24"/>
        </w:rPr>
        <w:t xml:space="preserve"> </w:t>
      </w:r>
      <w:r w:rsidRPr="00880F85">
        <w:rPr>
          <w:rFonts w:ascii="Arial" w:hAnsi="Arial"/>
          <w:sz w:val="24"/>
        </w:rPr>
        <w:t>provas para o enfrentamento de organizações criminosas e crimes transnacionais</w:t>
      </w:r>
      <w:r>
        <w:rPr>
          <w:rFonts w:ascii="Arial" w:hAnsi="Arial"/>
          <w:sz w:val="24"/>
        </w:rPr>
        <w:t xml:space="preserve"> previsto na </w:t>
      </w:r>
      <w:r w:rsidRPr="00880F85">
        <w:rPr>
          <w:rFonts w:ascii="Arial" w:hAnsi="Arial"/>
          <w:sz w:val="24"/>
        </w:rPr>
        <w:t xml:space="preserve"> Lei 12.850/13;</w:t>
      </w:r>
      <w:r>
        <w:rPr>
          <w:rFonts w:ascii="Arial" w:hAnsi="Arial"/>
          <w:sz w:val="24"/>
        </w:rPr>
        <w:t xml:space="preserve"> a </w:t>
      </w:r>
      <w:r w:rsidRPr="00880F85">
        <w:rPr>
          <w:rFonts w:ascii="Arial" w:hAnsi="Arial"/>
          <w:sz w:val="24"/>
        </w:rPr>
        <w:t>possibilidade de se formalizar acordos de leniência em matéria</w:t>
      </w:r>
      <w:r>
        <w:rPr>
          <w:rFonts w:ascii="Arial" w:hAnsi="Arial"/>
          <w:sz w:val="24"/>
        </w:rPr>
        <w:t xml:space="preserve"> </w:t>
      </w:r>
      <w:r w:rsidRPr="00880F85">
        <w:rPr>
          <w:rFonts w:ascii="Arial" w:hAnsi="Arial"/>
          <w:sz w:val="24"/>
        </w:rPr>
        <w:t xml:space="preserve">anticorrupção </w:t>
      </w:r>
      <w:r>
        <w:rPr>
          <w:rFonts w:ascii="Arial" w:hAnsi="Arial"/>
          <w:sz w:val="24"/>
        </w:rPr>
        <w:t xml:space="preserve">previsto na </w:t>
      </w:r>
      <w:r w:rsidRPr="00880F85">
        <w:rPr>
          <w:rFonts w:ascii="Arial" w:hAnsi="Arial"/>
          <w:sz w:val="24"/>
        </w:rPr>
        <w:t xml:space="preserve">Lei 12.846/13 </w:t>
      </w:r>
      <w:r>
        <w:rPr>
          <w:rFonts w:ascii="Arial" w:hAnsi="Arial"/>
          <w:sz w:val="24"/>
        </w:rPr>
        <w:t xml:space="preserve">também conhecida como </w:t>
      </w:r>
      <w:r w:rsidRPr="00880F85">
        <w:rPr>
          <w:rFonts w:ascii="Arial" w:hAnsi="Arial"/>
          <w:sz w:val="24"/>
        </w:rPr>
        <w:t>Lei Anticorrupção Empresarial;</w:t>
      </w:r>
      <w:r>
        <w:rPr>
          <w:rFonts w:ascii="Arial" w:hAnsi="Arial"/>
          <w:sz w:val="24"/>
        </w:rPr>
        <w:t xml:space="preserve"> a </w:t>
      </w:r>
      <w:r w:rsidRPr="00880F85">
        <w:rPr>
          <w:rFonts w:ascii="Arial" w:hAnsi="Arial"/>
          <w:sz w:val="24"/>
        </w:rPr>
        <w:t>possibilidade de autocomposição e da arbitragem</w:t>
      </w:r>
      <w:r>
        <w:rPr>
          <w:rFonts w:ascii="Arial" w:hAnsi="Arial"/>
          <w:sz w:val="24"/>
        </w:rPr>
        <w:t xml:space="preserve"> </w:t>
      </w:r>
      <w:r w:rsidRPr="00880F85">
        <w:rPr>
          <w:rFonts w:ascii="Arial" w:hAnsi="Arial"/>
          <w:sz w:val="24"/>
        </w:rPr>
        <w:t>pela Administração Pública</w:t>
      </w:r>
      <w:r>
        <w:rPr>
          <w:rFonts w:ascii="Arial" w:hAnsi="Arial"/>
          <w:sz w:val="24"/>
        </w:rPr>
        <w:t xml:space="preserve"> (</w:t>
      </w:r>
      <w:r w:rsidRPr="00880F85">
        <w:rPr>
          <w:rFonts w:ascii="Arial" w:hAnsi="Arial"/>
          <w:sz w:val="24"/>
        </w:rPr>
        <w:t>Lei 13.129/15 e Lei 13.140/15</w:t>
      </w:r>
      <w:r>
        <w:rPr>
          <w:rFonts w:ascii="Arial" w:hAnsi="Arial"/>
          <w:sz w:val="24"/>
        </w:rPr>
        <w:t>)</w:t>
      </w:r>
      <w:r w:rsidRPr="00880F85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e finalmente </w:t>
      </w:r>
      <w:r w:rsidRPr="00880F85">
        <w:rPr>
          <w:rFonts w:ascii="Arial" w:hAnsi="Arial"/>
          <w:sz w:val="24"/>
        </w:rPr>
        <w:t xml:space="preserve">o </w:t>
      </w:r>
      <w:r>
        <w:rPr>
          <w:rFonts w:ascii="Arial" w:hAnsi="Arial"/>
          <w:sz w:val="24"/>
        </w:rPr>
        <w:t xml:space="preserve">Acordo de Não Persecução Penal previsto no </w:t>
      </w:r>
      <w:r w:rsidRPr="00880F85">
        <w:rPr>
          <w:rFonts w:ascii="Arial" w:hAnsi="Arial"/>
          <w:sz w:val="24"/>
        </w:rPr>
        <w:t>art. 28–A</w:t>
      </w:r>
      <w:r>
        <w:rPr>
          <w:rFonts w:ascii="Arial" w:hAnsi="Arial"/>
          <w:sz w:val="24"/>
        </w:rPr>
        <w:t xml:space="preserve"> do Código de Processo Penal introduzido pela </w:t>
      </w:r>
      <w:r w:rsidRPr="00880F85">
        <w:rPr>
          <w:rFonts w:ascii="Arial" w:hAnsi="Arial"/>
          <w:sz w:val="24"/>
        </w:rPr>
        <w:t xml:space="preserve">Lei 13.964/19 </w:t>
      </w:r>
      <w:r>
        <w:rPr>
          <w:rFonts w:ascii="Arial" w:hAnsi="Arial"/>
          <w:sz w:val="24"/>
        </w:rPr>
        <w:t>que é objeto deste estudo.</w:t>
      </w:r>
    </w:p>
    <w:p w14:paraId="33E20F87" w14:textId="77777777" w:rsidR="007A3289" w:rsidRPr="007321D5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É bem verdade que neste longo período houve episódios lamentáveis que aceleraram o processo de modernização da lei como o conhecido “Massacre do Carandiru” em 1992 onde ocorreu </w:t>
      </w:r>
      <w:r w:rsidRPr="00444E57">
        <w:rPr>
          <w:rFonts w:ascii="Arial" w:hAnsi="Arial"/>
          <w:sz w:val="24"/>
        </w:rPr>
        <w:t xml:space="preserve">uma rebelião na </w:t>
      </w:r>
      <w:r w:rsidRPr="00444E57">
        <w:rPr>
          <w:rFonts w:ascii="Arial" w:hAnsi="Arial"/>
          <w:sz w:val="24"/>
        </w:rPr>
        <w:lastRenderedPageBreak/>
        <w:t xml:space="preserve">Casa de Detenção de São Paulo, </w:t>
      </w:r>
      <w:r>
        <w:rPr>
          <w:rFonts w:ascii="Arial" w:hAnsi="Arial"/>
          <w:sz w:val="24"/>
        </w:rPr>
        <w:t xml:space="preserve">e após a intervenção da Polícia Militar </w:t>
      </w:r>
      <w:r w:rsidRPr="00444E57">
        <w:rPr>
          <w:rFonts w:ascii="Arial" w:hAnsi="Arial"/>
          <w:sz w:val="24"/>
        </w:rPr>
        <w:t>111</w:t>
      </w:r>
      <w:r>
        <w:rPr>
          <w:rFonts w:ascii="Arial" w:hAnsi="Arial"/>
          <w:sz w:val="24"/>
        </w:rPr>
        <w:t xml:space="preserve"> presos foram mortos.  </w:t>
      </w:r>
    </w:p>
    <w:p w14:paraId="027A8BB5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Com essa tragédia, houve muito esforço por parte da sociedade e principalmente dos operadores do direito, para que o Brasil aprofundasse sua política de desencarceramento, porém, visto que grande parte da população ainda tem o pensamento punitivista e desconhece os reais prejuízos a ela mesma quanto ao encarceramento em massa, o país enfrentou e ainda enfrenta bastante resistência.</w:t>
      </w:r>
    </w:p>
    <w:p w14:paraId="324E542E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Infelizmente, a</w:t>
      </w:r>
      <w:r w:rsidRPr="0093432A">
        <w:rPr>
          <w:rFonts w:ascii="Arial" w:hAnsi="Arial"/>
          <w:sz w:val="24"/>
        </w:rPr>
        <w:t xml:space="preserve"> sociedade </w:t>
      </w:r>
      <w:r>
        <w:rPr>
          <w:rFonts w:ascii="Arial" w:hAnsi="Arial"/>
          <w:sz w:val="24"/>
        </w:rPr>
        <w:t xml:space="preserve">brasileira </w:t>
      </w:r>
      <w:r w:rsidRPr="0093432A">
        <w:rPr>
          <w:rFonts w:ascii="Arial" w:hAnsi="Arial"/>
          <w:sz w:val="24"/>
        </w:rPr>
        <w:t>ainda não se afeiçoou à id</w:t>
      </w:r>
      <w:r>
        <w:rPr>
          <w:rFonts w:ascii="Arial" w:hAnsi="Arial"/>
          <w:sz w:val="24"/>
        </w:rPr>
        <w:t>e</w:t>
      </w:r>
      <w:r w:rsidRPr="0093432A">
        <w:rPr>
          <w:rFonts w:ascii="Arial" w:hAnsi="Arial"/>
          <w:sz w:val="24"/>
        </w:rPr>
        <w:t>ia de que as garantias individuais consolidadas nas cartas constitucionais e tratados internacionais devem ser plenas e indeclináveis. Tampouco a afirmação dos direitos civis como forma de assegurar a continuidade democrática (ou completar a transição democrática), tema subjacente, parece gozar de ampla aceitação</w:t>
      </w:r>
      <w:r>
        <w:rPr>
          <w:rFonts w:ascii="Arial" w:hAnsi="Arial"/>
          <w:sz w:val="24"/>
        </w:rPr>
        <w:t xml:space="preserve"> </w:t>
      </w:r>
      <w:sdt>
        <w:sdtPr>
          <w:rPr>
            <w:rFonts w:ascii="Arial" w:hAnsi="Arial"/>
            <w:sz w:val="24"/>
          </w:rPr>
          <w:id w:val="1272891103"/>
          <w:citation/>
        </w:sdtPr>
        <w:sdtContent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CITATION Leo08 \l 1046 </w:instrText>
          </w:r>
          <w:r>
            <w:rPr>
              <w:rFonts w:ascii="Arial" w:hAnsi="Arial"/>
              <w:sz w:val="24"/>
            </w:rPr>
            <w:fldChar w:fldCharType="separate"/>
          </w:r>
          <w:r w:rsidRPr="00487FCC">
            <w:rPr>
              <w:rFonts w:ascii="Arial" w:hAnsi="Arial"/>
              <w:noProof/>
              <w:sz w:val="24"/>
            </w:rPr>
            <w:t>(SICA, 2008)</w:t>
          </w:r>
          <w:r>
            <w:rPr>
              <w:rFonts w:ascii="Arial" w:hAnsi="Arial"/>
              <w:sz w:val="24"/>
            </w:rPr>
            <w:fldChar w:fldCharType="end"/>
          </w:r>
        </w:sdtContent>
      </w:sdt>
      <w:r w:rsidRPr="0093432A">
        <w:rPr>
          <w:rFonts w:ascii="Arial" w:hAnsi="Arial"/>
          <w:sz w:val="24"/>
        </w:rPr>
        <w:t>.</w:t>
      </w:r>
    </w:p>
    <w:p w14:paraId="02002FC0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Feitas estas considerações, no que diz respeito ao Acordo de Não Persecução Penal, apesar das resistências citadas, foi introduzido no ordenamento jurídico </w:t>
      </w:r>
      <w:r w:rsidRPr="007540F9">
        <w:rPr>
          <w:rFonts w:ascii="Arial" w:hAnsi="Arial"/>
          <w:sz w:val="24"/>
        </w:rPr>
        <w:t xml:space="preserve">pela Lei nº 13.964/2019, </w:t>
      </w:r>
      <w:r>
        <w:rPr>
          <w:rFonts w:ascii="Arial" w:hAnsi="Arial"/>
          <w:sz w:val="24"/>
        </w:rPr>
        <w:t>também</w:t>
      </w:r>
      <w:r w:rsidRPr="007540F9">
        <w:rPr>
          <w:rFonts w:ascii="Arial" w:hAnsi="Arial"/>
          <w:sz w:val="24"/>
        </w:rPr>
        <w:t xml:space="preserve"> conhecida como “pacote anticrime”</w:t>
      </w:r>
      <w:r>
        <w:rPr>
          <w:rFonts w:ascii="Arial" w:hAnsi="Arial"/>
          <w:sz w:val="24"/>
        </w:rPr>
        <w:t>.</w:t>
      </w:r>
    </w:p>
    <w:p w14:paraId="5C34845B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Esta lei</w:t>
      </w:r>
      <w:r w:rsidRPr="007A6E2F">
        <w:rPr>
          <w:rFonts w:ascii="Arial" w:hAnsi="Arial"/>
          <w:sz w:val="24"/>
        </w:rPr>
        <w:t xml:space="preserve"> decorre</w:t>
      </w:r>
      <w:r>
        <w:rPr>
          <w:rFonts w:ascii="Arial" w:hAnsi="Arial"/>
          <w:sz w:val="24"/>
        </w:rPr>
        <w:t>u</w:t>
      </w:r>
      <w:r w:rsidRPr="007A6E2F">
        <w:rPr>
          <w:rFonts w:ascii="Arial" w:hAnsi="Arial"/>
          <w:sz w:val="24"/>
        </w:rPr>
        <w:t xml:space="preserve"> do projeto de lei n</w:t>
      </w:r>
      <w:r>
        <w:rPr>
          <w:rFonts w:ascii="Arial" w:hAnsi="Arial"/>
          <w:sz w:val="24"/>
        </w:rPr>
        <w:t>º</w:t>
      </w:r>
      <w:r w:rsidRPr="007A6E2F">
        <w:rPr>
          <w:rFonts w:ascii="Arial" w:hAnsi="Arial"/>
          <w:sz w:val="24"/>
        </w:rPr>
        <w:t xml:space="preserve"> 10372</w:t>
      </w:r>
      <w:r>
        <w:rPr>
          <w:rFonts w:ascii="Arial" w:hAnsi="Arial"/>
          <w:sz w:val="24"/>
        </w:rPr>
        <w:t>/</w:t>
      </w:r>
      <w:r w:rsidRPr="007A6E2F">
        <w:rPr>
          <w:rFonts w:ascii="Arial" w:hAnsi="Arial"/>
          <w:sz w:val="24"/>
        </w:rPr>
        <w:t xml:space="preserve">2018 da </w:t>
      </w:r>
      <w:r>
        <w:rPr>
          <w:rFonts w:ascii="Arial" w:hAnsi="Arial"/>
          <w:sz w:val="24"/>
        </w:rPr>
        <w:t>C</w:t>
      </w:r>
      <w:r w:rsidRPr="007A6E2F">
        <w:rPr>
          <w:rFonts w:ascii="Arial" w:hAnsi="Arial"/>
          <w:sz w:val="24"/>
        </w:rPr>
        <w:t xml:space="preserve">âmara dos </w:t>
      </w:r>
      <w:r>
        <w:rPr>
          <w:rFonts w:ascii="Arial" w:hAnsi="Arial"/>
          <w:sz w:val="24"/>
        </w:rPr>
        <w:t>D</w:t>
      </w:r>
      <w:r w:rsidRPr="007A6E2F">
        <w:rPr>
          <w:rFonts w:ascii="Arial" w:hAnsi="Arial"/>
          <w:sz w:val="24"/>
        </w:rPr>
        <w:t xml:space="preserve">eputados que reuniu propostas oriundas da comissão coordenada pelo ministro do </w:t>
      </w:r>
      <w:r>
        <w:rPr>
          <w:rFonts w:ascii="Arial" w:hAnsi="Arial"/>
          <w:sz w:val="24"/>
        </w:rPr>
        <w:t>STF</w:t>
      </w:r>
      <w:r w:rsidRPr="007A6E2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</w:t>
      </w:r>
      <w:r w:rsidRPr="007A6E2F">
        <w:rPr>
          <w:rFonts w:ascii="Arial" w:hAnsi="Arial"/>
          <w:sz w:val="24"/>
        </w:rPr>
        <w:t xml:space="preserve">lexandre de </w:t>
      </w:r>
      <w:r>
        <w:rPr>
          <w:rFonts w:ascii="Arial" w:hAnsi="Arial"/>
          <w:sz w:val="24"/>
        </w:rPr>
        <w:t>M</w:t>
      </w:r>
      <w:r w:rsidRPr="007A6E2F">
        <w:rPr>
          <w:rFonts w:ascii="Arial" w:hAnsi="Arial"/>
          <w:sz w:val="24"/>
        </w:rPr>
        <w:t xml:space="preserve">orais no ano de 2018 bem como do </w:t>
      </w:r>
      <w:r>
        <w:rPr>
          <w:rFonts w:ascii="Arial" w:hAnsi="Arial"/>
          <w:sz w:val="24"/>
        </w:rPr>
        <w:t>M</w:t>
      </w:r>
      <w:r w:rsidRPr="007A6E2F">
        <w:rPr>
          <w:rFonts w:ascii="Arial" w:hAnsi="Arial"/>
          <w:sz w:val="24"/>
        </w:rPr>
        <w:t xml:space="preserve">inistério da Justiça e </w:t>
      </w:r>
      <w:r>
        <w:rPr>
          <w:rFonts w:ascii="Arial" w:hAnsi="Arial"/>
          <w:sz w:val="24"/>
        </w:rPr>
        <w:t>S</w:t>
      </w:r>
      <w:r w:rsidRPr="007A6E2F">
        <w:rPr>
          <w:rFonts w:ascii="Arial" w:hAnsi="Arial"/>
          <w:sz w:val="24"/>
        </w:rPr>
        <w:t xml:space="preserve">egurança </w:t>
      </w:r>
      <w:r>
        <w:rPr>
          <w:rFonts w:ascii="Arial" w:hAnsi="Arial"/>
          <w:sz w:val="24"/>
        </w:rPr>
        <w:t>P</w:t>
      </w:r>
      <w:r w:rsidRPr="007A6E2F">
        <w:rPr>
          <w:rFonts w:ascii="Arial" w:hAnsi="Arial"/>
          <w:sz w:val="24"/>
        </w:rPr>
        <w:t>ública em 2019</w:t>
      </w:r>
      <w:r>
        <w:rPr>
          <w:rFonts w:ascii="Arial" w:hAnsi="Arial"/>
          <w:sz w:val="24"/>
        </w:rPr>
        <w:t>,</w:t>
      </w:r>
      <w:r w:rsidRPr="007A6E2F">
        <w:rPr>
          <w:rFonts w:ascii="Arial" w:hAnsi="Arial"/>
          <w:sz w:val="24"/>
        </w:rPr>
        <w:t xml:space="preserve"> neste último recebeu a alcunha de </w:t>
      </w:r>
      <w:r>
        <w:rPr>
          <w:rFonts w:ascii="Arial" w:hAnsi="Arial"/>
          <w:sz w:val="24"/>
        </w:rPr>
        <w:t>“</w:t>
      </w:r>
      <w:r w:rsidRPr="007A6E2F">
        <w:rPr>
          <w:rFonts w:ascii="Arial" w:hAnsi="Arial"/>
          <w:sz w:val="24"/>
        </w:rPr>
        <w:t>pacote anticrime</w:t>
      </w:r>
      <w:r>
        <w:rPr>
          <w:rFonts w:ascii="Arial" w:hAnsi="Arial"/>
          <w:sz w:val="24"/>
        </w:rPr>
        <w:t>”</w:t>
      </w:r>
      <w:r w:rsidRPr="007A6E2F">
        <w:rPr>
          <w:rFonts w:ascii="Arial" w:hAnsi="Arial"/>
          <w:sz w:val="24"/>
        </w:rPr>
        <w:t xml:space="preserve"> que passou a ser propag</w:t>
      </w:r>
      <w:r>
        <w:rPr>
          <w:rFonts w:ascii="Arial" w:hAnsi="Arial"/>
          <w:sz w:val="24"/>
        </w:rPr>
        <w:t>a</w:t>
      </w:r>
      <w:r w:rsidRPr="007A6E2F">
        <w:rPr>
          <w:rFonts w:ascii="Arial" w:hAnsi="Arial"/>
          <w:sz w:val="24"/>
        </w:rPr>
        <w:t>d</w:t>
      </w:r>
      <w:r>
        <w:rPr>
          <w:rFonts w:ascii="Arial" w:hAnsi="Arial"/>
          <w:sz w:val="24"/>
        </w:rPr>
        <w:t>o</w:t>
      </w:r>
      <w:r w:rsidRPr="007A6E2F">
        <w:rPr>
          <w:rFonts w:ascii="Arial" w:hAnsi="Arial"/>
          <w:sz w:val="24"/>
        </w:rPr>
        <w:t xml:space="preserve"> pela imprensa</w:t>
      </w:r>
      <w:r>
        <w:rPr>
          <w:rFonts w:ascii="Arial" w:hAnsi="Arial"/>
          <w:sz w:val="24"/>
        </w:rPr>
        <w:t>.</w:t>
      </w:r>
      <w:sdt>
        <w:sdtPr>
          <w:rPr>
            <w:rFonts w:ascii="Arial" w:hAnsi="Arial"/>
            <w:sz w:val="24"/>
          </w:rPr>
          <w:id w:val="-619994278"/>
          <w:citation/>
        </w:sdtPr>
        <w:sdtContent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CITATION Gui20 \l 1046 </w:instrText>
          </w:r>
          <w:r>
            <w:rPr>
              <w:rFonts w:ascii="Arial" w:hAnsi="Arial"/>
              <w:sz w:val="24"/>
            </w:rPr>
            <w:fldChar w:fldCharType="separate"/>
          </w:r>
          <w:r>
            <w:rPr>
              <w:rFonts w:ascii="Arial" w:hAnsi="Arial"/>
              <w:noProof/>
              <w:sz w:val="24"/>
            </w:rPr>
            <w:t xml:space="preserve"> </w:t>
          </w:r>
          <w:r w:rsidRPr="00487FCC">
            <w:rPr>
              <w:rFonts w:ascii="Arial" w:hAnsi="Arial"/>
              <w:noProof/>
              <w:sz w:val="24"/>
            </w:rPr>
            <w:t>(DEZEM e SOUZA, 2020)</w:t>
          </w:r>
          <w:r>
            <w:rPr>
              <w:rFonts w:ascii="Arial" w:hAnsi="Arial"/>
              <w:sz w:val="24"/>
            </w:rPr>
            <w:fldChar w:fldCharType="end"/>
          </w:r>
        </w:sdtContent>
      </w:sdt>
    </w:p>
    <w:p w14:paraId="65C68C52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 conteúdo misto de leis, o “pacote anticrime” trouxe em seu bojo regras não só de Direito Penal e Processual Penal, mas também de Direito Administrativo, e por esta complexidade, se deu o autoelogio contido no seu primeiro artigo afirmando que </w:t>
      </w:r>
      <w:r w:rsidRPr="007353D2">
        <w:rPr>
          <w:rFonts w:ascii="Arial" w:hAnsi="Arial"/>
          <w:i/>
          <w:iCs/>
          <w:sz w:val="24"/>
        </w:rPr>
        <w:t>“esta lei aperfeiçoa a legislação penal e processual penal”</w:t>
      </w:r>
      <w:r>
        <w:rPr>
          <w:rFonts w:ascii="Arial" w:hAnsi="Arial"/>
          <w:sz w:val="24"/>
        </w:rPr>
        <w:t>.</w:t>
      </w:r>
    </w:p>
    <w:p w14:paraId="0D0220E6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 </w:t>
      </w:r>
      <w:r w:rsidRPr="007540F9">
        <w:rPr>
          <w:rFonts w:ascii="Arial" w:hAnsi="Arial"/>
          <w:sz w:val="24"/>
        </w:rPr>
        <w:t>Antes mesmo de ser lei, por</w:t>
      </w:r>
      <w:r>
        <w:rPr>
          <w:rFonts w:ascii="Arial" w:hAnsi="Arial"/>
          <w:sz w:val="24"/>
        </w:rPr>
        <w:t xml:space="preserve"> força da</w:t>
      </w:r>
      <w:r w:rsidRPr="007540F9">
        <w:rPr>
          <w:rFonts w:ascii="Arial" w:hAnsi="Arial"/>
          <w:sz w:val="24"/>
        </w:rPr>
        <w:t xml:space="preserve"> </w:t>
      </w:r>
      <w:r w:rsidRPr="006056EA">
        <w:rPr>
          <w:rFonts w:ascii="Arial" w:hAnsi="Arial"/>
          <w:sz w:val="24"/>
        </w:rPr>
        <w:t>Resolução nº 181/2017</w:t>
      </w:r>
      <w:r w:rsidRPr="007540F9">
        <w:rPr>
          <w:rFonts w:ascii="Arial" w:hAnsi="Arial"/>
          <w:sz w:val="24"/>
        </w:rPr>
        <w:t xml:space="preserve"> do Conselho Nacional do Ministério Público</w:t>
      </w:r>
      <w:r>
        <w:rPr>
          <w:rFonts w:ascii="Arial" w:hAnsi="Arial"/>
          <w:sz w:val="24"/>
        </w:rPr>
        <w:t>,</w:t>
      </w:r>
      <w:r w:rsidRPr="007540F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desde 2017 </w:t>
      </w:r>
      <w:r w:rsidRPr="007540F9">
        <w:rPr>
          <w:rFonts w:ascii="Arial" w:hAnsi="Arial"/>
          <w:sz w:val="24"/>
        </w:rPr>
        <w:t xml:space="preserve">já </w:t>
      </w:r>
      <w:r>
        <w:rPr>
          <w:rFonts w:ascii="Arial" w:hAnsi="Arial"/>
          <w:sz w:val="24"/>
        </w:rPr>
        <w:t>eram</w:t>
      </w:r>
      <w:r w:rsidRPr="007540F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realizados acordos de não persecução penal</w:t>
      </w:r>
      <w:r w:rsidRPr="007540F9">
        <w:rPr>
          <w:rFonts w:ascii="Arial" w:hAnsi="Arial"/>
          <w:sz w:val="24"/>
        </w:rPr>
        <w:t>.</w:t>
      </w:r>
    </w:p>
    <w:p w14:paraId="25B4DBBE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Apesar de padecer de evidente inconstitucionalidade, a referida resolução </w:t>
      </w:r>
      <w:r w:rsidRPr="00E9064C">
        <w:rPr>
          <w:rFonts w:ascii="Arial" w:hAnsi="Arial"/>
          <w:sz w:val="24"/>
        </w:rPr>
        <w:t xml:space="preserve">criou novas regras no processo penal, estipulando meios completamente inéditos ao direito </w:t>
      </w:r>
      <w:r>
        <w:rPr>
          <w:rFonts w:ascii="Arial" w:hAnsi="Arial"/>
          <w:sz w:val="24"/>
        </w:rPr>
        <w:t xml:space="preserve">brasileiro, e por isso foi objeto de </w:t>
      </w:r>
      <w:r w:rsidRPr="00F76742">
        <w:rPr>
          <w:rFonts w:ascii="Arial" w:hAnsi="Arial"/>
          <w:sz w:val="24"/>
        </w:rPr>
        <w:t>Ações Diretas de Inconstitucionalidade propostas perante o Supremo Tribunal Federal</w:t>
      </w:r>
      <w:r>
        <w:rPr>
          <w:rFonts w:ascii="Arial" w:hAnsi="Arial"/>
          <w:sz w:val="24"/>
        </w:rPr>
        <w:t>, que após a aprovação da lei acabaram por perder o objeto</w:t>
      </w:r>
      <w:r w:rsidRPr="00E9064C">
        <w:rPr>
          <w:rFonts w:ascii="Arial" w:hAnsi="Arial"/>
          <w:sz w:val="24"/>
        </w:rPr>
        <w:t>.</w:t>
      </w:r>
    </w:p>
    <w:p w14:paraId="265EC6BE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Após muitos debates no Congresso Nacional, o Art. 28-A do Código de Processo Penal assim restou aprovado:</w:t>
      </w:r>
    </w:p>
    <w:p w14:paraId="1CFB1BC7" w14:textId="77777777" w:rsidR="007A3289" w:rsidRPr="000C7483" w:rsidRDefault="007A3289" w:rsidP="007A3289">
      <w:pPr>
        <w:spacing w:line="360" w:lineRule="auto"/>
        <w:ind w:left="2268"/>
        <w:jc w:val="both"/>
        <w:rPr>
          <w:rFonts w:ascii="Arial" w:hAnsi="Arial"/>
          <w:sz w:val="20"/>
          <w:szCs w:val="18"/>
        </w:rPr>
      </w:pPr>
      <w:r w:rsidRPr="000C7483">
        <w:rPr>
          <w:rFonts w:ascii="Arial" w:hAnsi="Arial"/>
          <w:sz w:val="20"/>
          <w:szCs w:val="18"/>
        </w:rPr>
        <w:t xml:space="preserve">Art. 28-A. Não sendo caso de arquivamento e tendo o investigado confessado formal e circunstancialmente a prática de infração penal sem violência ou grave ameaça e com pena mínima inferior a 4 (quatro) anos, o Ministério Público poderá propor acordo de não persecução penal, desde que necessário e suficiente para reprovação e prevenção do crime, mediante as seguintes condições ajustadas cumulativa e alternativamente:           </w:t>
      </w:r>
    </w:p>
    <w:p w14:paraId="68654FF9" w14:textId="77777777" w:rsidR="007A3289" w:rsidRPr="000C7483" w:rsidRDefault="007A3289" w:rsidP="007A3289">
      <w:pPr>
        <w:spacing w:line="360" w:lineRule="auto"/>
        <w:ind w:left="2268"/>
        <w:jc w:val="both"/>
        <w:rPr>
          <w:rFonts w:ascii="Arial" w:hAnsi="Arial"/>
          <w:sz w:val="20"/>
          <w:szCs w:val="18"/>
        </w:rPr>
      </w:pPr>
      <w:r w:rsidRPr="000C7483">
        <w:rPr>
          <w:rFonts w:ascii="Arial" w:hAnsi="Arial"/>
          <w:sz w:val="20"/>
          <w:szCs w:val="18"/>
        </w:rPr>
        <w:t xml:space="preserve">I - </w:t>
      </w:r>
      <w:proofErr w:type="gramStart"/>
      <w:r w:rsidRPr="000C7483">
        <w:rPr>
          <w:rFonts w:ascii="Arial" w:hAnsi="Arial"/>
          <w:sz w:val="20"/>
          <w:szCs w:val="18"/>
        </w:rPr>
        <w:t>reparar</w:t>
      </w:r>
      <w:proofErr w:type="gramEnd"/>
      <w:r w:rsidRPr="000C7483">
        <w:rPr>
          <w:rFonts w:ascii="Arial" w:hAnsi="Arial"/>
          <w:sz w:val="20"/>
          <w:szCs w:val="18"/>
        </w:rPr>
        <w:t xml:space="preserve"> o dano ou restituir a coisa à vítima, exceto na impossibilidade de fazê-lo;            </w:t>
      </w:r>
    </w:p>
    <w:p w14:paraId="11B9E385" w14:textId="77777777" w:rsidR="007A3289" w:rsidRPr="000C7483" w:rsidRDefault="007A3289" w:rsidP="007A3289">
      <w:pPr>
        <w:spacing w:line="360" w:lineRule="auto"/>
        <w:ind w:left="2268"/>
        <w:jc w:val="both"/>
        <w:rPr>
          <w:rFonts w:ascii="Arial" w:hAnsi="Arial"/>
          <w:sz w:val="20"/>
          <w:szCs w:val="18"/>
        </w:rPr>
      </w:pPr>
      <w:r w:rsidRPr="000C7483">
        <w:rPr>
          <w:rFonts w:ascii="Arial" w:hAnsi="Arial"/>
          <w:sz w:val="20"/>
          <w:szCs w:val="18"/>
        </w:rPr>
        <w:t xml:space="preserve">II - </w:t>
      </w:r>
      <w:proofErr w:type="gramStart"/>
      <w:r w:rsidRPr="000C7483">
        <w:rPr>
          <w:rFonts w:ascii="Arial" w:hAnsi="Arial"/>
          <w:sz w:val="20"/>
          <w:szCs w:val="18"/>
        </w:rPr>
        <w:t>renunciar</w:t>
      </w:r>
      <w:proofErr w:type="gramEnd"/>
      <w:r w:rsidRPr="000C7483">
        <w:rPr>
          <w:rFonts w:ascii="Arial" w:hAnsi="Arial"/>
          <w:sz w:val="20"/>
          <w:szCs w:val="18"/>
        </w:rPr>
        <w:t xml:space="preserve"> voluntariamente a bens e direitos indicados pelo Ministério Público como instrumentos, produto ou proveito do crime;            </w:t>
      </w:r>
    </w:p>
    <w:p w14:paraId="235A138D" w14:textId="77777777" w:rsidR="007A3289" w:rsidRPr="000C7483" w:rsidRDefault="007A3289" w:rsidP="007A3289">
      <w:pPr>
        <w:spacing w:line="360" w:lineRule="auto"/>
        <w:ind w:left="2268"/>
        <w:jc w:val="both"/>
        <w:rPr>
          <w:rFonts w:ascii="Arial" w:hAnsi="Arial"/>
          <w:sz w:val="20"/>
          <w:szCs w:val="18"/>
        </w:rPr>
      </w:pPr>
      <w:r w:rsidRPr="000C7483">
        <w:rPr>
          <w:rFonts w:ascii="Arial" w:hAnsi="Arial"/>
          <w:sz w:val="20"/>
          <w:szCs w:val="18"/>
        </w:rPr>
        <w:t xml:space="preserve">III - prestar serviço à comunidade ou a entidades públicas por período correspondente à pena mínima cominada ao delito diminuída de um a dois terços, em local a ser indicado pelo juízo da execução, na forma do art. 46 do Decreto-Lei nº 2.848, de 7 de dezembro de 1940 (Código Penal);                 </w:t>
      </w:r>
    </w:p>
    <w:p w14:paraId="51ACBE78" w14:textId="77777777" w:rsidR="007A3289" w:rsidRPr="000C7483" w:rsidRDefault="007A3289" w:rsidP="007A3289">
      <w:pPr>
        <w:spacing w:line="360" w:lineRule="auto"/>
        <w:ind w:left="2268"/>
        <w:jc w:val="both"/>
        <w:rPr>
          <w:rFonts w:ascii="Arial" w:hAnsi="Arial"/>
          <w:sz w:val="20"/>
          <w:szCs w:val="18"/>
        </w:rPr>
      </w:pPr>
      <w:r w:rsidRPr="000C7483">
        <w:rPr>
          <w:rFonts w:ascii="Arial" w:hAnsi="Arial"/>
          <w:sz w:val="20"/>
          <w:szCs w:val="18"/>
        </w:rPr>
        <w:t xml:space="preserve">IV - </w:t>
      </w:r>
      <w:proofErr w:type="gramStart"/>
      <w:r w:rsidRPr="000C7483">
        <w:rPr>
          <w:rFonts w:ascii="Arial" w:hAnsi="Arial"/>
          <w:sz w:val="20"/>
          <w:szCs w:val="18"/>
        </w:rPr>
        <w:t>pagar</w:t>
      </w:r>
      <w:proofErr w:type="gramEnd"/>
      <w:r w:rsidRPr="000C7483">
        <w:rPr>
          <w:rFonts w:ascii="Arial" w:hAnsi="Arial"/>
          <w:sz w:val="20"/>
          <w:szCs w:val="18"/>
        </w:rPr>
        <w:t xml:space="preserve"> prestação pecuniária, a ser estipulada nos termos do art. 45 do Decreto-Lei nº 2.848, de 7 de dezembro de 1940 (Código Penal), a entidade pública ou de interesse social, a ser indicada pelo juízo da execução, que tenha, preferencialmente, como função proteger bens jurídicos iguais ou semelhantes aos aparentemente lesados pelo delito; ou              </w:t>
      </w:r>
    </w:p>
    <w:p w14:paraId="6B13EEE9" w14:textId="77777777" w:rsidR="007A3289" w:rsidRPr="000C7483" w:rsidRDefault="007A3289" w:rsidP="007A3289">
      <w:pPr>
        <w:spacing w:line="360" w:lineRule="auto"/>
        <w:ind w:left="2268"/>
        <w:jc w:val="both"/>
        <w:rPr>
          <w:rFonts w:ascii="Arial" w:hAnsi="Arial"/>
          <w:sz w:val="20"/>
          <w:szCs w:val="18"/>
        </w:rPr>
      </w:pPr>
      <w:r w:rsidRPr="000C7483">
        <w:rPr>
          <w:rFonts w:ascii="Arial" w:hAnsi="Arial"/>
          <w:sz w:val="20"/>
          <w:szCs w:val="18"/>
        </w:rPr>
        <w:lastRenderedPageBreak/>
        <w:t xml:space="preserve">V - </w:t>
      </w:r>
      <w:proofErr w:type="gramStart"/>
      <w:r w:rsidRPr="000C7483">
        <w:rPr>
          <w:rFonts w:ascii="Arial" w:hAnsi="Arial"/>
          <w:sz w:val="20"/>
          <w:szCs w:val="18"/>
        </w:rPr>
        <w:t>cumprir</w:t>
      </w:r>
      <w:proofErr w:type="gramEnd"/>
      <w:r w:rsidRPr="000C7483">
        <w:rPr>
          <w:rFonts w:ascii="Arial" w:hAnsi="Arial"/>
          <w:sz w:val="20"/>
          <w:szCs w:val="18"/>
        </w:rPr>
        <w:t xml:space="preserve">, por prazo determinado, outra condição indicada pelo Ministério Público, desde que proporcional e compatível com a infração penal imputada.             </w:t>
      </w:r>
    </w:p>
    <w:p w14:paraId="76C1615E" w14:textId="77777777" w:rsidR="007A3289" w:rsidRPr="00926658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 w:rsidRPr="00926658">
        <w:rPr>
          <w:rFonts w:ascii="Arial" w:hAnsi="Arial"/>
          <w:sz w:val="24"/>
        </w:rPr>
        <w:t xml:space="preserve">O </w:t>
      </w:r>
      <w:r>
        <w:rPr>
          <w:rFonts w:ascii="Arial" w:hAnsi="Arial"/>
          <w:sz w:val="24"/>
        </w:rPr>
        <w:t xml:space="preserve">principal fomento ao </w:t>
      </w:r>
      <w:r w:rsidRPr="00926658">
        <w:rPr>
          <w:rFonts w:ascii="Arial" w:hAnsi="Arial"/>
          <w:sz w:val="24"/>
        </w:rPr>
        <w:t xml:space="preserve">acordo </w:t>
      </w:r>
      <w:r>
        <w:rPr>
          <w:rFonts w:ascii="Arial" w:hAnsi="Arial"/>
          <w:sz w:val="24"/>
        </w:rPr>
        <w:t xml:space="preserve">é a justificativa de que </w:t>
      </w:r>
      <w:r w:rsidRPr="00926658">
        <w:rPr>
          <w:rFonts w:ascii="Arial" w:hAnsi="Arial"/>
          <w:sz w:val="24"/>
        </w:rPr>
        <w:t xml:space="preserve">descongestiona os serviços judiciários, </w:t>
      </w:r>
      <w:r>
        <w:rPr>
          <w:rFonts w:ascii="Arial" w:hAnsi="Arial"/>
          <w:sz w:val="24"/>
        </w:rPr>
        <w:t xml:space="preserve">e </w:t>
      </w:r>
      <w:r w:rsidRPr="00926658">
        <w:rPr>
          <w:rFonts w:ascii="Arial" w:hAnsi="Arial"/>
          <w:sz w:val="24"/>
        </w:rPr>
        <w:t>deixa ao Juízo tempo para</w:t>
      </w:r>
      <w:r>
        <w:rPr>
          <w:rFonts w:ascii="Arial" w:hAnsi="Arial"/>
          <w:sz w:val="24"/>
        </w:rPr>
        <w:t xml:space="preserve"> se debruçar melhor n</w:t>
      </w:r>
      <w:r w:rsidRPr="00926658">
        <w:rPr>
          <w:rFonts w:ascii="Arial" w:hAnsi="Arial"/>
          <w:sz w:val="24"/>
        </w:rPr>
        <w:t>os crimes mais graves.</w:t>
      </w:r>
    </w:p>
    <w:p w14:paraId="73C155BF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</w:p>
    <w:p w14:paraId="5B03714D" w14:textId="77777777" w:rsidR="007A3289" w:rsidRPr="006C45A8" w:rsidRDefault="007A3289" w:rsidP="007A3289">
      <w:pPr>
        <w:pStyle w:val="Ttulo2"/>
        <w:rPr>
          <w:rFonts w:ascii="Arial" w:hAnsi="Arial"/>
          <w:b/>
          <w:bCs/>
          <w:color w:val="auto"/>
          <w:sz w:val="24"/>
        </w:rPr>
      </w:pPr>
      <w:bookmarkStart w:id="1" w:name="_Toc113313986"/>
      <w:r w:rsidRPr="006C45A8">
        <w:rPr>
          <w:rFonts w:ascii="Arial" w:hAnsi="Arial"/>
          <w:b/>
          <w:bCs/>
          <w:color w:val="auto"/>
          <w:sz w:val="24"/>
        </w:rPr>
        <w:t xml:space="preserve">6.2. El </w:t>
      </w:r>
      <w:proofErr w:type="spellStart"/>
      <w:r w:rsidRPr="006C45A8">
        <w:rPr>
          <w:rFonts w:ascii="Arial" w:hAnsi="Arial"/>
          <w:b/>
          <w:bCs/>
          <w:color w:val="auto"/>
          <w:sz w:val="24"/>
        </w:rPr>
        <w:t>procedimiento</w:t>
      </w:r>
      <w:bookmarkEnd w:id="1"/>
      <w:proofErr w:type="spellEnd"/>
    </w:p>
    <w:p w14:paraId="2E1E8CFC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</w:p>
    <w:p w14:paraId="65137C9B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Para efetivação do Acordo de Não Persecução Penal</w:t>
      </w:r>
      <w:r w:rsidRPr="00F741CF"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ACORDO DE NÃO PERSECUÇÃO PENAL</w:t>
      </w:r>
      <w:r w:rsidRPr="00F741CF">
        <w:rPr>
          <w:rFonts w:ascii="Arial" w:hAnsi="Arial"/>
          <w:sz w:val="24"/>
        </w:rPr>
        <w:t xml:space="preserve">), </w:t>
      </w:r>
      <w:r>
        <w:rPr>
          <w:rFonts w:ascii="Arial" w:hAnsi="Arial"/>
          <w:sz w:val="24"/>
        </w:rPr>
        <w:t>após a conclusão das investigações,</w:t>
      </w:r>
      <w:r w:rsidRPr="00F741CF">
        <w:rPr>
          <w:rFonts w:ascii="Arial" w:hAnsi="Arial"/>
          <w:sz w:val="24"/>
        </w:rPr>
        <w:t xml:space="preserve"> o Ministério Público </w:t>
      </w:r>
      <w:r>
        <w:rPr>
          <w:rFonts w:ascii="Arial" w:hAnsi="Arial"/>
          <w:sz w:val="24"/>
        </w:rPr>
        <w:t>verifica a possibilidade de realização do acordo aferindo a quantidade de pena aplicável ao crime, bem como as condições pessoais d</w:t>
      </w:r>
      <w:r w:rsidRPr="00F741CF">
        <w:rPr>
          <w:rFonts w:ascii="Arial" w:hAnsi="Arial"/>
          <w:sz w:val="24"/>
        </w:rPr>
        <w:t xml:space="preserve">a pessoa investigada, </w:t>
      </w:r>
      <w:r>
        <w:rPr>
          <w:rFonts w:ascii="Arial" w:hAnsi="Arial"/>
          <w:sz w:val="24"/>
        </w:rPr>
        <w:t>e em sendo possível o preenchimento dos</w:t>
      </w:r>
      <w:r w:rsidRPr="00F741CF">
        <w:rPr>
          <w:rFonts w:ascii="Arial" w:hAnsi="Arial"/>
          <w:sz w:val="24"/>
        </w:rPr>
        <w:t xml:space="preserve"> requisitos fixados em lei</w:t>
      </w:r>
      <w:r>
        <w:rPr>
          <w:rFonts w:ascii="Arial" w:hAnsi="Arial"/>
          <w:sz w:val="24"/>
        </w:rPr>
        <w:t>, nos próprios autos oferece a oportunidade de realização do acordo e então o juiz determina a realização de audiência específica para este fim</w:t>
      </w:r>
      <w:r w:rsidRPr="00926658">
        <w:rPr>
          <w:rFonts w:ascii="Arial" w:hAnsi="Arial"/>
          <w:sz w:val="24"/>
        </w:rPr>
        <w:t>.</w:t>
      </w:r>
    </w:p>
    <w:p w14:paraId="37A03714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 investigado, se ainda não tiver constituído defensor nos autos é intimado do oferecimento da proposta, e cientificado que necessita comparecer na audiência se fazendo acompanhar de um advogado, visto que está também é obrigatoriedade contida na lei.</w:t>
      </w:r>
    </w:p>
    <w:p w14:paraId="186DBBE8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 data da audiência, o Ministério Público oferta suas condições e o investigado, via de regra sem muita alternativa para questionar o acordo, aceita ou não o que fora proposto.   </w:t>
      </w:r>
    </w:p>
    <w:p w14:paraId="44CE6B41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 w:rsidRPr="00926658">
        <w:rPr>
          <w:rFonts w:ascii="Arial" w:hAnsi="Arial"/>
          <w:sz w:val="24"/>
        </w:rPr>
        <w:t xml:space="preserve">A tendência </w:t>
      </w:r>
      <w:r>
        <w:rPr>
          <w:rFonts w:ascii="Arial" w:hAnsi="Arial"/>
          <w:sz w:val="24"/>
        </w:rPr>
        <w:t xml:space="preserve">aceitação </w:t>
      </w:r>
      <w:r w:rsidRPr="00926658">
        <w:rPr>
          <w:rFonts w:ascii="Arial" w:hAnsi="Arial"/>
          <w:sz w:val="24"/>
        </w:rPr>
        <w:t>ao</w:t>
      </w:r>
      <w:r>
        <w:rPr>
          <w:rFonts w:ascii="Arial" w:hAnsi="Arial"/>
          <w:sz w:val="24"/>
        </w:rPr>
        <w:t xml:space="preserve"> </w:t>
      </w:r>
      <w:r w:rsidRPr="00926658">
        <w:rPr>
          <w:rFonts w:ascii="Arial" w:hAnsi="Arial"/>
          <w:sz w:val="24"/>
        </w:rPr>
        <w:t>acordo</w:t>
      </w:r>
      <w:r>
        <w:rPr>
          <w:rFonts w:ascii="Arial" w:hAnsi="Arial"/>
          <w:sz w:val="24"/>
        </w:rPr>
        <w:t xml:space="preserve"> é grande, em especial quando o acusado não é inocente, além do que, no</w:t>
      </w:r>
      <w:r w:rsidRPr="00926658">
        <w:rPr>
          <w:rFonts w:ascii="Arial" w:hAnsi="Arial"/>
          <w:sz w:val="24"/>
        </w:rPr>
        <w:t xml:space="preserve"> antigo sistema </w:t>
      </w:r>
      <w:r>
        <w:rPr>
          <w:rFonts w:ascii="Arial" w:hAnsi="Arial"/>
          <w:sz w:val="24"/>
        </w:rPr>
        <w:t>em situações semelhantes havia</w:t>
      </w:r>
      <w:r w:rsidRPr="00926658">
        <w:rPr>
          <w:rFonts w:ascii="Arial" w:hAnsi="Arial"/>
          <w:sz w:val="24"/>
        </w:rPr>
        <w:t xml:space="preserve"> obrigatoriedade da ação penal.</w:t>
      </w:r>
    </w:p>
    <w:p w14:paraId="3DF56A64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Assim que o investigado aceita a proposta, os termos são encaminhados ao juiz, que neste caso tem a função de verificar a legalidade das condições impostas, e então homologa ou não o acordo.</w:t>
      </w:r>
    </w:p>
    <w:p w14:paraId="0AFF46A3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Conforme disposto no </w:t>
      </w:r>
      <w:r w:rsidRPr="00187CDA">
        <w:rPr>
          <w:rFonts w:ascii="Arial" w:hAnsi="Arial"/>
          <w:sz w:val="24"/>
        </w:rPr>
        <w:t>§ 5º</w:t>
      </w:r>
      <w:r>
        <w:rPr>
          <w:rFonts w:ascii="Arial" w:hAnsi="Arial"/>
          <w:sz w:val="24"/>
        </w:rPr>
        <w:t xml:space="preserve"> do art. 28-A do CPP,</w:t>
      </w:r>
      <w:r w:rsidRPr="00187CD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</w:t>
      </w:r>
      <w:r w:rsidRPr="00187CDA">
        <w:rPr>
          <w:rFonts w:ascii="Arial" w:hAnsi="Arial"/>
          <w:sz w:val="24"/>
        </w:rPr>
        <w:t xml:space="preserve">e o juiz considerar inadequadas, insuficientes ou abusivas as condições dispostas no acordo de não persecução penal, </w:t>
      </w:r>
      <w:r>
        <w:rPr>
          <w:rFonts w:ascii="Arial" w:hAnsi="Arial"/>
          <w:sz w:val="24"/>
        </w:rPr>
        <w:t xml:space="preserve">ele </w:t>
      </w:r>
      <w:r w:rsidRPr="00187CDA">
        <w:rPr>
          <w:rFonts w:ascii="Arial" w:hAnsi="Arial"/>
          <w:sz w:val="24"/>
        </w:rPr>
        <w:t>devolverá os autos ao Ministério Público para que seja reformulada a proposta de acordo, com concordância do investigado e seu defensor.</w:t>
      </w:r>
    </w:p>
    <w:p w14:paraId="7E45998D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Por outro lado, uma vez h</w:t>
      </w:r>
      <w:r w:rsidRPr="00187CDA">
        <w:rPr>
          <w:rFonts w:ascii="Arial" w:hAnsi="Arial"/>
          <w:sz w:val="24"/>
        </w:rPr>
        <w:t xml:space="preserve">omologado judicialmente o acordo de não persecução penal, </w:t>
      </w:r>
      <w:r>
        <w:rPr>
          <w:rFonts w:ascii="Arial" w:hAnsi="Arial"/>
          <w:sz w:val="24"/>
        </w:rPr>
        <w:t xml:space="preserve">a lei determina que </w:t>
      </w:r>
      <w:r w:rsidRPr="00187CDA">
        <w:rPr>
          <w:rFonts w:ascii="Arial" w:hAnsi="Arial"/>
          <w:sz w:val="24"/>
        </w:rPr>
        <w:t>o juiz devolverá os autos ao Ministério Público para que inicie sua execução perante o juízo de execução penal</w:t>
      </w:r>
      <w:r>
        <w:rPr>
          <w:rFonts w:ascii="Arial" w:hAnsi="Arial"/>
          <w:sz w:val="24"/>
        </w:rPr>
        <w:t>, ou seja, para verificação do cumprimento das condições impostas</w:t>
      </w:r>
      <w:r w:rsidRPr="00187CDA">
        <w:rPr>
          <w:rFonts w:ascii="Arial" w:hAnsi="Arial"/>
          <w:sz w:val="24"/>
        </w:rPr>
        <w:t>.</w:t>
      </w:r>
    </w:p>
    <w:p w14:paraId="4F20BB38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</w:p>
    <w:p w14:paraId="35BB3D12" w14:textId="77777777" w:rsidR="007A3289" w:rsidRPr="006C45A8" w:rsidRDefault="007A3289" w:rsidP="007A3289">
      <w:pPr>
        <w:pStyle w:val="Ttulo2"/>
        <w:rPr>
          <w:rFonts w:ascii="Arial" w:hAnsi="Arial"/>
          <w:color w:val="auto"/>
        </w:rPr>
      </w:pPr>
      <w:bookmarkStart w:id="2" w:name="_Toc113313987"/>
      <w:r w:rsidRPr="006C45A8">
        <w:rPr>
          <w:rFonts w:ascii="Arial" w:hAnsi="Arial"/>
          <w:b/>
          <w:bCs/>
          <w:color w:val="auto"/>
        </w:rPr>
        <w:t>6.2.1.</w:t>
      </w:r>
      <w:r w:rsidRPr="006C45A8">
        <w:rPr>
          <w:rFonts w:ascii="Arial" w:hAnsi="Arial"/>
          <w:b/>
          <w:bCs/>
          <w:i/>
          <w:iCs/>
          <w:color w:val="auto"/>
        </w:rPr>
        <w:t xml:space="preserve"> </w:t>
      </w:r>
      <w:proofErr w:type="spellStart"/>
      <w:r w:rsidRPr="006C45A8">
        <w:rPr>
          <w:rFonts w:ascii="Arial" w:hAnsi="Arial"/>
          <w:b/>
          <w:bCs/>
          <w:i/>
          <w:iCs/>
          <w:color w:val="auto"/>
        </w:rPr>
        <w:t>Participación</w:t>
      </w:r>
      <w:proofErr w:type="spellEnd"/>
      <w:r w:rsidRPr="006C45A8">
        <w:rPr>
          <w:rFonts w:ascii="Arial" w:hAnsi="Arial"/>
          <w:b/>
          <w:bCs/>
          <w:i/>
          <w:iCs/>
          <w:color w:val="auto"/>
        </w:rPr>
        <w:t xml:space="preserve"> de </w:t>
      </w:r>
      <w:proofErr w:type="spellStart"/>
      <w:r w:rsidRPr="006C45A8">
        <w:rPr>
          <w:rFonts w:ascii="Arial" w:hAnsi="Arial"/>
          <w:b/>
          <w:bCs/>
          <w:i/>
          <w:iCs/>
          <w:color w:val="auto"/>
        </w:rPr>
        <w:t>la</w:t>
      </w:r>
      <w:proofErr w:type="spellEnd"/>
      <w:r w:rsidRPr="006C45A8">
        <w:rPr>
          <w:rFonts w:ascii="Arial" w:hAnsi="Arial"/>
          <w:b/>
          <w:bCs/>
          <w:i/>
          <w:iCs/>
          <w:color w:val="auto"/>
        </w:rPr>
        <w:t xml:space="preserve"> </w:t>
      </w:r>
      <w:proofErr w:type="spellStart"/>
      <w:r w:rsidRPr="006C45A8">
        <w:rPr>
          <w:rFonts w:ascii="Arial" w:hAnsi="Arial"/>
          <w:b/>
          <w:bCs/>
          <w:i/>
          <w:iCs/>
          <w:color w:val="auto"/>
        </w:rPr>
        <w:t>víctima</w:t>
      </w:r>
      <w:bookmarkEnd w:id="2"/>
      <w:proofErr w:type="spellEnd"/>
    </w:p>
    <w:p w14:paraId="6B229A54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</w:p>
    <w:p w14:paraId="29876A99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Uma grande inovação trazida no bojo do acordo de não persecução penal é a obrigatoriedade de intimação da vítima a respeito </w:t>
      </w:r>
      <w:r w:rsidRPr="008E4F16">
        <w:rPr>
          <w:rFonts w:ascii="Arial" w:hAnsi="Arial"/>
          <w:sz w:val="24"/>
        </w:rPr>
        <w:t xml:space="preserve">da homologação do acordo </w:t>
      </w:r>
      <w:r>
        <w:rPr>
          <w:rFonts w:ascii="Arial" w:hAnsi="Arial"/>
          <w:sz w:val="24"/>
        </w:rPr>
        <w:t xml:space="preserve">bem como </w:t>
      </w:r>
      <w:r w:rsidRPr="008E4F16">
        <w:rPr>
          <w:rFonts w:ascii="Arial" w:hAnsi="Arial"/>
          <w:sz w:val="24"/>
        </w:rPr>
        <w:t>de seu</w:t>
      </w:r>
      <w:r>
        <w:rPr>
          <w:rFonts w:ascii="Arial" w:hAnsi="Arial"/>
          <w:sz w:val="24"/>
        </w:rPr>
        <w:t xml:space="preserve"> eventual</w:t>
      </w:r>
      <w:r w:rsidRPr="008E4F16">
        <w:rPr>
          <w:rFonts w:ascii="Arial" w:hAnsi="Arial"/>
          <w:sz w:val="24"/>
        </w:rPr>
        <w:t xml:space="preserve"> descumprimento. </w:t>
      </w:r>
    </w:p>
    <w:p w14:paraId="4B114094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É bem verdade que, no direito brasileiro, por muito tempo a vítima teve participação ínfima ou meramente passiva no processo de persecução penal, ou seja, </w:t>
      </w:r>
      <w:r w:rsidRPr="00F54E50">
        <w:rPr>
          <w:rFonts w:ascii="Arial" w:hAnsi="Arial"/>
          <w:sz w:val="24"/>
        </w:rPr>
        <w:t>foi esquecida pela ciência jurídica</w:t>
      </w:r>
      <w:r>
        <w:rPr>
          <w:rFonts w:ascii="Arial" w:hAnsi="Arial"/>
          <w:sz w:val="24"/>
        </w:rPr>
        <w:t>, somente</w:t>
      </w:r>
      <w:r w:rsidRPr="00F54E50">
        <w:rPr>
          <w:rFonts w:ascii="Arial" w:hAnsi="Arial"/>
          <w:sz w:val="24"/>
        </w:rPr>
        <w:t xml:space="preserve"> a partir dos estudos criminológicos que sua importância no direito penal e no processo criminal foi reestabelecida, fazendo surgir, inclusive, a vitimologia como importante ramo criminológico, que estuda cientificamente as vítimas de delitos.</w:t>
      </w:r>
      <w:sdt>
        <w:sdtPr>
          <w:rPr>
            <w:rFonts w:ascii="Arial" w:hAnsi="Arial"/>
            <w:sz w:val="24"/>
          </w:rPr>
          <w:id w:val="1572921496"/>
          <w:citation/>
        </w:sdtPr>
        <w:sdtContent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CITATION Ker21 \l 1046 </w:instrText>
          </w:r>
          <w:r>
            <w:rPr>
              <w:rFonts w:ascii="Arial" w:hAnsi="Arial"/>
              <w:sz w:val="24"/>
            </w:rPr>
            <w:fldChar w:fldCharType="separate"/>
          </w:r>
          <w:r>
            <w:rPr>
              <w:rFonts w:ascii="Arial" w:hAnsi="Arial"/>
              <w:noProof/>
              <w:sz w:val="24"/>
            </w:rPr>
            <w:t xml:space="preserve"> </w:t>
          </w:r>
          <w:r w:rsidRPr="00487FCC">
            <w:rPr>
              <w:rFonts w:ascii="Arial" w:hAnsi="Arial"/>
              <w:noProof/>
              <w:sz w:val="24"/>
            </w:rPr>
            <w:t>(KERSHAW, 2021)</w:t>
          </w:r>
          <w:r>
            <w:rPr>
              <w:rFonts w:ascii="Arial" w:hAnsi="Arial"/>
              <w:sz w:val="24"/>
            </w:rPr>
            <w:fldChar w:fldCharType="end"/>
          </w:r>
        </w:sdtContent>
      </w:sdt>
      <w:r>
        <w:rPr>
          <w:rFonts w:ascii="Arial" w:hAnsi="Arial"/>
          <w:sz w:val="24"/>
        </w:rPr>
        <w:t xml:space="preserve">  </w:t>
      </w:r>
    </w:p>
    <w:p w14:paraId="6FE7552A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Com a reforma trazida no denominado “pacote anticrime”</w:t>
      </w:r>
      <w:r w:rsidRPr="005E40E7">
        <w:rPr>
          <w:rFonts w:ascii="Arial" w:hAnsi="Arial"/>
          <w:sz w:val="24"/>
        </w:rPr>
        <w:t xml:space="preserve"> (Redação dada pela Lei nº 13.964, de 2019)</w:t>
      </w:r>
      <w:r>
        <w:rPr>
          <w:rFonts w:ascii="Arial" w:hAnsi="Arial"/>
          <w:sz w:val="24"/>
        </w:rPr>
        <w:t xml:space="preserve"> mais precisamente no a</w:t>
      </w:r>
      <w:r w:rsidRPr="005E40E7">
        <w:rPr>
          <w:rFonts w:ascii="Arial" w:hAnsi="Arial"/>
          <w:sz w:val="24"/>
        </w:rPr>
        <w:t>rt</w:t>
      </w:r>
      <w:r>
        <w:rPr>
          <w:rFonts w:ascii="Arial" w:hAnsi="Arial"/>
          <w:sz w:val="24"/>
        </w:rPr>
        <w:t>igo</w:t>
      </w:r>
      <w:r w:rsidRPr="005E40E7">
        <w:rPr>
          <w:rFonts w:ascii="Arial" w:hAnsi="Arial"/>
          <w:sz w:val="24"/>
        </w:rPr>
        <w:t xml:space="preserve"> </w:t>
      </w:r>
      <w:proofErr w:type="gramStart"/>
      <w:r w:rsidRPr="005E40E7">
        <w:rPr>
          <w:rFonts w:ascii="Arial" w:hAnsi="Arial"/>
          <w:sz w:val="24"/>
        </w:rPr>
        <w:t>28</w:t>
      </w:r>
      <w:r>
        <w:rPr>
          <w:rFonts w:ascii="Arial" w:hAnsi="Arial"/>
          <w:sz w:val="24"/>
        </w:rPr>
        <w:t xml:space="preserve"> </w:t>
      </w:r>
      <w:r w:rsidRPr="00FD21A9">
        <w:rPr>
          <w:rFonts w:ascii="Arial" w:hAnsi="Arial"/>
          <w:i/>
          <w:iCs/>
          <w:sz w:val="24"/>
        </w:rPr>
        <w:t>caput</w:t>
      </w:r>
      <w:proofErr w:type="gramEnd"/>
      <w:r>
        <w:rPr>
          <w:rFonts w:ascii="Arial" w:hAnsi="Arial"/>
          <w:sz w:val="24"/>
        </w:rPr>
        <w:t xml:space="preserve">, foi introduzida expressa determinação para que, no caso de </w:t>
      </w:r>
      <w:r w:rsidRPr="005E40E7">
        <w:rPr>
          <w:rFonts w:ascii="Arial" w:hAnsi="Arial"/>
          <w:sz w:val="24"/>
        </w:rPr>
        <w:t>arquivamento do inquérito policial ou de quaisquer elementos informativos da mesma natureza, o órgão do Ministério Público comuni</w:t>
      </w:r>
      <w:r>
        <w:rPr>
          <w:rFonts w:ascii="Arial" w:hAnsi="Arial"/>
          <w:sz w:val="24"/>
        </w:rPr>
        <w:t>que</w:t>
      </w:r>
      <w:r w:rsidRPr="005E40E7">
        <w:rPr>
          <w:rFonts w:ascii="Arial" w:hAnsi="Arial"/>
          <w:sz w:val="24"/>
        </w:rPr>
        <w:t xml:space="preserve"> à vítima</w:t>
      </w:r>
      <w:r>
        <w:rPr>
          <w:rFonts w:ascii="Arial" w:hAnsi="Arial"/>
          <w:sz w:val="24"/>
        </w:rPr>
        <w:t xml:space="preserve"> a respeito.</w:t>
      </w:r>
    </w:p>
    <w:p w14:paraId="18BB1F93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Tal comunicação demonstra o prestígio que o legislador passou a ter no que diz respeito à participação da vítima nas apurações de crimes.</w:t>
      </w:r>
    </w:p>
    <w:p w14:paraId="5DB712DB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Mais do que isso, é possível se constatar maior relevância ainda da vítima quando se observa o </w:t>
      </w:r>
      <w:r w:rsidRPr="005E40E7">
        <w:rPr>
          <w:rFonts w:ascii="Arial" w:hAnsi="Arial"/>
          <w:sz w:val="24"/>
        </w:rPr>
        <w:t>§ 1º</w:t>
      </w:r>
      <w:r>
        <w:rPr>
          <w:rFonts w:ascii="Arial" w:hAnsi="Arial"/>
          <w:sz w:val="24"/>
        </w:rPr>
        <w:t xml:space="preserve"> do artigo citado, o legislador trouxe a possibilidade d</w:t>
      </w:r>
      <w:r w:rsidRPr="005E40E7">
        <w:rPr>
          <w:rFonts w:ascii="Arial" w:hAnsi="Arial"/>
          <w:sz w:val="24"/>
        </w:rPr>
        <w:t xml:space="preserve">a vítima ou </w:t>
      </w:r>
      <w:r>
        <w:rPr>
          <w:rFonts w:ascii="Arial" w:hAnsi="Arial"/>
          <w:sz w:val="24"/>
        </w:rPr>
        <w:t xml:space="preserve">de </w:t>
      </w:r>
      <w:r w:rsidRPr="005E40E7">
        <w:rPr>
          <w:rFonts w:ascii="Arial" w:hAnsi="Arial"/>
          <w:sz w:val="24"/>
        </w:rPr>
        <w:t>seu representante legal</w:t>
      </w:r>
      <w:r>
        <w:rPr>
          <w:rFonts w:ascii="Arial" w:hAnsi="Arial"/>
          <w:sz w:val="24"/>
        </w:rPr>
        <w:t xml:space="preserve"> recorrer no caso de </w:t>
      </w:r>
      <w:r w:rsidRPr="005E40E7">
        <w:rPr>
          <w:rFonts w:ascii="Arial" w:hAnsi="Arial"/>
          <w:sz w:val="24"/>
        </w:rPr>
        <w:t>não concordar com o arquivamento do inquérito policia</w:t>
      </w:r>
      <w:r>
        <w:rPr>
          <w:rFonts w:ascii="Arial" w:hAnsi="Arial"/>
          <w:sz w:val="24"/>
        </w:rPr>
        <w:t>l</w:t>
      </w:r>
      <w:r w:rsidRPr="005E40E7">
        <w:rPr>
          <w:rFonts w:ascii="Arial" w:hAnsi="Arial"/>
          <w:sz w:val="24"/>
        </w:rPr>
        <w:t>.</w:t>
      </w:r>
    </w:p>
    <w:p w14:paraId="535B4E33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 xml:space="preserve">Não se pode olvidar que o Conselho Nacional do Ministério Público </w:t>
      </w:r>
      <w:r w:rsidRPr="003759CF">
        <w:rPr>
          <w:rFonts w:ascii="Arial" w:hAnsi="Arial"/>
          <w:sz w:val="24"/>
          <w:szCs w:val="24"/>
        </w:rPr>
        <w:t>(CNMP)</w:t>
      </w:r>
      <w:r>
        <w:rPr>
          <w:rFonts w:ascii="Arial" w:hAnsi="Arial"/>
          <w:sz w:val="24"/>
          <w:szCs w:val="24"/>
        </w:rPr>
        <w:t xml:space="preserve"> brasileiro</w:t>
      </w:r>
      <w:r w:rsidRPr="003759CF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desde 2017, na Resolução nº 181 já previa maior participação da vítima na</w:t>
      </w:r>
      <w:r w:rsidRPr="003759CF">
        <w:rPr>
          <w:rFonts w:ascii="Arial" w:hAnsi="Arial"/>
          <w:sz w:val="24"/>
          <w:szCs w:val="24"/>
        </w:rPr>
        <w:t xml:space="preserve"> instauração e tramitação do procedimento investigatório criminal a cargo do Ministério Público, bem como disciplin</w:t>
      </w:r>
      <w:r>
        <w:rPr>
          <w:rFonts w:ascii="Arial" w:hAnsi="Arial"/>
          <w:sz w:val="24"/>
          <w:szCs w:val="24"/>
        </w:rPr>
        <w:t>ou</w:t>
      </w:r>
      <w:r w:rsidRPr="003759CF">
        <w:rPr>
          <w:rFonts w:ascii="Arial" w:hAnsi="Arial"/>
          <w:sz w:val="24"/>
          <w:szCs w:val="24"/>
        </w:rPr>
        <w:t xml:space="preserve"> os Acordos de Não Persecução Penal, estabelece</w:t>
      </w:r>
      <w:r>
        <w:rPr>
          <w:rFonts w:ascii="Arial" w:hAnsi="Arial"/>
          <w:sz w:val="24"/>
          <w:szCs w:val="24"/>
        </w:rPr>
        <w:t>ndo inclusive</w:t>
      </w:r>
      <w:r w:rsidRPr="003759CF">
        <w:rPr>
          <w:rFonts w:ascii="Arial" w:hAnsi="Arial"/>
          <w:sz w:val="24"/>
          <w:szCs w:val="24"/>
        </w:rPr>
        <w:t xml:space="preserve"> um capítulo especial dedicado aos direitos das vítimas criminais</w:t>
      </w:r>
      <w:r>
        <w:rPr>
          <w:rFonts w:ascii="Arial" w:hAnsi="Arial"/>
          <w:sz w:val="24"/>
          <w:szCs w:val="24"/>
        </w:rPr>
        <w:t>, a saber</w:t>
      </w:r>
      <w:r>
        <w:rPr>
          <w:rStyle w:val="Refdenotaderodap"/>
          <w:rFonts w:ascii="Arial" w:hAnsi="Arial"/>
          <w:sz w:val="24"/>
          <w:szCs w:val="24"/>
        </w:rPr>
        <w:footnoteReference w:id="1"/>
      </w:r>
      <w:r>
        <w:rPr>
          <w:rFonts w:ascii="Arial" w:hAnsi="Arial"/>
          <w:sz w:val="24"/>
          <w:szCs w:val="24"/>
        </w:rPr>
        <w:t>:</w:t>
      </w:r>
    </w:p>
    <w:p w14:paraId="70D3D0EB" w14:textId="77777777" w:rsidR="007A3289" w:rsidRPr="00903931" w:rsidRDefault="007A3289" w:rsidP="007A3289">
      <w:pPr>
        <w:pStyle w:val="li8"/>
        <w:numPr>
          <w:ilvl w:val="0"/>
          <w:numId w:val="2"/>
        </w:numPr>
        <w:spacing w:after="10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03931">
        <w:rPr>
          <w:rFonts w:ascii="Arial" w:hAnsi="Arial" w:cs="Arial"/>
          <w:color w:val="000000"/>
          <w:sz w:val="22"/>
          <w:szCs w:val="22"/>
        </w:rPr>
        <w:t>esclarecimento sobre seus direitos materiais e processuais (art. 17, </w:t>
      </w:r>
      <w:r w:rsidRPr="00903931">
        <w:rPr>
          <w:rFonts w:ascii="Arial" w:hAnsi="Arial" w:cs="Arial"/>
          <w:i/>
          <w:iCs/>
          <w:color w:val="000000"/>
          <w:sz w:val="22"/>
          <w:szCs w:val="22"/>
        </w:rPr>
        <w:t>caput</w:t>
      </w:r>
      <w:r w:rsidRPr="00903931">
        <w:rPr>
          <w:rFonts w:ascii="Arial" w:hAnsi="Arial" w:cs="Arial"/>
          <w:color w:val="000000"/>
          <w:sz w:val="22"/>
          <w:szCs w:val="22"/>
        </w:rPr>
        <w:t>);</w:t>
      </w:r>
    </w:p>
    <w:p w14:paraId="0902B1C6" w14:textId="77777777" w:rsidR="007A3289" w:rsidRPr="00903931" w:rsidRDefault="007A3289" w:rsidP="007A3289">
      <w:pPr>
        <w:pStyle w:val="li8"/>
        <w:numPr>
          <w:ilvl w:val="0"/>
          <w:numId w:val="2"/>
        </w:numPr>
        <w:spacing w:after="10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03931">
        <w:rPr>
          <w:rFonts w:ascii="Arial" w:hAnsi="Arial" w:cs="Arial"/>
          <w:color w:val="000000"/>
          <w:sz w:val="22"/>
          <w:szCs w:val="22"/>
        </w:rPr>
        <w:t>segurança quando sofrerem ameaça ou que, de modo concreto, quando estiverem suscetíveis a sofrer intimidação por parte de acusados, de parentes do acusado ou pessoas a seu mando, podendo o membro requisitar proteção policial em seu favor (art. 17, § 1º);</w:t>
      </w:r>
    </w:p>
    <w:p w14:paraId="476AA9B5" w14:textId="77777777" w:rsidR="007A3289" w:rsidRPr="00903931" w:rsidRDefault="007A3289" w:rsidP="007A3289">
      <w:pPr>
        <w:pStyle w:val="li8"/>
        <w:numPr>
          <w:ilvl w:val="0"/>
          <w:numId w:val="2"/>
        </w:numPr>
        <w:spacing w:after="10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03931">
        <w:rPr>
          <w:rFonts w:ascii="Arial" w:hAnsi="Arial" w:cs="Arial"/>
          <w:color w:val="000000"/>
          <w:sz w:val="22"/>
          <w:szCs w:val="22"/>
        </w:rPr>
        <w:t xml:space="preserve">encaminhamento da vítima para inclusão em Programa de Proteção de Assistência </w:t>
      </w:r>
      <w:proofErr w:type="spellStart"/>
      <w:r w:rsidRPr="00903931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903931">
        <w:rPr>
          <w:rFonts w:ascii="Arial" w:hAnsi="Arial" w:cs="Arial"/>
          <w:color w:val="000000"/>
          <w:sz w:val="22"/>
          <w:szCs w:val="22"/>
        </w:rPr>
        <w:t xml:space="preserve"> Vítimas ameaçadas ou em Programa de Proteção a Crianças e Adolescentes Ameaçados, conforme o caso e quando presentes os pressupostos legais (art. 17, § 2º);</w:t>
      </w:r>
    </w:p>
    <w:p w14:paraId="61FD681B" w14:textId="77777777" w:rsidR="007A3289" w:rsidRPr="00903931" w:rsidRDefault="007A3289" w:rsidP="007A3289">
      <w:pPr>
        <w:pStyle w:val="li8"/>
        <w:numPr>
          <w:ilvl w:val="0"/>
          <w:numId w:val="2"/>
        </w:numPr>
        <w:spacing w:after="10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03931">
        <w:rPr>
          <w:rFonts w:ascii="Arial" w:hAnsi="Arial" w:cs="Arial"/>
          <w:color w:val="000000"/>
          <w:sz w:val="22"/>
          <w:szCs w:val="22"/>
        </w:rPr>
        <w:t>encaminhamento da vítima e de outras pessoas atingidas pela prática do fato criminoso apurado à rede de assistência, para atendimento multidisciplinar, especialmente nas áreas psicossocial, de assistência jurídica e de saúde, a expensas do ofensor ou do Estado (art. 17, § 4º);</w:t>
      </w:r>
    </w:p>
    <w:p w14:paraId="518FCE77" w14:textId="77777777" w:rsidR="007A3289" w:rsidRPr="00903931" w:rsidRDefault="007A3289" w:rsidP="007A3289">
      <w:pPr>
        <w:pStyle w:val="li8"/>
        <w:numPr>
          <w:ilvl w:val="0"/>
          <w:numId w:val="2"/>
        </w:numPr>
        <w:spacing w:after="10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03931">
        <w:rPr>
          <w:rFonts w:ascii="Arial" w:hAnsi="Arial" w:cs="Arial"/>
          <w:color w:val="000000"/>
          <w:sz w:val="22"/>
          <w:szCs w:val="22"/>
        </w:rPr>
        <w:t>possibilidade de prestar declarações e informações em geral, eventualmente sugerir diligências, indicar meios de prova e deduzir alegações, que deverão ser avaliadas fundamentadamente pelo membro do Ministério Público (art. 17, § 5º);</w:t>
      </w:r>
    </w:p>
    <w:p w14:paraId="14F09256" w14:textId="77777777" w:rsidR="007A3289" w:rsidRPr="00903931" w:rsidRDefault="007A3289" w:rsidP="007A3289">
      <w:pPr>
        <w:pStyle w:val="li8"/>
        <w:numPr>
          <w:ilvl w:val="0"/>
          <w:numId w:val="2"/>
        </w:numPr>
        <w:spacing w:after="105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03931">
        <w:rPr>
          <w:rFonts w:ascii="Arial" w:hAnsi="Arial" w:cs="Arial"/>
          <w:color w:val="000000"/>
          <w:sz w:val="22"/>
          <w:szCs w:val="22"/>
        </w:rPr>
        <w:t>comunicação da vítima ou, na ausência desta, dos seus respectivos familiares sobre o oferecimento de ação penal (art. 17, § 7º).</w:t>
      </w:r>
    </w:p>
    <w:p w14:paraId="6C2A9E51" w14:textId="77777777" w:rsidR="007A3289" w:rsidRPr="00187CDA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 w:rsidRPr="00187CDA">
        <w:rPr>
          <w:rFonts w:ascii="Arial" w:hAnsi="Arial"/>
          <w:sz w:val="24"/>
        </w:rPr>
        <w:t xml:space="preserve">            </w:t>
      </w:r>
    </w:p>
    <w:p w14:paraId="3A0888A8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Ainda sobre a participação da vítima, observando-se criticamente a forma moderna de persecução penal, após a constatação do fato criminoso, o Estado monopoliza a resolução do conflito, deixando apenas e tão somente a cargo dos operadores do direito,</w:t>
      </w:r>
      <w:r w:rsidRPr="00B00AA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em detrimento dos verdadeiros envolvidos (autor e vítima), a responsabilidade de dar uma “satisfação” a sociedade sobre </w:t>
      </w:r>
      <w:r>
        <w:rPr>
          <w:rFonts w:ascii="Arial" w:hAnsi="Arial"/>
          <w:sz w:val="24"/>
        </w:rPr>
        <w:lastRenderedPageBreak/>
        <w:t xml:space="preserve">o fato, satisfação esta que vem através de uma resposta padronizada de punição, quando na verdade, segundo de </w:t>
      </w:r>
      <w:proofErr w:type="spellStart"/>
      <w:r w:rsidRPr="00816ED8">
        <w:rPr>
          <w:rFonts w:ascii="Arial" w:hAnsi="Arial"/>
          <w:sz w:val="24"/>
        </w:rPr>
        <w:t>Petronella</w:t>
      </w:r>
      <w:proofErr w:type="spellEnd"/>
      <w:r w:rsidRPr="00816ED8">
        <w:rPr>
          <w:rFonts w:ascii="Arial" w:hAnsi="Arial"/>
          <w:sz w:val="24"/>
        </w:rPr>
        <w:t xml:space="preserve"> Maria </w:t>
      </w:r>
      <w:proofErr w:type="spellStart"/>
      <w:r w:rsidRPr="00816ED8">
        <w:rPr>
          <w:rFonts w:ascii="Arial" w:hAnsi="Arial"/>
          <w:sz w:val="24"/>
        </w:rPr>
        <w:t>Boonen</w:t>
      </w:r>
      <w:proofErr w:type="spellEnd"/>
      <w:r w:rsidRPr="00816ED8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melhor se resolveria a questão se houvesse  maior protagonismo as partes envolvidas na resolução do conflito. </w:t>
      </w:r>
    </w:p>
    <w:p w14:paraId="746F58FD" w14:textId="77777777" w:rsidR="007A3289" w:rsidRPr="00A9309D" w:rsidRDefault="007A3289" w:rsidP="007A3289">
      <w:pPr>
        <w:spacing w:line="360" w:lineRule="auto"/>
        <w:ind w:left="2268"/>
        <w:jc w:val="both"/>
        <w:rPr>
          <w:rFonts w:ascii="Arial" w:hAnsi="Arial"/>
          <w:sz w:val="20"/>
          <w:szCs w:val="18"/>
        </w:rPr>
      </w:pPr>
      <w:r w:rsidRPr="00A9309D">
        <w:rPr>
          <w:rFonts w:ascii="Arial" w:hAnsi="Arial"/>
          <w:sz w:val="20"/>
          <w:szCs w:val="18"/>
        </w:rPr>
        <w:t xml:space="preserve">O monopólio das decisões judiciais importantes, nas mãos dos profissionais do direito, é a marca registrada do </w:t>
      </w:r>
      <w:r w:rsidRPr="0015176B">
        <w:rPr>
          <w:rFonts w:ascii="Arial" w:hAnsi="Arial"/>
          <w:i/>
          <w:iCs/>
          <w:sz w:val="20"/>
          <w:szCs w:val="18"/>
        </w:rPr>
        <w:t xml:space="preserve">status quo </w:t>
      </w:r>
      <w:r w:rsidRPr="00A9309D">
        <w:rPr>
          <w:rFonts w:ascii="Arial" w:hAnsi="Arial"/>
          <w:sz w:val="20"/>
          <w:szCs w:val="18"/>
        </w:rPr>
        <w:t>na justiça criminal. Uma questão muito séria é o silenciamento das pessoas mais bem posicionadas para tomarem decisões, isto é, os próprios envolvidos no processo. O atual sistema é responsável por muitas decisões inapropriadas. Uma das razões é o interesse de muitos operadores em atenderem às prioridades típicas de um sistema burocrático, muitas vezes, não condizente com as necessidades básicas e os interesses dos principais envolvidos.</w:t>
      </w:r>
      <w:sdt>
        <w:sdtPr>
          <w:rPr>
            <w:rFonts w:ascii="Arial" w:hAnsi="Arial"/>
            <w:sz w:val="20"/>
            <w:szCs w:val="18"/>
          </w:rPr>
          <w:id w:val="1286233800"/>
          <w:citation/>
        </w:sdtPr>
        <w:sdtContent>
          <w:r>
            <w:rPr>
              <w:rFonts w:ascii="Arial" w:hAnsi="Arial"/>
              <w:sz w:val="20"/>
              <w:szCs w:val="18"/>
            </w:rPr>
            <w:fldChar w:fldCharType="begin"/>
          </w:r>
          <w:r>
            <w:rPr>
              <w:rFonts w:ascii="Arial" w:hAnsi="Arial"/>
              <w:sz w:val="20"/>
              <w:szCs w:val="18"/>
            </w:rPr>
            <w:instrText xml:space="preserve">CITATION Boo11 \l 1046 </w:instrText>
          </w:r>
          <w:r>
            <w:rPr>
              <w:rFonts w:ascii="Arial" w:hAnsi="Arial"/>
              <w:sz w:val="20"/>
              <w:szCs w:val="18"/>
            </w:rPr>
            <w:fldChar w:fldCharType="separate"/>
          </w:r>
          <w:r>
            <w:rPr>
              <w:rFonts w:ascii="Arial" w:hAnsi="Arial"/>
              <w:noProof/>
              <w:sz w:val="20"/>
              <w:szCs w:val="18"/>
            </w:rPr>
            <w:t xml:space="preserve"> </w:t>
          </w:r>
          <w:r w:rsidRPr="00487FCC">
            <w:rPr>
              <w:rFonts w:ascii="Arial" w:hAnsi="Arial"/>
              <w:noProof/>
              <w:sz w:val="20"/>
              <w:szCs w:val="18"/>
            </w:rPr>
            <w:t>(BOONEN, 2011)</w:t>
          </w:r>
          <w:r>
            <w:rPr>
              <w:rFonts w:ascii="Arial" w:hAnsi="Arial"/>
              <w:sz w:val="20"/>
              <w:szCs w:val="18"/>
            </w:rPr>
            <w:fldChar w:fldCharType="end"/>
          </w:r>
        </w:sdtContent>
      </w:sdt>
    </w:p>
    <w:p w14:paraId="6EB5D872" w14:textId="77777777" w:rsidR="007A3289" w:rsidRPr="001508C1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 w:rsidRPr="001508C1">
        <w:rPr>
          <w:rFonts w:ascii="Arial" w:hAnsi="Arial"/>
          <w:sz w:val="24"/>
        </w:rPr>
        <w:t>Não há como se discordar da referida autora, posto que, de fato, a maior participação da vítima no processo investigatório e judicial, é um dos motivos pelos quais a Lei 1</w:t>
      </w:r>
      <w:r>
        <w:rPr>
          <w:rFonts w:ascii="Arial" w:hAnsi="Arial"/>
          <w:sz w:val="24"/>
        </w:rPr>
        <w:t>3</w:t>
      </w:r>
      <w:r w:rsidRPr="001508C1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964</w:t>
      </w:r>
      <w:r w:rsidRPr="001508C1">
        <w:rPr>
          <w:rFonts w:ascii="Arial" w:hAnsi="Arial"/>
          <w:sz w:val="24"/>
        </w:rPr>
        <w:t xml:space="preserve">/19 denominada “pacote anticrime” </w:t>
      </w:r>
      <w:r>
        <w:rPr>
          <w:rFonts w:ascii="Arial" w:hAnsi="Arial"/>
          <w:sz w:val="24"/>
        </w:rPr>
        <w:t xml:space="preserve">na parte processual </w:t>
      </w:r>
      <w:r w:rsidRPr="001508C1">
        <w:rPr>
          <w:rFonts w:ascii="Arial" w:hAnsi="Arial"/>
          <w:sz w:val="24"/>
        </w:rPr>
        <w:t>foi objeto de elogios pois vai ao encontro de políticas de desencarceramento</w:t>
      </w:r>
      <w:r>
        <w:rPr>
          <w:rFonts w:ascii="Arial" w:hAnsi="Arial"/>
          <w:sz w:val="24"/>
        </w:rPr>
        <w:t xml:space="preserve"> e reafirma o sistema acusatório</w:t>
      </w:r>
      <w:r w:rsidRPr="001508C1">
        <w:rPr>
          <w:rFonts w:ascii="Arial" w:hAnsi="Arial"/>
          <w:sz w:val="24"/>
        </w:rPr>
        <w:t>.</w:t>
      </w:r>
    </w:p>
    <w:p w14:paraId="513D750A" w14:textId="77777777" w:rsidR="007A3289" w:rsidRPr="001508C1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 w:rsidRPr="001508C1">
        <w:rPr>
          <w:rFonts w:ascii="Arial" w:hAnsi="Arial"/>
          <w:sz w:val="24"/>
        </w:rPr>
        <w:t>Por outro lado, em linhas gerais, quanto ao Direito Penal, as modificações mais significativas trazidas pela lei anticrime são de fortes recrudescimentos, dando lastro a radicalização da política de encarceramento em massa.</w:t>
      </w:r>
      <w:sdt>
        <w:sdtPr>
          <w:rPr>
            <w:rFonts w:ascii="Arial" w:hAnsi="Arial"/>
            <w:sz w:val="24"/>
          </w:rPr>
          <w:id w:val="-938911809"/>
          <w:citation/>
        </w:sdtPr>
        <w:sdtContent>
          <w:r w:rsidRPr="001508C1">
            <w:rPr>
              <w:rFonts w:ascii="Arial" w:hAnsi="Arial"/>
              <w:sz w:val="24"/>
            </w:rPr>
            <w:fldChar w:fldCharType="begin"/>
          </w:r>
          <w:r w:rsidRPr="001508C1">
            <w:rPr>
              <w:rFonts w:ascii="Arial" w:hAnsi="Arial"/>
              <w:sz w:val="24"/>
            </w:rPr>
            <w:instrText xml:space="preserve"> CITATION Gui20 \l 1046 </w:instrText>
          </w:r>
          <w:r w:rsidRPr="001508C1">
            <w:rPr>
              <w:rFonts w:ascii="Arial" w:hAnsi="Arial"/>
              <w:sz w:val="24"/>
            </w:rPr>
            <w:fldChar w:fldCharType="separate"/>
          </w:r>
          <w:r>
            <w:rPr>
              <w:rFonts w:ascii="Arial" w:hAnsi="Arial"/>
              <w:noProof/>
              <w:sz w:val="24"/>
            </w:rPr>
            <w:t xml:space="preserve"> </w:t>
          </w:r>
          <w:r w:rsidRPr="00487FCC">
            <w:rPr>
              <w:rFonts w:ascii="Arial" w:hAnsi="Arial"/>
              <w:noProof/>
              <w:sz w:val="24"/>
            </w:rPr>
            <w:t>(DEZEM e SOUZA, 2020)</w:t>
          </w:r>
          <w:r w:rsidRPr="001508C1">
            <w:rPr>
              <w:rFonts w:ascii="Arial" w:hAnsi="Arial"/>
              <w:sz w:val="24"/>
            </w:rPr>
            <w:fldChar w:fldCharType="end"/>
          </w:r>
        </w:sdtContent>
      </w:sdt>
    </w:p>
    <w:p w14:paraId="3DBFE291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color w:val="FF0000"/>
          <w:sz w:val="24"/>
        </w:rPr>
      </w:pPr>
    </w:p>
    <w:p w14:paraId="056397AA" w14:textId="77777777" w:rsidR="007A3289" w:rsidRPr="006C45A8" w:rsidRDefault="007A3289" w:rsidP="007A3289">
      <w:pPr>
        <w:pStyle w:val="Ttulo2"/>
        <w:rPr>
          <w:rFonts w:ascii="Arial" w:hAnsi="Arial"/>
          <w:b/>
          <w:bCs/>
          <w:color w:val="auto"/>
        </w:rPr>
      </w:pPr>
      <w:bookmarkStart w:id="4" w:name="_Toc113313988"/>
      <w:r w:rsidRPr="006C45A8">
        <w:rPr>
          <w:rFonts w:ascii="Arial" w:hAnsi="Arial"/>
          <w:b/>
          <w:bCs/>
          <w:color w:val="auto"/>
        </w:rPr>
        <w:t xml:space="preserve">6.2.2. </w:t>
      </w:r>
      <w:proofErr w:type="spellStart"/>
      <w:r w:rsidRPr="006C45A8">
        <w:rPr>
          <w:rFonts w:ascii="Arial" w:hAnsi="Arial"/>
          <w:b/>
          <w:bCs/>
          <w:i/>
          <w:iCs/>
          <w:color w:val="auto"/>
        </w:rPr>
        <w:t>Participación</w:t>
      </w:r>
      <w:proofErr w:type="spellEnd"/>
      <w:r w:rsidRPr="006C45A8">
        <w:rPr>
          <w:rFonts w:ascii="Arial" w:hAnsi="Arial"/>
          <w:b/>
          <w:bCs/>
          <w:i/>
          <w:iCs/>
          <w:color w:val="auto"/>
        </w:rPr>
        <w:t xml:space="preserve"> </w:t>
      </w:r>
      <w:proofErr w:type="spellStart"/>
      <w:r w:rsidRPr="006C45A8">
        <w:rPr>
          <w:rFonts w:ascii="Arial" w:hAnsi="Arial"/>
          <w:b/>
          <w:bCs/>
          <w:i/>
          <w:iCs/>
          <w:color w:val="auto"/>
        </w:rPr>
        <w:t>del</w:t>
      </w:r>
      <w:proofErr w:type="spellEnd"/>
      <w:r w:rsidRPr="006C45A8">
        <w:rPr>
          <w:rFonts w:ascii="Arial" w:hAnsi="Arial"/>
          <w:b/>
          <w:bCs/>
          <w:i/>
          <w:iCs/>
          <w:color w:val="auto"/>
        </w:rPr>
        <w:t xml:space="preserve"> </w:t>
      </w:r>
      <w:proofErr w:type="spellStart"/>
      <w:r w:rsidRPr="006C45A8">
        <w:rPr>
          <w:rFonts w:ascii="Arial" w:hAnsi="Arial"/>
          <w:b/>
          <w:bCs/>
          <w:i/>
          <w:iCs/>
          <w:color w:val="auto"/>
        </w:rPr>
        <w:t>infractor</w:t>
      </w:r>
      <w:bookmarkEnd w:id="4"/>
      <w:proofErr w:type="spellEnd"/>
    </w:p>
    <w:p w14:paraId="58BE1711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color w:val="FF0000"/>
          <w:sz w:val="24"/>
        </w:rPr>
      </w:pPr>
    </w:p>
    <w:p w14:paraId="0F87DDDE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Não restam dúvidas que as</w:t>
      </w:r>
      <w:r w:rsidRPr="00B31857">
        <w:rPr>
          <w:rFonts w:ascii="Arial" w:hAnsi="Arial"/>
          <w:sz w:val="24"/>
        </w:rPr>
        <w:t xml:space="preserve"> balizas jurídicas e operacionais </w:t>
      </w:r>
      <w:r>
        <w:rPr>
          <w:rFonts w:ascii="Arial" w:hAnsi="Arial"/>
          <w:sz w:val="24"/>
        </w:rPr>
        <w:t xml:space="preserve">contidas no acordo de não persecução penal são verdadeiros instrumentos </w:t>
      </w:r>
      <w:r w:rsidRPr="00B31857">
        <w:rPr>
          <w:rFonts w:ascii="Arial" w:hAnsi="Arial"/>
          <w:sz w:val="24"/>
        </w:rPr>
        <w:t xml:space="preserve">de </w:t>
      </w:r>
      <w:r>
        <w:rPr>
          <w:rFonts w:ascii="Arial" w:hAnsi="Arial"/>
          <w:sz w:val="24"/>
        </w:rPr>
        <w:t xml:space="preserve">não apenas </w:t>
      </w:r>
      <w:r w:rsidRPr="00B31857">
        <w:rPr>
          <w:rFonts w:ascii="Arial" w:hAnsi="Arial"/>
          <w:sz w:val="24"/>
        </w:rPr>
        <w:t>valorização da vítima</w:t>
      </w:r>
      <w:r>
        <w:rPr>
          <w:rFonts w:ascii="Arial" w:hAnsi="Arial"/>
          <w:sz w:val="24"/>
        </w:rPr>
        <w:t xml:space="preserve">, mas também de </w:t>
      </w:r>
      <w:r w:rsidRPr="00B31857">
        <w:rPr>
          <w:rFonts w:ascii="Arial" w:hAnsi="Arial"/>
          <w:sz w:val="24"/>
        </w:rPr>
        <w:t>práticas restaurativas,</w:t>
      </w:r>
      <w:r>
        <w:rPr>
          <w:rFonts w:ascii="Arial" w:hAnsi="Arial"/>
          <w:sz w:val="24"/>
        </w:rPr>
        <w:t xml:space="preserve"> ou melhor, trouxe </w:t>
      </w:r>
      <w:r w:rsidRPr="00B31857">
        <w:rPr>
          <w:rFonts w:ascii="Arial" w:hAnsi="Arial"/>
          <w:sz w:val="24"/>
        </w:rPr>
        <w:t>forma</w:t>
      </w:r>
      <w:r>
        <w:rPr>
          <w:rFonts w:ascii="Arial" w:hAnsi="Arial"/>
          <w:sz w:val="24"/>
        </w:rPr>
        <w:t>s</w:t>
      </w:r>
      <w:r w:rsidRPr="00B31857">
        <w:rPr>
          <w:rFonts w:ascii="Arial" w:hAnsi="Arial"/>
          <w:sz w:val="24"/>
        </w:rPr>
        <w:t xml:space="preserve"> de alternativa</w:t>
      </w:r>
      <w:r>
        <w:rPr>
          <w:rFonts w:ascii="Arial" w:hAnsi="Arial"/>
          <w:sz w:val="24"/>
        </w:rPr>
        <w:t>s</w:t>
      </w:r>
      <w:r w:rsidRPr="00B31857">
        <w:rPr>
          <w:rFonts w:ascii="Arial" w:hAnsi="Arial"/>
          <w:sz w:val="24"/>
        </w:rPr>
        <w:t xml:space="preserve"> primária</w:t>
      </w:r>
      <w:r>
        <w:rPr>
          <w:rFonts w:ascii="Arial" w:hAnsi="Arial"/>
          <w:sz w:val="24"/>
        </w:rPr>
        <w:t>s</w:t>
      </w:r>
      <w:r w:rsidRPr="00B31857">
        <w:rPr>
          <w:rFonts w:ascii="Arial" w:hAnsi="Arial"/>
          <w:sz w:val="24"/>
        </w:rPr>
        <w:t xml:space="preserve"> à tutela penal </w:t>
      </w:r>
      <w:r>
        <w:rPr>
          <w:rFonts w:ascii="Arial" w:hAnsi="Arial"/>
          <w:sz w:val="24"/>
        </w:rPr>
        <w:t xml:space="preserve">exclusivamente </w:t>
      </w:r>
      <w:r w:rsidRPr="00B31857">
        <w:rPr>
          <w:rFonts w:ascii="Arial" w:hAnsi="Arial"/>
          <w:sz w:val="24"/>
        </w:rPr>
        <w:t xml:space="preserve">punitiva. </w:t>
      </w:r>
    </w:p>
    <w:p w14:paraId="6A573655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Neste contexto, o tratamento e a forma de lidar com o autor do fato criminoso são de suma importância são somente na prevenção do delito, mas na sua preservação do seu </w:t>
      </w:r>
      <w:r>
        <w:rPr>
          <w:rFonts w:ascii="Arial" w:hAnsi="Arial"/>
          <w:i/>
          <w:iCs/>
          <w:sz w:val="24"/>
        </w:rPr>
        <w:t xml:space="preserve">status quo </w:t>
      </w:r>
      <w:r>
        <w:rPr>
          <w:rFonts w:ascii="Arial" w:hAnsi="Arial"/>
          <w:sz w:val="24"/>
        </w:rPr>
        <w:t>na sociedade.</w:t>
      </w:r>
    </w:p>
    <w:p w14:paraId="2ECC4CEC" w14:textId="77777777" w:rsidR="007A3289" w:rsidRPr="00B31857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</w:t>
      </w:r>
      <w:r w:rsidRPr="00712803">
        <w:rPr>
          <w:rFonts w:ascii="Arial" w:hAnsi="Arial"/>
          <w:sz w:val="24"/>
        </w:rPr>
        <w:t xml:space="preserve">reforma </w:t>
      </w:r>
      <w:r>
        <w:rPr>
          <w:rFonts w:ascii="Arial" w:hAnsi="Arial"/>
          <w:sz w:val="24"/>
        </w:rPr>
        <w:t xml:space="preserve">trazida no acordo de não persecução penal de fato foi </w:t>
      </w:r>
      <w:r w:rsidRPr="00712803">
        <w:rPr>
          <w:rFonts w:ascii="Arial" w:hAnsi="Arial"/>
          <w:sz w:val="24"/>
        </w:rPr>
        <w:t xml:space="preserve">profunda </w:t>
      </w:r>
      <w:r>
        <w:rPr>
          <w:rFonts w:ascii="Arial" w:hAnsi="Arial"/>
          <w:sz w:val="24"/>
        </w:rPr>
        <w:t>n</w:t>
      </w:r>
      <w:r w:rsidRPr="00712803">
        <w:rPr>
          <w:rFonts w:ascii="Arial" w:hAnsi="Arial"/>
          <w:sz w:val="24"/>
        </w:rPr>
        <w:t xml:space="preserve">os meios </w:t>
      </w:r>
      <w:r>
        <w:rPr>
          <w:rFonts w:ascii="Arial" w:hAnsi="Arial"/>
          <w:sz w:val="24"/>
        </w:rPr>
        <w:t>convencionais de</w:t>
      </w:r>
      <w:r w:rsidRPr="00712803">
        <w:rPr>
          <w:rFonts w:ascii="Arial" w:hAnsi="Arial"/>
          <w:sz w:val="24"/>
        </w:rPr>
        <w:t xml:space="preserve"> reprovação de crimes, </w:t>
      </w:r>
      <w:r>
        <w:rPr>
          <w:rFonts w:ascii="Arial" w:hAnsi="Arial"/>
          <w:sz w:val="24"/>
        </w:rPr>
        <w:t>que eram seletivos</w:t>
      </w:r>
      <w:r w:rsidRPr="00712803">
        <w:rPr>
          <w:rFonts w:ascii="Arial" w:hAnsi="Arial"/>
          <w:sz w:val="24"/>
        </w:rPr>
        <w:t>, socialmente desintegrador</w:t>
      </w:r>
      <w:r>
        <w:rPr>
          <w:rFonts w:ascii="Arial" w:hAnsi="Arial"/>
          <w:sz w:val="24"/>
        </w:rPr>
        <w:t xml:space="preserve">es, </w:t>
      </w:r>
      <w:r w:rsidRPr="00712803">
        <w:rPr>
          <w:rFonts w:ascii="Arial" w:hAnsi="Arial"/>
          <w:sz w:val="24"/>
        </w:rPr>
        <w:t>estruturalmente violento</w:t>
      </w:r>
      <w:r>
        <w:rPr>
          <w:rFonts w:ascii="Arial" w:hAnsi="Arial"/>
          <w:sz w:val="24"/>
        </w:rPr>
        <w:t xml:space="preserve">s. Após a introdução da lei, o ofensor passou a ter papel relevante, e sua atuação foi corroborada quando o CNMP e o CNJ aprovaram as </w:t>
      </w:r>
      <w:r w:rsidRPr="002E4A86">
        <w:rPr>
          <w:rFonts w:ascii="Arial" w:hAnsi="Arial"/>
          <w:sz w:val="24"/>
        </w:rPr>
        <w:t>Resoluções CNMP nº 118/2014</w:t>
      </w:r>
      <w:r>
        <w:rPr>
          <w:rFonts w:ascii="Arial" w:hAnsi="Arial"/>
          <w:sz w:val="24"/>
        </w:rPr>
        <w:t xml:space="preserve"> </w:t>
      </w:r>
      <w:r w:rsidRPr="002E4A86">
        <w:rPr>
          <w:rFonts w:ascii="Arial" w:hAnsi="Arial"/>
          <w:sz w:val="24"/>
        </w:rPr>
        <w:t>e CNJ nº 225/2016, a</w:t>
      </w:r>
      <w:r>
        <w:rPr>
          <w:rFonts w:ascii="Arial" w:hAnsi="Arial"/>
          <w:sz w:val="24"/>
        </w:rPr>
        <w:t>s quais</w:t>
      </w:r>
      <w:r w:rsidRPr="002E4A8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trouxeram em seu bojo</w:t>
      </w:r>
      <w:r w:rsidRPr="002E4A8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o incentivo a</w:t>
      </w:r>
      <w:r w:rsidRPr="002E4A86">
        <w:rPr>
          <w:rFonts w:ascii="Arial" w:hAnsi="Arial"/>
          <w:sz w:val="24"/>
        </w:rPr>
        <w:t xml:space="preserve"> práticas restaurativas </w:t>
      </w:r>
      <w:r>
        <w:rPr>
          <w:rFonts w:ascii="Arial" w:hAnsi="Arial"/>
          <w:sz w:val="24"/>
        </w:rPr>
        <w:t>de composição de litígios criminais</w:t>
      </w:r>
      <w:r w:rsidRPr="00712803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</w:p>
    <w:p w14:paraId="6EAFBEBE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 acordo com as respectivas resoluções, o Estado (Justiça e Ministério Público) deve</w:t>
      </w:r>
      <w:r w:rsidRPr="00F50D4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adotar </w:t>
      </w:r>
      <w:r w:rsidRPr="00F50D4F">
        <w:rPr>
          <w:rFonts w:ascii="Arial" w:hAnsi="Arial"/>
          <w:sz w:val="24"/>
        </w:rPr>
        <w:t>Política</w:t>
      </w:r>
      <w:r>
        <w:rPr>
          <w:rFonts w:ascii="Arial" w:hAnsi="Arial"/>
          <w:sz w:val="24"/>
        </w:rPr>
        <w:t xml:space="preserve">s </w:t>
      </w:r>
      <w:r w:rsidRPr="00F50D4F">
        <w:rPr>
          <w:rFonts w:ascii="Arial" w:hAnsi="Arial"/>
          <w:sz w:val="24"/>
        </w:rPr>
        <w:t>de Incentivo à Autocomposição</w:t>
      </w:r>
      <w:r>
        <w:rPr>
          <w:rFonts w:ascii="Arial" w:hAnsi="Arial"/>
          <w:sz w:val="24"/>
        </w:rPr>
        <w:t>, ou seja, tem a ter a</w:t>
      </w:r>
      <w:r w:rsidRPr="00F50D4F">
        <w:rPr>
          <w:rFonts w:ascii="Arial" w:hAnsi="Arial"/>
          <w:sz w:val="24"/>
        </w:rPr>
        <w:t xml:space="preserve"> incumbência implementar e adotar mecanismos de</w:t>
      </w:r>
      <w:r>
        <w:rPr>
          <w:rFonts w:ascii="Arial" w:hAnsi="Arial"/>
          <w:sz w:val="24"/>
        </w:rPr>
        <w:t xml:space="preserve"> </w:t>
      </w:r>
      <w:r w:rsidRPr="00F50D4F">
        <w:rPr>
          <w:rFonts w:ascii="Arial" w:hAnsi="Arial"/>
          <w:sz w:val="24"/>
        </w:rPr>
        <w:t>autocomposição, como a negociação, a mediação,</w:t>
      </w:r>
      <w:r>
        <w:rPr>
          <w:rFonts w:ascii="Arial" w:hAnsi="Arial"/>
          <w:sz w:val="24"/>
        </w:rPr>
        <w:t xml:space="preserve"> e</w:t>
      </w:r>
      <w:r w:rsidRPr="00F50D4F">
        <w:rPr>
          <w:rFonts w:ascii="Arial" w:hAnsi="Arial"/>
          <w:sz w:val="24"/>
        </w:rPr>
        <w:t xml:space="preserve"> a conciliação</w:t>
      </w:r>
      <w:r>
        <w:rPr>
          <w:rFonts w:ascii="Arial" w:hAnsi="Arial"/>
          <w:sz w:val="24"/>
        </w:rPr>
        <w:t>, que são fundamentos da denominada Justiça Restaurativa</w:t>
      </w:r>
      <w:r>
        <w:rPr>
          <w:rStyle w:val="Refdenotaderodap"/>
          <w:rFonts w:ascii="Arial" w:hAnsi="Arial"/>
          <w:sz w:val="24"/>
        </w:rPr>
        <w:footnoteReference w:id="2"/>
      </w:r>
      <w:r>
        <w:rPr>
          <w:rFonts w:ascii="Arial" w:hAnsi="Arial"/>
          <w:sz w:val="24"/>
        </w:rPr>
        <w:t>.</w:t>
      </w:r>
    </w:p>
    <w:p w14:paraId="67356406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Sob esse aspecto, a participação do ofensor é de suma importância posto que</w:t>
      </w:r>
      <w:r w:rsidRPr="00F50D4F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n</w:t>
      </w:r>
      <w:r w:rsidRPr="00F50D4F">
        <w:rPr>
          <w:rFonts w:ascii="Arial" w:hAnsi="Arial"/>
          <w:sz w:val="24"/>
        </w:rPr>
        <w:t>o processo restaurativo</w:t>
      </w:r>
      <w:r w:rsidRPr="00F51F7D">
        <w:rPr>
          <w:rFonts w:ascii="Arial" w:hAnsi="Arial"/>
          <w:sz w:val="24"/>
        </w:rPr>
        <w:t xml:space="preserve"> há uma ampliação</w:t>
      </w:r>
      <w:r>
        <w:rPr>
          <w:rFonts w:ascii="Arial" w:hAnsi="Arial"/>
          <w:sz w:val="24"/>
        </w:rPr>
        <w:t xml:space="preserve"> e integração participativa dos</w:t>
      </w:r>
      <w:r w:rsidRPr="00F51F7D">
        <w:rPr>
          <w:rFonts w:ascii="Arial" w:hAnsi="Arial"/>
          <w:sz w:val="24"/>
        </w:rPr>
        <w:t xml:space="preserve"> envolvidos no</w:t>
      </w:r>
      <w:r>
        <w:rPr>
          <w:rFonts w:ascii="Arial" w:hAnsi="Arial"/>
          <w:sz w:val="24"/>
        </w:rPr>
        <w:t xml:space="preserve"> </w:t>
      </w:r>
      <w:r w:rsidRPr="00F51F7D">
        <w:rPr>
          <w:rFonts w:ascii="Arial" w:hAnsi="Arial"/>
          <w:sz w:val="24"/>
        </w:rPr>
        <w:t xml:space="preserve">conflito, </w:t>
      </w:r>
      <w:r>
        <w:rPr>
          <w:rFonts w:ascii="Arial" w:hAnsi="Arial"/>
          <w:sz w:val="24"/>
        </w:rPr>
        <w:t>ou seja,</w:t>
      </w:r>
      <w:r w:rsidRPr="00F51F7D">
        <w:rPr>
          <w:rFonts w:ascii="Arial" w:hAnsi="Arial"/>
          <w:sz w:val="24"/>
        </w:rPr>
        <w:t xml:space="preserve"> Estado</w:t>
      </w:r>
      <w:r>
        <w:rPr>
          <w:rFonts w:ascii="Arial" w:hAnsi="Arial"/>
          <w:sz w:val="24"/>
        </w:rPr>
        <w:t>,</w:t>
      </w:r>
      <w:r w:rsidRPr="00F51F7D">
        <w:rPr>
          <w:rFonts w:ascii="Arial" w:hAnsi="Arial"/>
          <w:sz w:val="24"/>
        </w:rPr>
        <w:t xml:space="preserve"> vítima</w:t>
      </w:r>
      <w:r>
        <w:rPr>
          <w:rFonts w:ascii="Arial" w:hAnsi="Arial"/>
          <w:sz w:val="24"/>
        </w:rPr>
        <w:t xml:space="preserve"> e ofensor integram ativamente o procedimento de resolução do problema.</w:t>
      </w:r>
    </w:p>
    <w:p w14:paraId="064B34B1" w14:textId="77777777" w:rsidR="007A3289" w:rsidRDefault="007A3289" w:rsidP="007A3289">
      <w:pPr>
        <w:spacing w:line="360" w:lineRule="auto"/>
        <w:ind w:firstLine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 tema não é novo, mas ainda é desconhecido, motivo pelo qual é de bom alvitre trazer à baila a definição </w:t>
      </w:r>
      <w:r w:rsidRPr="00A76017">
        <w:rPr>
          <w:rFonts w:ascii="Arial" w:hAnsi="Arial"/>
          <w:sz w:val="24"/>
        </w:rPr>
        <w:t>feita pela Comissão Científica de Justiça Restaurativa da A</w:t>
      </w:r>
      <w:r>
        <w:rPr>
          <w:rFonts w:ascii="Arial" w:hAnsi="Arial"/>
          <w:sz w:val="24"/>
        </w:rPr>
        <w:t xml:space="preserve">ssociação dos </w:t>
      </w:r>
      <w:r w:rsidRPr="00A76017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agistrados </w:t>
      </w:r>
      <w:r w:rsidRPr="00A76017">
        <w:rPr>
          <w:rFonts w:ascii="Arial" w:hAnsi="Arial"/>
          <w:sz w:val="24"/>
        </w:rPr>
        <w:t>B</w:t>
      </w:r>
      <w:r>
        <w:rPr>
          <w:rFonts w:ascii="Arial" w:hAnsi="Arial"/>
          <w:sz w:val="24"/>
        </w:rPr>
        <w:t>rasileiros</w:t>
      </w:r>
      <w:r>
        <w:rPr>
          <w:rStyle w:val="Refdenotaderodap"/>
          <w:rFonts w:ascii="Arial" w:hAnsi="Arial"/>
          <w:sz w:val="24"/>
        </w:rPr>
        <w:footnoteReference w:id="3"/>
      </w:r>
      <w:r>
        <w:rPr>
          <w:rFonts w:ascii="Arial" w:hAnsi="Arial"/>
          <w:sz w:val="24"/>
        </w:rPr>
        <w:t>:</w:t>
      </w:r>
    </w:p>
    <w:p w14:paraId="0E311D1B" w14:textId="77777777" w:rsidR="007A3289" w:rsidRPr="00265781" w:rsidRDefault="007A3289" w:rsidP="007A3289">
      <w:pPr>
        <w:spacing w:line="360" w:lineRule="auto"/>
        <w:ind w:left="2268"/>
        <w:jc w:val="both"/>
        <w:rPr>
          <w:rFonts w:ascii="Arial" w:hAnsi="Arial"/>
          <w:sz w:val="20"/>
          <w:szCs w:val="18"/>
        </w:rPr>
      </w:pPr>
      <w:r w:rsidRPr="00265781">
        <w:rPr>
          <w:rFonts w:ascii="Arial" w:hAnsi="Arial"/>
          <w:sz w:val="20"/>
          <w:szCs w:val="18"/>
        </w:rPr>
        <w:t xml:space="preserve">A Justiça Restaurativa constitui, portanto, um conjunto ordenado e sistêmico de princípios, técnicas e ações. Por meio dos quais os conflitos que causam danos são solucionados de modo estruturado. Com a participação da vítima, ofensor, famílias, comunidade e sociedade, coordenados por facilitadores capacitados em técnicas </w:t>
      </w:r>
      <w:r w:rsidRPr="00265781">
        <w:rPr>
          <w:rFonts w:ascii="Arial" w:hAnsi="Arial"/>
          <w:sz w:val="20"/>
          <w:szCs w:val="18"/>
        </w:rPr>
        <w:lastRenderedPageBreak/>
        <w:t>autocompositivas e consensuais de conflitos. Tem-se como foco as necessidades de todos os envolvidos, a responsabilização ativa daqueles que contribuíram direta ou indiretamente para o evento danoso e o empoderamento da comunidade e sociedade. Promove-se, assim, a reparação do dano e recomposição do tecido social rompido pelo conflito e suas implicações para o futuro</w:t>
      </w:r>
      <w:r>
        <w:rPr>
          <w:rFonts w:ascii="Arial" w:hAnsi="Arial"/>
          <w:sz w:val="20"/>
          <w:szCs w:val="18"/>
        </w:rPr>
        <w:t>.</w:t>
      </w:r>
    </w:p>
    <w:p w14:paraId="0D364E22" w14:textId="77777777" w:rsidR="007A3289" w:rsidRPr="00464C99" w:rsidRDefault="007A3289" w:rsidP="007A3289">
      <w:pPr>
        <w:spacing w:line="360" w:lineRule="auto"/>
        <w:ind w:firstLine="1134"/>
        <w:jc w:val="both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>Neste inovador procedimento, para a</w:t>
      </w:r>
      <w:r w:rsidRPr="00B31857">
        <w:rPr>
          <w:rFonts w:ascii="Arial" w:hAnsi="Arial"/>
          <w:sz w:val="24"/>
        </w:rPr>
        <w:t xml:space="preserve"> efetiva </w:t>
      </w:r>
      <w:r>
        <w:rPr>
          <w:rFonts w:ascii="Arial" w:hAnsi="Arial"/>
          <w:sz w:val="24"/>
        </w:rPr>
        <w:t>participação do ofensor e vítima, é imprescindível que o</w:t>
      </w:r>
      <w:r w:rsidRPr="00B31857">
        <w:rPr>
          <w:rFonts w:ascii="Arial" w:hAnsi="Arial"/>
          <w:sz w:val="24"/>
        </w:rPr>
        <w:t xml:space="preserve"> trabalho técnico a ser realizado por advogado</w:t>
      </w:r>
      <w:r>
        <w:rPr>
          <w:rFonts w:ascii="Arial" w:hAnsi="Arial"/>
          <w:sz w:val="24"/>
        </w:rPr>
        <w:t xml:space="preserve">, </w:t>
      </w:r>
      <w:r w:rsidRPr="00B31857">
        <w:rPr>
          <w:rFonts w:ascii="Arial" w:hAnsi="Arial"/>
          <w:sz w:val="24"/>
        </w:rPr>
        <w:t>seja como representante legal da vítima na fase investigação</w:t>
      </w:r>
      <w:r>
        <w:rPr>
          <w:rFonts w:ascii="Arial" w:hAnsi="Arial"/>
          <w:sz w:val="24"/>
        </w:rPr>
        <w:t>,</w:t>
      </w:r>
      <w:r w:rsidRPr="00B31857">
        <w:rPr>
          <w:rFonts w:ascii="Arial" w:hAnsi="Arial"/>
          <w:sz w:val="24"/>
        </w:rPr>
        <w:t xml:space="preserve"> seja como assistente da acusação</w:t>
      </w:r>
      <w:r>
        <w:rPr>
          <w:rFonts w:ascii="Arial" w:hAnsi="Arial"/>
          <w:sz w:val="24"/>
        </w:rPr>
        <w:t xml:space="preserve">, ou como defensor do acusado, tem extrema relevância, pois ao dar voz a estas partes até então pouco acionadas corrobora consideravelmente para que o problema seja resolvido de acordo com os princípios da JR acima elencados. </w:t>
      </w:r>
      <w:r w:rsidRPr="00464C99">
        <w:rPr>
          <w:rFonts w:ascii="Arial" w:hAnsi="Arial"/>
          <w:color w:val="FF0000"/>
          <w:sz w:val="24"/>
        </w:rPr>
        <w:t xml:space="preserve"> </w:t>
      </w:r>
    </w:p>
    <w:p w14:paraId="5F9931AA" w14:textId="06B98054" w:rsidR="000A76AE" w:rsidRDefault="000A76AE"/>
    <w:p w14:paraId="157CC62C" w14:textId="67F15D33" w:rsidR="00C41670" w:rsidRPr="00DE1AA6" w:rsidRDefault="00C41670">
      <w:pPr>
        <w:rPr>
          <w:b/>
          <w:bCs/>
        </w:rPr>
      </w:pPr>
      <w:r w:rsidRPr="00DE1AA6">
        <w:rPr>
          <w:b/>
          <w:bCs/>
        </w:rPr>
        <w:t>BIBLIOGRAFIA</w:t>
      </w:r>
    </w:p>
    <w:p w14:paraId="319165CA" w14:textId="77777777" w:rsidR="00C41670" w:rsidRDefault="00C41670"/>
    <w:sectPr w:rsidR="00C41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6DEC" w14:textId="77777777" w:rsidR="00FB7919" w:rsidRDefault="00FB7919" w:rsidP="007A3289">
      <w:pPr>
        <w:spacing w:after="0" w:line="240" w:lineRule="auto"/>
      </w:pPr>
      <w:r>
        <w:separator/>
      </w:r>
    </w:p>
  </w:endnote>
  <w:endnote w:type="continuationSeparator" w:id="0">
    <w:p w14:paraId="760ACD7C" w14:textId="77777777" w:rsidR="00FB7919" w:rsidRDefault="00FB7919" w:rsidP="007A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2392" w14:textId="77777777" w:rsidR="00FB7919" w:rsidRDefault="00FB7919" w:rsidP="007A3289">
      <w:pPr>
        <w:spacing w:after="0" w:line="240" w:lineRule="auto"/>
      </w:pPr>
      <w:r>
        <w:separator/>
      </w:r>
    </w:p>
  </w:footnote>
  <w:footnote w:type="continuationSeparator" w:id="0">
    <w:p w14:paraId="1197C3F0" w14:textId="77777777" w:rsidR="00FB7919" w:rsidRDefault="00FB7919" w:rsidP="007A3289">
      <w:pPr>
        <w:spacing w:after="0" w:line="240" w:lineRule="auto"/>
      </w:pPr>
      <w:r>
        <w:continuationSeparator/>
      </w:r>
    </w:p>
  </w:footnote>
  <w:footnote w:id="1">
    <w:p w14:paraId="7760201A" w14:textId="77777777" w:rsidR="007A3289" w:rsidRDefault="007A3289" w:rsidP="007A3289">
      <w:pPr>
        <w:pStyle w:val="Textodenotaderodap"/>
      </w:pPr>
      <w:r>
        <w:rPr>
          <w:rStyle w:val="Refdenotaderodap"/>
        </w:rPr>
        <w:footnoteRef/>
      </w:r>
      <w:r>
        <w:t xml:space="preserve"> RESOLUÇÃO DO CONSELHO NACIONAL DO MINISTÉRIO PÚBLICO Nº 181, DE 7 DE AGOSTO DE 2017. Disponível em: </w:t>
      </w:r>
      <w:hyperlink r:id="rId1" w:history="1">
        <w:r w:rsidRPr="00FF10A7">
          <w:rPr>
            <w:rStyle w:val="Hyperlink"/>
          </w:rPr>
          <w:t>https://www.cnmp.mp.br/portal/images/Resolucoes/Resoluo-181-1.pdf</w:t>
        </w:r>
      </w:hyperlink>
      <w:r>
        <w:t xml:space="preserve"> </w:t>
      </w:r>
    </w:p>
    <w:p w14:paraId="3DBC76AA" w14:textId="77777777" w:rsidR="007A3289" w:rsidRDefault="007A3289" w:rsidP="007A3289">
      <w:pPr>
        <w:pStyle w:val="Textodenotaderodap"/>
      </w:pPr>
      <w:r>
        <w:t xml:space="preserve">Acesso em </w:t>
      </w:r>
      <w:bookmarkStart w:id="3" w:name="_Hlk114151495"/>
      <w:r>
        <w:t>06/08/2022</w:t>
      </w:r>
      <w:bookmarkEnd w:id="3"/>
    </w:p>
  </w:footnote>
  <w:footnote w:id="2">
    <w:p w14:paraId="02211CEC" w14:textId="77777777" w:rsidR="007A3289" w:rsidRDefault="007A3289" w:rsidP="007A328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2551B6">
        <w:rPr>
          <w:rFonts w:ascii="Arial" w:hAnsi="Arial"/>
          <w:szCs w:val="16"/>
        </w:rPr>
        <w:t xml:space="preserve">Segundo </w:t>
      </w:r>
      <w:bookmarkStart w:id="5" w:name="_Hlk114151590"/>
      <w:r w:rsidRPr="002551B6">
        <w:rPr>
          <w:rFonts w:ascii="Arial" w:hAnsi="Arial"/>
          <w:szCs w:val="16"/>
        </w:rPr>
        <w:t xml:space="preserve">Howard </w:t>
      </w:r>
      <w:proofErr w:type="spellStart"/>
      <w:r w:rsidRPr="002551B6">
        <w:rPr>
          <w:rFonts w:ascii="Arial" w:hAnsi="Arial"/>
          <w:szCs w:val="16"/>
        </w:rPr>
        <w:t>Zeher</w:t>
      </w:r>
      <w:bookmarkEnd w:id="5"/>
      <w:proofErr w:type="spellEnd"/>
      <w:r w:rsidRPr="002551B6">
        <w:rPr>
          <w:rFonts w:ascii="Arial" w:hAnsi="Arial"/>
          <w:szCs w:val="16"/>
        </w:rPr>
        <w:t xml:space="preserve">, </w:t>
      </w:r>
      <w:r>
        <w:rPr>
          <w:rFonts w:ascii="Arial" w:hAnsi="Arial"/>
          <w:szCs w:val="16"/>
        </w:rPr>
        <w:t xml:space="preserve">Justiça Restaurativa </w:t>
      </w:r>
      <w:r w:rsidRPr="002551B6">
        <w:rPr>
          <w:rFonts w:ascii="Arial" w:hAnsi="Arial"/>
          <w:szCs w:val="16"/>
        </w:rPr>
        <w:t>são práticas estruturadas que possibilitam outro modo de ver o conflito, uma vez que se constitui numa forma de introdução ao diálogo e ao descobrimento</w:t>
      </w:r>
      <w:r>
        <w:rPr>
          <w:rFonts w:ascii="Arial" w:hAnsi="Arial"/>
          <w:szCs w:val="16"/>
        </w:rPr>
        <w:t>. (</w:t>
      </w:r>
      <w:r w:rsidRPr="002551B6">
        <w:rPr>
          <w:rFonts w:ascii="Arial" w:hAnsi="Arial"/>
          <w:szCs w:val="16"/>
        </w:rPr>
        <w:t xml:space="preserve">ZEHER, Howard. </w:t>
      </w:r>
      <w:r w:rsidRPr="002551B6">
        <w:rPr>
          <w:rFonts w:ascii="Arial" w:hAnsi="Arial"/>
          <w:b/>
          <w:bCs/>
          <w:szCs w:val="16"/>
        </w:rPr>
        <w:t>Trocando as Lentes:</w:t>
      </w:r>
      <w:r w:rsidRPr="002551B6">
        <w:rPr>
          <w:rFonts w:ascii="Arial" w:hAnsi="Arial"/>
          <w:szCs w:val="16"/>
        </w:rPr>
        <w:t xml:space="preserve"> um novo foco sobre o crime e a justiça. São</w:t>
      </w:r>
      <w:r>
        <w:rPr>
          <w:rFonts w:ascii="Arial" w:hAnsi="Arial"/>
          <w:szCs w:val="16"/>
        </w:rPr>
        <w:t xml:space="preserve"> </w:t>
      </w:r>
      <w:r w:rsidRPr="002551B6">
        <w:rPr>
          <w:rFonts w:ascii="Arial" w:hAnsi="Arial"/>
          <w:szCs w:val="16"/>
        </w:rPr>
        <w:t>Paulo: Palas Athena, 2008. p. 12.</w:t>
      </w:r>
      <w:r>
        <w:rPr>
          <w:rFonts w:ascii="Arial" w:hAnsi="Arial"/>
          <w:szCs w:val="16"/>
        </w:rPr>
        <w:t>)</w:t>
      </w:r>
    </w:p>
  </w:footnote>
  <w:footnote w:id="3">
    <w:p w14:paraId="4B5F2FF3" w14:textId="77777777" w:rsidR="007A3289" w:rsidRDefault="007A3289" w:rsidP="007A328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COMISSÃO CIENTÍFICA DE JUSTIÇA RESTAURATIVA DA ASSOCIAÇÃO DOS MAGISTRADOS BRASILEIROS (AMB). Noções elementares elaboradas pela Comissão Científica de Justiça Restaurativa da Associação dos Magistrados Brasileiros (AMB) para a campanha JUSTIÇA RESTAURATIVA DO BRASIL: A paz pede a palavra. Acesso em 07/08/2022. Disponível em: </w:t>
      </w:r>
      <w:hyperlink r:id="rId2" w:history="1">
        <w:r w:rsidRPr="009E71EF">
          <w:rPr>
            <w:rStyle w:val="Hyperlink"/>
          </w:rPr>
          <w:t>http://www.amb.com.br/jr/docs/cartilha.pdf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F27"/>
    <w:multiLevelType w:val="hybridMultilevel"/>
    <w:tmpl w:val="E9E0CD78"/>
    <w:lvl w:ilvl="0" w:tplc="4AAAC9D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4F20D3B6">
      <w:start w:val="1"/>
      <w:numFmt w:val="lowerLetter"/>
      <w:lvlText w:val="%2."/>
      <w:lvlJc w:val="left"/>
      <w:pPr>
        <w:ind w:left="1222" w:hanging="360"/>
      </w:pPr>
    </w:lvl>
    <w:lvl w:ilvl="2" w:tplc="789C69CE">
      <w:start w:val="1"/>
      <w:numFmt w:val="lowerRoman"/>
      <w:lvlText w:val="%3."/>
      <w:lvlJc w:val="right"/>
      <w:pPr>
        <w:ind w:left="1942" w:hanging="180"/>
      </w:pPr>
    </w:lvl>
    <w:lvl w:ilvl="3" w:tplc="6C44EE5E">
      <w:start w:val="1"/>
      <w:numFmt w:val="decimal"/>
      <w:lvlText w:val="%4."/>
      <w:lvlJc w:val="left"/>
      <w:pPr>
        <w:ind w:left="2662" w:hanging="360"/>
      </w:pPr>
    </w:lvl>
    <w:lvl w:ilvl="4" w:tplc="2612D686">
      <w:start w:val="1"/>
      <w:numFmt w:val="lowerLetter"/>
      <w:lvlText w:val="%5."/>
      <w:lvlJc w:val="left"/>
      <w:pPr>
        <w:ind w:left="3382" w:hanging="360"/>
      </w:pPr>
    </w:lvl>
    <w:lvl w:ilvl="5" w:tplc="4A46D6F0">
      <w:start w:val="1"/>
      <w:numFmt w:val="lowerRoman"/>
      <w:lvlText w:val="%6."/>
      <w:lvlJc w:val="right"/>
      <w:pPr>
        <w:ind w:left="4102" w:hanging="180"/>
      </w:pPr>
    </w:lvl>
    <w:lvl w:ilvl="6" w:tplc="4B0EAED8">
      <w:start w:val="1"/>
      <w:numFmt w:val="decimal"/>
      <w:lvlText w:val="%7."/>
      <w:lvlJc w:val="left"/>
      <w:pPr>
        <w:ind w:left="4822" w:hanging="360"/>
      </w:pPr>
    </w:lvl>
    <w:lvl w:ilvl="7" w:tplc="2AB6D470">
      <w:start w:val="1"/>
      <w:numFmt w:val="lowerLetter"/>
      <w:lvlText w:val="%8."/>
      <w:lvlJc w:val="left"/>
      <w:pPr>
        <w:ind w:left="5542" w:hanging="360"/>
      </w:pPr>
    </w:lvl>
    <w:lvl w:ilvl="8" w:tplc="5A365922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A47D71"/>
    <w:multiLevelType w:val="multilevel"/>
    <w:tmpl w:val="6714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076710">
    <w:abstractNumId w:val="0"/>
  </w:num>
  <w:num w:numId="2" w16cid:durableId="1846244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289"/>
    <w:rsid w:val="0007628F"/>
    <w:rsid w:val="000A76AE"/>
    <w:rsid w:val="001B313C"/>
    <w:rsid w:val="003737B8"/>
    <w:rsid w:val="00382880"/>
    <w:rsid w:val="00430E3C"/>
    <w:rsid w:val="00533033"/>
    <w:rsid w:val="007A3289"/>
    <w:rsid w:val="00845B31"/>
    <w:rsid w:val="00914B5B"/>
    <w:rsid w:val="00BD1521"/>
    <w:rsid w:val="00C41670"/>
    <w:rsid w:val="00DE1AA6"/>
    <w:rsid w:val="00EF4B86"/>
    <w:rsid w:val="00F56357"/>
    <w:rsid w:val="00FA2A8A"/>
    <w:rsid w:val="00F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AD04"/>
  <w15:docId w15:val="{1F31D004-B744-46CA-B8B0-AC4B0946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289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3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A32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7A328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7A328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A328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328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A3289"/>
    <w:rPr>
      <w:color w:val="0000FF"/>
      <w:u w:val="single"/>
    </w:rPr>
  </w:style>
  <w:style w:type="paragraph" w:customStyle="1" w:styleId="li8">
    <w:name w:val="li8"/>
    <w:basedOn w:val="Normal"/>
    <w:rsid w:val="007A32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b.com.br/jr/docs/cartilha.pdf" TargetMode="External"/><Relationship Id="rId1" Type="http://schemas.openxmlformats.org/officeDocument/2006/relationships/hyperlink" Target="https://www.cnmp.mp.br/portal/images/Resolucoes/Resoluo-181-1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.XSL" StyleName="ABNT NBR 6023:2002*" Version="10">
  <b:Source>
    <b:Tag>Dar21</b:Tag>
    <b:SourceType>InternetSite</b:SourceType>
    <b:Guid>{CDCBAC71-8FA6-48C4-AB32-EADA38DE1627}</b:Guid>
    <b:Title>Conjur.com.br</b:Title>
    <b:Year>2021</b:Year>
    <b:Month>setembro</b:Month>
    <b:Day>22</b:Day>
    <b:Author>
      <b:Author>
        <b:NameList>
          <b:Person>
            <b:Last>Dargél</b:Last>
            <b:First>Alexandre</b:First>
            <b:Middle>Ayub</b:Middle>
          </b:Person>
          <b:Person>
            <b:Last>Corsetti</b:Last>
            <b:First>Christian</b:First>
          </b:Person>
        </b:NameList>
      </b:Author>
    </b:Author>
    <b:InternetSiteTitle>Consultor Jurídico</b:InternetSiteTitle>
    <b:YearAccessed>2022</b:YearAccessed>
    <b:MonthAccessed>agosto</b:MonthAccessed>
    <b:DayAccessed>28</b:DayAccessed>
    <b:URL>https://www.conjur.com.br/2021-set-22/opiniao-exigencia-confissao-anpp-desvantagem-inocente</b:URL>
    <b:PublicationTitle>A exigência da confissão no ANPP e a desvantagem do inocente</b:PublicationTitle>
    <b:ShortTitle>A exigência da confissão no ANPP e a desvantagem do inocente</b:ShortTitle>
    <b:DOI>1809-2829</b:DOI>
    <b:RefOrder>61</b:RefOrder>
  </b:Source>
  <b:Source>
    <b:Tag>Leo08</b:Tag>
    <b:SourceType>Book</b:SourceType>
    <b:Guid>{A654343B-11B4-4822-B1A9-387BE22C0310}</b:Guid>
    <b:Title>Novos Desafios do Direito Penal no Terceiro Milênio</b:Title>
    <b:City>Rio de Janeiro</b:City>
    <b:Year>2008</b:Year>
    <b:Author>
      <b:Author>
        <b:NameList>
          <b:Person>
            <b:Last>Sica</b:Last>
            <b:First>Leonardo</b:First>
          </b:Person>
        </b:NameList>
      </b:Author>
      <b:Editor>
        <b:NameList>
          <b:Person>
            <b:Last>Föppel</b:Last>
            <b:First>Gamil</b:First>
          </b:Person>
        </b:NameList>
      </b:Editor>
    </b:Author>
    <b:Publisher>Lumen Juris</b:Publisher>
    <b:RefOrder>22</b:RefOrder>
  </b:Source>
  <b:Source>
    <b:Tag>Gui20</b:Tag>
    <b:SourceType>Book</b:SourceType>
    <b:Guid>{F3B50154-611A-4FB6-AD01-AF9C0A517E0D}</b:Guid>
    <b:Title>Comentários ao Pacote Anticrime</b:Title>
    <b:Year>2020</b:Year>
    <b:Author>
      <b:Author>
        <b:NameList>
          <b:Person>
            <b:Last>Dezem</b:Last>
            <b:First>Guilherme</b:First>
            <b:Middle>Madeira</b:Middle>
          </b:Person>
          <b:Person>
            <b:Last>Souza</b:Last>
            <b:First>Luciano</b:First>
            <b:Middle>Anderson de</b:Middle>
          </b:Person>
        </b:NameList>
      </b:Author>
    </b:Author>
    <b:City>São Paulo</b:City>
    <b:Publisher>Thomson Reuters, Revista dos Tribunais</b:Publisher>
    <b:Volume>1</b:Volume>
    <b:Edition>6</b:Edition>
    <b:RefOrder>62</b:RefOrder>
  </b:Source>
  <b:Source>
    <b:Tag>Ker21</b:Tag>
    <b:SourceType>JournalArticle</b:SourceType>
    <b:Guid>{0A87530F-8974-4A88-AE2F-D73A1107295C}</b:Guid>
    <b:Title>A relevância da participação da vítima no acordo de não persecução penal</b:Title>
    <b:Year>2021</b:Year>
    <b:YearAccessed>2022</b:YearAccessed>
    <b:MonthAccessed>agosto</b:MonthAccessed>
    <b:DayAccessed>06</b:DayAccessed>
    <b:URL>https://amppe.com.br/a-relevancia-da-participacao-da-vitima-no-acordo-de-nao-persecucao-penal/</b:URL>
    <b:Author>
      <b:Author>
        <b:NameList>
          <b:Person>
            <b:Last>Kershaw</b:Last>
            <b:First>Gustavo</b:First>
            <b:Middle>Henrique Holanda Dias</b:Middle>
          </b:Person>
        </b:NameList>
      </b:Author>
    </b:Author>
    <b:JournalName>AMPPE</b:JournalName>
    <b:City>Recife</b:City>
    <b:Month>junho</b:Month>
    <b:RefOrder>63</b:RefOrder>
  </b:Source>
  <b:Source>
    <b:Tag>Boo11</b:Tag>
    <b:SourceType>Book</b:SourceType>
    <b:Guid>{06F6F0F1-DE5B-4C9E-883F-FE79FCB802E4}</b:Guid>
    <b:Author>
      <b:Author>
        <b:NameList>
          <b:Person>
            <b:Last>BOONEN</b:Last>
            <b:First>Petronella</b:First>
            <b:Middle>Maria</b:Middle>
          </b:Person>
        </b:NameList>
      </b:Author>
    </b:Author>
    <b:Title>Justiça Restaurativa um desafio para a educação</b:Title>
    <b:PublicationTitle>Justiça Restaurativa um desafio para a educação</b:PublicationTitle>
    <b:Year>2011</b:Year>
    <b:City>São Paulo</b:City>
    <b:StateProvince>São Paulo</b:StateProvince>
    <b:CountryRegion>Brasil</b:CountryRegion>
    <b:URL>https://www.teses.usp.br/teses/disponiveis/48/48134/tde-10062011-140344/pt-br.php</b:URL>
    <b:DOI>10.11606/T.48.2011.tde-10062011-140344</b:DOI>
    <b:YearAccessed>2022</b:YearAccessed>
    <b:MonthAccessed>agosto</b:MonthAccessed>
    <b:DayAccessed>06</b:DayAccessed>
    <b:RefOrder>64</b:RefOrder>
  </b:Source>
</b:Sources>
</file>

<file path=customXml/itemProps1.xml><?xml version="1.0" encoding="utf-8"?>
<ds:datastoreItem xmlns:ds="http://schemas.openxmlformats.org/officeDocument/2006/customXml" ds:itemID="{CE857073-9C61-451D-AEA9-CC924A49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2808</Words>
  <Characters>15167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garcia</dc:creator>
  <cp:keywords/>
  <dc:description/>
  <cp:lastModifiedBy>alisson garcia</cp:lastModifiedBy>
  <cp:revision>1</cp:revision>
  <dcterms:created xsi:type="dcterms:W3CDTF">2023-02-24T17:23:00Z</dcterms:created>
  <dcterms:modified xsi:type="dcterms:W3CDTF">2023-02-27T19:14:00Z</dcterms:modified>
</cp:coreProperties>
</file>