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3"/>
      </w:pPr>
      <w:r>
        <w:rPr/>
        <w:t>CASE</w:t>
      </w:r>
      <w:r>
        <w:rPr>
          <w:spacing w:val="-6"/>
        </w:rPr>
        <w:t> </w:t>
      </w:r>
      <w:r>
        <w:rPr/>
        <w:t>DE</w:t>
      </w:r>
      <w:r>
        <w:rPr>
          <w:spacing w:val="-3"/>
        </w:rPr>
        <w:t> </w:t>
      </w:r>
      <w:r>
        <w:rPr/>
        <w:t>DIREITO</w:t>
      </w:r>
      <w:r>
        <w:rPr>
          <w:spacing w:val="-3"/>
        </w:rPr>
        <w:t> </w:t>
      </w:r>
      <w:r>
        <w:rPr/>
        <w:t>COLETIVO</w:t>
      </w:r>
      <w:r>
        <w:rPr>
          <w:spacing w:val="-6"/>
        </w:rPr>
        <w:t> </w:t>
      </w:r>
      <w:r>
        <w:rPr/>
        <w:t>DO</w:t>
      </w:r>
      <w:r>
        <w:rPr>
          <w:spacing w:val="-5"/>
        </w:rPr>
        <w:t> </w:t>
      </w:r>
      <w:r>
        <w:rPr>
          <w:spacing w:val="-2"/>
        </w:rPr>
        <w:t>TRABALHO</w:t>
      </w:r>
      <w:r>
        <w:rPr>
          <w:spacing w:val="-2"/>
          <w:vertAlign w:val="superscript"/>
        </w:rPr>
        <w:t>1</w:t>
      </w:r>
    </w:p>
    <w:p>
      <w:pPr>
        <w:pStyle w:val="BodyText"/>
        <w:spacing w:line="415" w:lineRule="auto" w:before="198"/>
        <w:ind w:left="5872" w:firstLine="230"/>
      </w:pPr>
      <w:r>
        <w:rPr/>
        <w:t>Fabrício</w:t>
      </w:r>
      <w:r>
        <w:rPr>
          <w:spacing w:val="-11"/>
        </w:rPr>
        <w:t> </w:t>
      </w:r>
      <w:r>
        <w:rPr/>
        <w:t>Wagner</w:t>
      </w:r>
      <w:r>
        <w:rPr>
          <w:spacing w:val="-13"/>
        </w:rPr>
        <w:t> </w:t>
      </w:r>
      <w:r>
        <w:rPr/>
        <w:t>Mendes</w:t>
      </w:r>
      <w:r>
        <w:rPr>
          <w:spacing w:val="-11"/>
        </w:rPr>
        <w:t> </w:t>
      </w:r>
      <w:r>
        <w:rPr/>
        <w:t>Leite</w:t>
      </w:r>
      <w:r>
        <w:rPr>
          <w:vertAlign w:val="superscript"/>
        </w:rPr>
        <w:t>2</w:t>
      </w:r>
      <w:r>
        <w:rPr>
          <w:vertAlign w:val="baseline"/>
        </w:rPr>
        <w:t> Hélio</w:t>
      </w:r>
      <w:r>
        <w:rPr>
          <w:spacing w:val="-2"/>
          <w:vertAlign w:val="baseline"/>
        </w:rPr>
        <w:t> </w:t>
      </w:r>
      <w:r>
        <w:rPr>
          <w:vertAlign w:val="baseline"/>
        </w:rPr>
        <w:t>Antonio</w:t>
      </w:r>
      <w:r>
        <w:rPr>
          <w:spacing w:val="-1"/>
          <w:vertAlign w:val="baseline"/>
        </w:rPr>
        <w:t> </w:t>
      </w:r>
      <w:r>
        <w:rPr>
          <w:vertAlign w:val="baseline"/>
        </w:rPr>
        <w:t>Bittencourt</w:t>
      </w:r>
      <w:r>
        <w:rPr>
          <w:spacing w:val="-1"/>
          <w:vertAlign w:val="baseline"/>
        </w:rPr>
        <w:t> </w:t>
      </w:r>
      <w:r>
        <w:rPr>
          <w:spacing w:val="-2"/>
          <w:vertAlign w:val="baseline"/>
        </w:rPr>
        <w:t>Santos</w:t>
      </w:r>
      <w:r>
        <w:rPr>
          <w:spacing w:val="-2"/>
          <w:vertAlign w:val="superscript"/>
        </w:rPr>
        <w:t>3</w:t>
      </w:r>
    </w:p>
    <w:p>
      <w:pPr>
        <w:pStyle w:val="BodyText"/>
        <w:spacing w:before="246"/>
        <w:ind w:left="0"/>
      </w:pPr>
    </w:p>
    <w:p>
      <w:pPr>
        <w:pStyle w:val="Heading1"/>
        <w:ind w:left="102" w:right="0"/>
        <w:jc w:val="left"/>
      </w:pPr>
      <w:r>
        <w:rPr/>
        <w:t>1.</w:t>
      </w:r>
      <w:r>
        <w:rPr>
          <w:spacing w:val="-7"/>
        </w:rPr>
        <w:t> </w:t>
      </w:r>
      <w:r>
        <w:rPr/>
        <w:t>Argumentos</w:t>
      </w:r>
      <w:r>
        <w:rPr>
          <w:spacing w:val="-4"/>
        </w:rPr>
        <w:t> </w:t>
      </w:r>
      <w:r>
        <w:rPr/>
        <w:t>capazes</w:t>
      </w:r>
      <w:r>
        <w:rPr>
          <w:spacing w:val="-3"/>
        </w:rPr>
        <w:t> </w:t>
      </w:r>
      <w:r>
        <w:rPr/>
        <w:t>de</w:t>
      </w:r>
      <w:r>
        <w:rPr>
          <w:spacing w:val="-5"/>
        </w:rPr>
        <w:t> </w:t>
      </w:r>
      <w:r>
        <w:rPr/>
        <w:t>fundamentar</w:t>
      </w:r>
      <w:r>
        <w:rPr>
          <w:spacing w:val="-6"/>
        </w:rPr>
        <w:t> </w:t>
      </w:r>
      <w:r>
        <w:rPr/>
        <w:t>cada</w:t>
      </w:r>
      <w:r>
        <w:rPr>
          <w:spacing w:val="-3"/>
        </w:rPr>
        <w:t> </w:t>
      </w:r>
      <w:r>
        <w:rPr>
          <w:spacing w:val="-2"/>
        </w:rPr>
        <w:t>decisão:</w:t>
      </w:r>
    </w:p>
    <w:p>
      <w:pPr>
        <w:pStyle w:val="BodyText"/>
        <w:spacing w:before="37"/>
        <w:ind w:left="0"/>
        <w:rPr>
          <w:b/>
          <w:sz w:val="28"/>
        </w:rPr>
      </w:pPr>
    </w:p>
    <w:p>
      <w:pPr>
        <w:pStyle w:val="BodyText"/>
        <w:spacing w:line="360" w:lineRule="auto"/>
        <w:ind w:right="108" w:firstLine="1132"/>
        <w:jc w:val="both"/>
      </w:pPr>
      <w:r>
        <w:rPr/>
        <w:t>O representante legal do Restaurante Comida Maranhense Ltda. Encaminhou para a acessória jurídica da empresa um acordo coletivo para pactuar, em decorrência da crise financeira que vem enfrentando, sendo estipuladas oito clausulas para serem analisadas. A primeira</w:t>
      </w:r>
      <w:r>
        <w:rPr>
          <w:spacing w:val="-5"/>
        </w:rPr>
        <w:t> </w:t>
      </w:r>
      <w:r>
        <w:rPr/>
        <w:t>clausula</w:t>
      </w:r>
      <w:r>
        <w:rPr>
          <w:spacing w:val="-2"/>
        </w:rPr>
        <w:t> </w:t>
      </w:r>
      <w:r>
        <w:rPr/>
        <w:t>do</w:t>
      </w:r>
      <w:r>
        <w:rPr>
          <w:spacing w:val="-3"/>
        </w:rPr>
        <w:t> </w:t>
      </w:r>
      <w:r>
        <w:rPr/>
        <w:t>acordo</w:t>
      </w:r>
      <w:r>
        <w:rPr>
          <w:spacing w:val="-3"/>
        </w:rPr>
        <w:t> </w:t>
      </w:r>
      <w:r>
        <w:rPr/>
        <w:t>fala</w:t>
      </w:r>
      <w:r>
        <w:rPr>
          <w:spacing w:val="-3"/>
        </w:rPr>
        <w:t> </w:t>
      </w:r>
      <w:r>
        <w:rPr/>
        <w:t>sobre</w:t>
      </w:r>
      <w:r>
        <w:rPr>
          <w:spacing w:val="-4"/>
        </w:rPr>
        <w:t> </w:t>
      </w:r>
      <w:r>
        <w:rPr/>
        <w:t>a</w:t>
      </w:r>
      <w:r>
        <w:rPr>
          <w:spacing w:val="-4"/>
        </w:rPr>
        <w:t> </w:t>
      </w:r>
      <w:r>
        <w:rPr/>
        <w:t>abrangência</w:t>
      </w:r>
      <w:r>
        <w:rPr>
          <w:spacing w:val="-3"/>
        </w:rPr>
        <w:t> </w:t>
      </w:r>
      <w:r>
        <w:rPr/>
        <w:t>do</w:t>
      </w:r>
      <w:r>
        <w:rPr>
          <w:spacing w:val="-3"/>
        </w:rPr>
        <w:t> </w:t>
      </w:r>
      <w:r>
        <w:rPr/>
        <w:t>Acordo</w:t>
      </w:r>
      <w:r>
        <w:rPr>
          <w:spacing w:val="-4"/>
        </w:rPr>
        <w:t> </w:t>
      </w:r>
      <w:r>
        <w:rPr/>
        <w:t>Coletivo</w:t>
      </w:r>
      <w:r>
        <w:rPr>
          <w:spacing w:val="-3"/>
        </w:rPr>
        <w:t> </w:t>
      </w:r>
      <w:r>
        <w:rPr/>
        <w:t>do</w:t>
      </w:r>
      <w:r>
        <w:rPr>
          <w:spacing w:val="-1"/>
        </w:rPr>
        <w:t> </w:t>
      </w:r>
      <w:r>
        <w:rPr/>
        <w:t>Trabalho</w:t>
      </w:r>
      <w:r>
        <w:rPr>
          <w:spacing w:val="-3"/>
        </w:rPr>
        <w:t> </w:t>
      </w:r>
      <w:r>
        <w:rPr/>
        <w:t>abrange as quatros unidades do Restaurante Comida Maranhense Ltda. localizadas em São Luís/MA e em São José de Ribamar/MA, no entanto o acordo foi endereçado para o Sindicato do Trabalhadores em Restaurantes, Bares, Hotéis e Similares de São Luís/MA, porém uma das unidades se encontra São José de Ribamar, esta clausula não está formalizadas nos termos legais, pois é pacifico pelo TST que o critério para que se estabeleça Acordo Coletivo do Trabalho deve aplicar as normas coletivas vigentes no local da prestação do serviço.</w:t>
      </w:r>
    </w:p>
    <w:p>
      <w:pPr>
        <w:pStyle w:val="BodyText"/>
        <w:spacing w:line="360" w:lineRule="auto" w:before="201"/>
        <w:ind w:right="108" w:firstLine="1132"/>
        <w:jc w:val="both"/>
      </w:pPr>
      <w:r>
        <w:rPr/>
        <w:t>A</w:t>
      </w:r>
      <w:r>
        <w:rPr>
          <w:spacing w:val="-2"/>
        </w:rPr>
        <w:t> </w:t>
      </w:r>
      <w:r>
        <w:rPr/>
        <w:t>segunda</w:t>
      </w:r>
      <w:r>
        <w:rPr>
          <w:spacing w:val="-1"/>
        </w:rPr>
        <w:t> </w:t>
      </w:r>
      <w:r>
        <w:rPr/>
        <w:t>clausula</w:t>
      </w:r>
      <w:r>
        <w:rPr>
          <w:spacing w:val="-2"/>
        </w:rPr>
        <w:t> </w:t>
      </w:r>
      <w:r>
        <w:rPr/>
        <w:t>do</w:t>
      </w:r>
      <w:r>
        <w:rPr>
          <w:spacing w:val="-1"/>
        </w:rPr>
        <w:t> </w:t>
      </w:r>
      <w:r>
        <w:rPr/>
        <w:t>Acordo</w:t>
      </w:r>
      <w:r>
        <w:rPr>
          <w:spacing w:val="-3"/>
        </w:rPr>
        <w:t> </w:t>
      </w:r>
      <w:r>
        <w:rPr/>
        <w:t>fala</w:t>
      </w:r>
      <w:r>
        <w:rPr>
          <w:spacing w:val="-2"/>
        </w:rPr>
        <w:t> </w:t>
      </w:r>
      <w:r>
        <w:rPr/>
        <w:t>sobre</w:t>
      </w:r>
      <w:r>
        <w:rPr>
          <w:spacing w:val="-3"/>
        </w:rPr>
        <w:t> </w:t>
      </w:r>
      <w:r>
        <w:rPr/>
        <w:t>a</w:t>
      </w:r>
      <w:r>
        <w:rPr>
          <w:spacing w:val="-3"/>
        </w:rPr>
        <w:t> </w:t>
      </w:r>
      <w:r>
        <w:rPr/>
        <w:t>vigência,</w:t>
      </w:r>
      <w:r>
        <w:rPr>
          <w:spacing w:val="-2"/>
        </w:rPr>
        <w:t> </w:t>
      </w:r>
      <w:r>
        <w:rPr/>
        <w:t>estipulando</w:t>
      </w:r>
      <w:r>
        <w:rPr>
          <w:spacing w:val="-2"/>
        </w:rPr>
        <w:t> </w:t>
      </w:r>
      <w:r>
        <w:rPr/>
        <w:t>que</w:t>
      </w:r>
      <w:r>
        <w:rPr>
          <w:spacing w:val="-4"/>
        </w:rPr>
        <w:t> </w:t>
      </w:r>
      <w:r>
        <w:rPr/>
        <w:t>o acordo</w:t>
      </w:r>
      <w:r>
        <w:rPr>
          <w:spacing w:val="-2"/>
        </w:rPr>
        <w:t> </w:t>
      </w:r>
      <w:r>
        <w:rPr/>
        <w:t>terá duração de seis meses sendo prorrogável por mais seis meses, neste caso a norma é juridicamente válida e está formalizada nos termos gerais, pois o artigo Art. 614 § 3o</w:t>
      </w:r>
      <w:r>
        <w:rPr>
          <w:spacing w:val="-2"/>
        </w:rPr>
        <w:t> </w:t>
      </w:r>
      <w:r>
        <w:rPr/>
        <w:t>afirma que</w:t>
      </w:r>
      <w:r>
        <w:rPr>
          <w:spacing w:val="-3"/>
        </w:rPr>
        <w:t> </w:t>
      </w:r>
      <w:r>
        <w:rPr/>
        <w:t>não</w:t>
      </w:r>
      <w:r>
        <w:rPr>
          <w:spacing w:val="-2"/>
        </w:rPr>
        <w:t> </w:t>
      </w:r>
      <w:r>
        <w:rPr/>
        <w:t>será</w:t>
      </w:r>
      <w:r>
        <w:rPr>
          <w:spacing w:val="-3"/>
        </w:rPr>
        <w:t> </w:t>
      </w:r>
      <w:r>
        <w:rPr/>
        <w:t>permitido</w:t>
      </w:r>
      <w:r>
        <w:rPr>
          <w:spacing w:val="-2"/>
        </w:rPr>
        <w:t> </w:t>
      </w:r>
      <w:r>
        <w:rPr/>
        <w:t>estipular</w:t>
      </w:r>
      <w:r>
        <w:rPr>
          <w:spacing w:val="-4"/>
        </w:rPr>
        <w:t> </w:t>
      </w:r>
      <w:r>
        <w:rPr/>
        <w:t>duração</w:t>
      </w:r>
      <w:r>
        <w:rPr>
          <w:spacing w:val="-2"/>
        </w:rPr>
        <w:t> </w:t>
      </w:r>
      <w:r>
        <w:rPr/>
        <w:t>de</w:t>
      </w:r>
      <w:r>
        <w:rPr>
          <w:spacing w:val="-3"/>
        </w:rPr>
        <w:t> </w:t>
      </w:r>
      <w:r>
        <w:rPr/>
        <w:t>convenção</w:t>
      </w:r>
      <w:r>
        <w:rPr>
          <w:spacing w:val="-2"/>
        </w:rPr>
        <w:t> </w:t>
      </w:r>
      <w:r>
        <w:rPr/>
        <w:t>coletiva</w:t>
      </w:r>
      <w:r>
        <w:rPr>
          <w:spacing w:val="-2"/>
        </w:rPr>
        <w:t> </w:t>
      </w:r>
      <w:r>
        <w:rPr/>
        <w:t>ou</w:t>
      </w:r>
      <w:r>
        <w:rPr>
          <w:spacing w:val="-2"/>
        </w:rPr>
        <w:t> </w:t>
      </w:r>
      <w:r>
        <w:rPr/>
        <w:t>acordo</w:t>
      </w:r>
      <w:r>
        <w:rPr>
          <w:spacing w:val="-2"/>
        </w:rPr>
        <w:t> </w:t>
      </w:r>
      <w:r>
        <w:rPr/>
        <w:t>coletivo</w:t>
      </w:r>
      <w:r>
        <w:rPr>
          <w:spacing w:val="-2"/>
        </w:rPr>
        <w:t> </w:t>
      </w:r>
      <w:r>
        <w:rPr/>
        <w:t>de</w:t>
      </w:r>
      <w:r>
        <w:rPr>
          <w:spacing w:val="-2"/>
        </w:rPr>
        <w:t> </w:t>
      </w:r>
      <w:r>
        <w:rPr/>
        <w:t>trabalho superior a dois anos, sendo vedada a ultratividade, a terceira clausula que reduz o salário dos funcionários em 20% está formalizada e é juridicamente válida, pois o artigo 2 da lei 4923/65 estipula um limite de no Maximo 25% na redução salarial em caso de crise financeira, no entanto não será possível a redução salarial dos de categoria de R$ 1.350,00; pois o mesmo artigo</w:t>
      </w:r>
      <w:r>
        <w:rPr>
          <w:spacing w:val="-2"/>
        </w:rPr>
        <w:t> </w:t>
      </w:r>
      <w:r>
        <w:rPr/>
        <w:t>afirma</w:t>
      </w:r>
      <w:r>
        <w:rPr>
          <w:spacing w:val="-3"/>
        </w:rPr>
        <w:t> </w:t>
      </w:r>
      <w:r>
        <w:rPr/>
        <w:t>que</w:t>
      </w:r>
      <w:r>
        <w:rPr>
          <w:spacing w:val="-1"/>
        </w:rPr>
        <w:t> </w:t>
      </w:r>
      <w:r>
        <w:rPr/>
        <w:t>a</w:t>
      </w:r>
      <w:r>
        <w:rPr>
          <w:spacing w:val="-1"/>
        </w:rPr>
        <w:t> </w:t>
      </w:r>
      <w:r>
        <w:rPr/>
        <w:t>redução</w:t>
      </w:r>
      <w:r>
        <w:rPr>
          <w:spacing w:val="-2"/>
        </w:rPr>
        <w:t> </w:t>
      </w:r>
      <w:r>
        <w:rPr/>
        <w:t>deve</w:t>
      </w:r>
      <w:r>
        <w:rPr>
          <w:spacing w:val="-3"/>
        </w:rPr>
        <w:t> </w:t>
      </w:r>
      <w:r>
        <w:rPr/>
        <w:t>respeitar</w:t>
      </w:r>
      <w:r>
        <w:rPr>
          <w:spacing w:val="-1"/>
        </w:rPr>
        <w:t> </w:t>
      </w:r>
      <w:r>
        <w:rPr/>
        <w:t>o</w:t>
      </w:r>
      <w:r>
        <w:rPr>
          <w:spacing w:val="-2"/>
        </w:rPr>
        <w:t> </w:t>
      </w:r>
      <w:r>
        <w:rPr/>
        <w:t>salário</w:t>
      </w:r>
      <w:r>
        <w:rPr>
          <w:spacing w:val="-2"/>
        </w:rPr>
        <w:t> </w:t>
      </w:r>
      <w:r>
        <w:rPr/>
        <w:t>mínimo</w:t>
      </w:r>
      <w:r>
        <w:rPr>
          <w:spacing w:val="-2"/>
        </w:rPr>
        <w:t> </w:t>
      </w:r>
      <w:r>
        <w:rPr/>
        <w:t>regional,</w:t>
      </w:r>
      <w:r>
        <w:rPr>
          <w:spacing w:val="-2"/>
        </w:rPr>
        <w:t> </w:t>
      </w:r>
      <w:r>
        <w:rPr/>
        <w:t>com a</w:t>
      </w:r>
      <w:r>
        <w:rPr>
          <w:spacing w:val="-3"/>
        </w:rPr>
        <w:t> </w:t>
      </w:r>
      <w:r>
        <w:rPr/>
        <w:t>redução de</w:t>
      </w:r>
      <w:r>
        <w:rPr>
          <w:spacing w:val="-3"/>
        </w:rPr>
        <w:t> </w:t>
      </w:r>
      <w:r>
        <w:rPr/>
        <w:t>20%</w:t>
      </w:r>
      <w:r>
        <w:rPr>
          <w:spacing w:val="-3"/>
        </w:rPr>
        <w:t> </w:t>
      </w:r>
      <w:r>
        <w:rPr/>
        <w:t>o salário ficará abaixo de R$1.100,00 que é o salário mínimo regional do Maranhão.</w:t>
      </w:r>
    </w:p>
    <w:p>
      <w:pPr>
        <w:pStyle w:val="BodyText"/>
        <w:spacing w:line="360" w:lineRule="auto" w:before="200"/>
        <w:ind w:right="111"/>
        <w:jc w:val="both"/>
      </w:pPr>
      <w:r>
        <w:rPr/>
        <w:t>A quarta clausula que estipula sobre a estabilidade dos funcionários não está formalizada nos termos</w:t>
      </w:r>
      <w:r>
        <w:rPr>
          <w:spacing w:val="-3"/>
        </w:rPr>
        <w:t> </w:t>
      </w:r>
      <w:r>
        <w:rPr/>
        <w:t>gerais</w:t>
      </w:r>
      <w:r>
        <w:rPr>
          <w:spacing w:val="-3"/>
        </w:rPr>
        <w:t> </w:t>
      </w:r>
      <w:r>
        <w:rPr/>
        <w:t>da</w:t>
      </w:r>
      <w:r>
        <w:rPr>
          <w:spacing w:val="-3"/>
        </w:rPr>
        <w:t> </w:t>
      </w:r>
      <w:r>
        <w:rPr/>
        <w:t>lei,</w:t>
      </w:r>
      <w:r>
        <w:rPr>
          <w:spacing w:val="-3"/>
        </w:rPr>
        <w:t> </w:t>
      </w:r>
      <w:r>
        <w:rPr/>
        <w:t>pois</w:t>
      </w:r>
      <w:r>
        <w:rPr>
          <w:spacing w:val="-3"/>
        </w:rPr>
        <w:t> </w:t>
      </w:r>
      <w:r>
        <w:rPr/>
        <w:t>ela</w:t>
      </w:r>
      <w:r>
        <w:rPr>
          <w:spacing w:val="-3"/>
        </w:rPr>
        <w:t> </w:t>
      </w:r>
      <w:r>
        <w:rPr/>
        <w:t>estipula</w:t>
      </w:r>
      <w:r>
        <w:rPr>
          <w:spacing w:val="-3"/>
        </w:rPr>
        <w:t> </w:t>
      </w:r>
      <w:r>
        <w:rPr/>
        <w:t>que</w:t>
      </w:r>
      <w:r>
        <w:rPr>
          <w:spacing w:val="-3"/>
        </w:rPr>
        <w:t> </w:t>
      </w:r>
      <w:r>
        <w:rPr/>
        <w:t>Todos</w:t>
      </w:r>
      <w:r>
        <w:rPr>
          <w:spacing w:val="-3"/>
        </w:rPr>
        <w:t> </w:t>
      </w:r>
      <w:r>
        <w:rPr/>
        <w:t>os</w:t>
      </w:r>
      <w:r>
        <w:rPr>
          <w:spacing w:val="-1"/>
        </w:rPr>
        <w:t> </w:t>
      </w:r>
      <w:r>
        <w:rPr/>
        <w:t>trabalhadores</w:t>
      </w:r>
      <w:r>
        <w:rPr>
          <w:spacing w:val="-3"/>
        </w:rPr>
        <w:t> </w:t>
      </w:r>
      <w:r>
        <w:rPr/>
        <w:t>poderão</w:t>
      </w:r>
      <w:r>
        <w:rPr>
          <w:spacing w:val="-3"/>
        </w:rPr>
        <w:t> </w:t>
      </w:r>
      <w:r>
        <w:rPr/>
        <w:t>ser</w:t>
      </w:r>
      <w:r>
        <w:rPr>
          <w:spacing w:val="-3"/>
        </w:rPr>
        <w:t> </w:t>
      </w:r>
      <w:r>
        <w:rPr/>
        <w:t>dispensados</w:t>
      </w:r>
      <w:r>
        <w:rPr>
          <w:spacing w:val="-3"/>
        </w:rPr>
        <w:t> </w:t>
      </w:r>
      <w:r>
        <w:rPr/>
        <w:t>sem justa</w:t>
      </w:r>
      <w:r>
        <w:rPr>
          <w:spacing w:val="24"/>
        </w:rPr>
        <w:t> </w:t>
      </w:r>
      <w:r>
        <w:rPr/>
        <w:t>causa</w:t>
      </w:r>
      <w:r>
        <w:rPr>
          <w:spacing w:val="27"/>
        </w:rPr>
        <w:t> </w:t>
      </w:r>
      <w:r>
        <w:rPr/>
        <w:t>durante</w:t>
      </w:r>
      <w:r>
        <w:rPr>
          <w:spacing w:val="30"/>
        </w:rPr>
        <w:t> </w:t>
      </w:r>
      <w:r>
        <w:rPr/>
        <w:t>a</w:t>
      </w:r>
      <w:r>
        <w:rPr>
          <w:spacing w:val="27"/>
        </w:rPr>
        <w:t> </w:t>
      </w:r>
      <w:r>
        <w:rPr/>
        <w:t>vigência</w:t>
      </w:r>
      <w:r>
        <w:rPr>
          <w:spacing w:val="28"/>
        </w:rPr>
        <w:t> </w:t>
      </w:r>
      <w:r>
        <w:rPr/>
        <w:t>do</w:t>
      </w:r>
      <w:r>
        <w:rPr>
          <w:spacing w:val="30"/>
        </w:rPr>
        <w:t> </w:t>
      </w:r>
      <w:r>
        <w:rPr/>
        <w:t>acordo</w:t>
      </w:r>
      <w:r>
        <w:rPr>
          <w:spacing w:val="30"/>
        </w:rPr>
        <w:t> </w:t>
      </w:r>
      <w:r>
        <w:rPr/>
        <w:t>sem</w:t>
      </w:r>
      <w:r>
        <w:rPr>
          <w:spacing w:val="29"/>
        </w:rPr>
        <w:t> </w:t>
      </w:r>
      <w:r>
        <w:rPr/>
        <w:t>qualquer</w:t>
      </w:r>
      <w:r>
        <w:rPr>
          <w:spacing w:val="27"/>
        </w:rPr>
        <w:t> </w:t>
      </w:r>
      <w:r>
        <w:rPr/>
        <w:t>formalidade</w:t>
      </w:r>
      <w:r>
        <w:rPr>
          <w:spacing w:val="30"/>
        </w:rPr>
        <w:t> </w:t>
      </w:r>
      <w:r>
        <w:rPr/>
        <w:t>adicional,</w:t>
      </w:r>
      <w:r>
        <w:rPr>
          <w:spacing w:val="28"/>
        </w:rPr>
        <w:t> </w:t>
      </w:r>
      <w:r>
        <w:rPr/>
        <w:t>no</w:t>
      </w:r>
      <w:r>
        <w:rPr>
          <w:spacing w:val="28"/>
        </w:rPr>
        <w:t> </w:t>
      </w:r>
      <w:r>
        <w:rPr/>
        <w:t>entanto</w:t>
      </w:r>
      <w:r>
        <w:rPr>
          <w:spacing w:val="29"/>
        </w:rPr>
        <w:t> </w:t>
      </w:r>
      <w:r>
        <w:rPr>
          <w:spacing w:val="-10"/>
        </w:rPr>
        <w:t>o</w:t>
      </w:r>
    </w:p>
    <w:p>
      <w:pPr>
        <w:pStyle w:val="BodyText"/>
        <w:spacing w:before="57"/>
        <w:ind w:left="0"/>
        <w:rPr>
          <w:sz w:val="20"/>
        </w:rPr>
      </w:pPr>
      <w:r>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198015</wp:posOffset>
                </wp:positionV>
                <wp:extent cx="1829435" cy="952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591787pt;width:144.020pt;height:.71997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2"/>
        <w:ind w:left="102" w:right="0" w:firstLine="0"/>
        <w:jc w:val="left"/>
        <w:rPr>
          <w:rFonts w:ascii="Carlito"/>
          <w:sz w:val="20"/>
        </w:rPr>
      </w:pPr>
      <w:r>
        <w:rPr>
          <w:rFonts w:ascii="Carlito"/>
          <w:sz w:val="20"/>
          <w:vertAlign w:val="superscript"/>
        </w:rPr>
        <w:t>1</w:t>
      </w:r>
      <w:r>
        <w:rPr>
          <w:rFonts w:ascii="Carlito"/>
          <w:spacing w:val="-7"/>
          <w:sz w:val="20"/>
          <w:vertAlign w:val="baseline"/>
        </w:rPr>
        <w:t> </w:t>
      </w:r>
      <w:r>
        <w:rPr>
          <w:rFonts w:ascii="Carlito"/>
          <w:sz w:val="20"/>
          <w:vertAlign w:val="baseline"/>
        </w:rPr>
        <w:t>Case</w:t>
      </w:r>
      <w:r>
        <w:rPr>
          <w:rFonts w:ascii="Carlito"/>
          <w:spacing w:val="-7"/>
          <w:sz w:val="20"/>
          <w:vertAlign w:val="baseline"/>
        </w:rPr>
        <w:t> </w:t>
      </w:r>
      <w:r>
        <w:rPr>
          <w:rFonts w:ascii="Carlito"/>
          <w:sz w:val="20"/>
          <w:vertAlign w:val="baseline"/>
        </w:rPr>
        <w:t>apresentando</w:t>
      </w:r>
      <w:r>
        <w:rPr>
          <w:rFonts w:ascii="Carlito"/>
          <w:spacing w:val="-6"/>
          <w:sz w:val="20"/>
          <w:vertAlign w:val="baseline"/>
        </w:rPr>
        <w:t> </w:t>
      </w:r>
      <w:r>
        <w:rPr>
          <w:rFonts w:ascii="Carlito"/>
          <w:sz w:val="20"/>
          <w:vertAlign w:val="baseline"/>
        </w:rPr>
        <w:t>a</w:t>
      </w:r>
      <w:r>
        <w:rPr>
          <w:rFonts w:ascii="Carlito"/>
          <w:spacing w:val="-6"/>
          <w:sz w:val="20"/>
          <w:vertAlign w:val="baseline"/>
        </w:rPr>
        <w:t> </w:t>
      </w:r>
      <w:r>
        <w:rPr>
          <w:rFonts w:ascii="Carlito"/>
          <w:sz w:val="20"/>
          <w:vertAlign w:val="baseline"/>
        </w:rPr>
        <w:t>disciplina</w:t>
      </w:r>
      <w:r>
        <w:rPr>
          <w:rFonts w:ascii="Carlito"/>
          <w:spacing w:val="-6"/>
          <w:sz w:val="20"/>
          <w:vertAlign w:val="baseline"/>
        </w:rPr>
        <w:t> </w:t>
      </w:r>
      <w:r>
        <w:rPr>
          <w:rFonts w:ascii="Carlito"/>
          <w:sz w:val="20"/>
          <w:vertAlign w:val="baseline"/>
        </w:rPr>
        <w:t>de</w:t>
      </w:r>
      <w:r>
        <w:rPr>
          <w:rFonts w:ascii="Carlito"/>
          <w:spacing w:val="-7"/>
          <w:sz w:val="20"/>
          <w:vertAlign w:val="baseline"/>
        </w:rPr>
        <w:t> </w:t>
      </w:r>
      <w:r>
        <w:rPr>
          <w:rFonts w:ascii="Carlito"/>
          <w:sz w:val="20"/>
          <w:vertAlign w:val="baseline"/>
        </w:rPr>
        <w:t>Direito</w:t>
      </w:r>
      <w:r>
        <w:rPr>
          <w:rFonts w:ascii="Carlito"/>
          <w:spacing w:val="-6"/>
          <w:sz w:val="20"/>
          <w:vertAlign w:val="baseline"/>
        </w:rPr>
        <w:t> </w:t>
      </w:r>
      <w:r>
        <w:rPr>
          <w:rFonts w:ascii="Carlito"/>
          <w:sz w:val="20"/>
          <w:vertAlign w:val="baseline"/>
        </w:rPr>
        <w:t>Coletivo</w:t>
      </w:r>
      <w:r>
        <w:rPr>
          <w:rFonts w:ascii="Carlito"/>
          <w:spacing w:val="-6"/>
          <w:sz w:val="20"/>
          <w:vertAlign w:val="baseline"/>
        </w:rPr>
        <w:t> </w:t>
      </w:r>
      <w:r>
        <w:rPr>
          <w:rFonts w:ascii="Carlito"/>
          <w:sz w:val="20"/>
          <w:vertAlign w:val="baseline"/>
        </w:rPr>
        <w:t>do</w:t>
      </w:r>
      <w:r>
        <w:rPr>
          <w:rFonts w:ascii="Carlito"/>
          <w:spacing w:val="-6"/>
          <w:sz w:val="20"/>
          <w:vertAlign w:val="baseline"/>
        </w:rPr>
        <w:t> </w:t>
      </w:r>
      <w:r>
        <w:rPr>
          <w:rFonts w:ascii="Carlito"/>
          <w:sz w:val="20"/>
          <w:vertAlign w:val="baseline"/>
        </w:rPr>
        <w:t>Trabalho</w:t>
      </w:r>
      <w:r>
        <w:rPr>
          <w:rFonts w:ascii="Carlito"/>
          <w:spacing w:val="-6"/>
          <w:sz w:val="20"/>
          <w:vertAlign w:val="baseline"/>
        </w:rPr>
        <w:t> </w:t>
      </w:r>
      <w:r>
        <w:rPr>
          <w:rFonts w:ascii="Carlito"/>
          <w:sz w:val="20"/>
          <w:vertAlign w:val="baseline"/>
        </w:rPr>
        <w:t>Ensino</w:t>
      </w:r>
      <w:r>
        <w:rPr>
          <w:rFonts w:ascii="Carlito"/>
          <w:spacing w:val="-9"/>
          <w:sz w:val="20"/>
          <w:vertAlign w:val="baseline"/>
        </w:rPr>
        <w:t> </w:t>
      </w:r>
      <w:r>
        <w:rPr>
          <w:rFonts w:ascii="Carlito"/>
          <w:sz w:val="20"/>
          <w:vertAlign w:val="baseline"/>
        </w:rPr>
        <w:t>Superior</w:t>
      </w:r>
      <w:r>
        <w:rPr>
          <w:rFonts w:ascii="Carlito"/>
          <w:spacing w:val="-6"/>
          <w:sz w:val="20"/>
          <w:vertAlign w:val="baseline"/>
        </w:rPr>
        <w:t> </w:t>
      </w:r>
      <w:r>
        <w:rPr>
          <w:rFonts w:ascii="Carlito"/>
          <w:sz w:val="20"/>
          <w:vertAlign w:val="baseline"/>
        </w:rPr>
        <w:t>Don</w:t>
      </w:r>
      <w:r>
        <w:rPr>
          <w:rFonts w:ascii="Carlito"/>
          <w:spacing w:val="-5"/>
          <w:sz w:val="20"/>
          <w:vertAlign w:val="baseline"/>
        </w:rPr>
        <w:t> </w:t>
      </w:r>
      <w:r>
        <w:rPr>
          <w:rFonts w:ascii="Carlito"/>
          <w:spacing w:val="-2"/>
          <w:sz w:val="20"/>
          <w:vertAlign w:val="baseline"/>
        </w:rPr>
        <w:t>Bosco</w:t>
      </w:r>
    </w:p>
    <w:p>
      <w:pPr>
        <w:spacing w:before="1"/>
        <w:ind w:left="102" w:right="0" w:firstLine="0"/>
        <w:jc w:val="left"/>
        <w:rPr>
          <w:rFonts w:ascii="Carlito" w:hAnsi="Carlito"/>
          <w:sz w:val="20"/>
        </w:rPr>
      </w:pPr>
      <w:r>
        <w:rPr>
          <w:rFonts w:ascii="Carlito" w:hAnsi="Carlito"/>
          <w:sz w:val="20"/>
          <w:vertAlign w:val="superscript"/>
        </w:rPr>
        <w:t>2</w:t>
      </w:r>
      <w:r>
        <w:rPr>
          <w:rFonts w:ascii="Carlito" w:hAnsi="Carlito"/>
          <w:spacing w:val="-5"/>
          <w:sz w:val="20"/>
          <w:vertAlign w:val="baseline"/>
        </w:rPr>
        <w:t> </w:t>
      </w:r>
      <w:r>
        <w:rPr>
          <w:rFonts w:ascii="Carlito" w:hAnsi="Carlito"/>
          <w:sz w:val="20"/>
          <w:vertAlign w:val="baseline"/>
        </w:rPr>
        <w:t>Aluno</w:t>
      </w:r>
      <w:r>
        <w:rPr>
          <w:rFonts w:ascii="Carlito" w:hAnsi="Carlito"/>
          <w:spacing w:val="-4"/>
          <w:sz w:val="20"/>
          <w:vertAlign w:val="baseline"/>
        </w:rPr>
        <w:t> </w:t>
      </w:r>
      <w:r>
        <w:rPr>
          <w:rFonts w:ascii="Carlito" w:hAnsi="Carlito"/>
          <w:sz w:val="20"/>
          <w:vertAlign w:val="baseline"/>
        </w:rPr>
        <w:t>do</w:t>
      </w:r>
      <w:r>
        <w:rPr>
          <w:rFonts w:ascii="Carlito" w:hAnsi="Carlito"/>
          <w:spacing w:val="-4"/>
          <w:sz w:val="20"/>
          <w:vertAlign w:val="baseline"/>
        </w:rPr>
        <w:t> </w:t>
      </w:r>
      <w:r>
        <w:rPr>
          <w:rFonts w:ascii="Carlito" w:hAnsi="Carlito"/>
          <w:sz w:val="20"/>
          <w:vertAlign w:val="baseline"/>
        </w:rPr>
        <w:t>7º</w:t>
      </w:r>
      <w:r>
        <w:rPr>
          <w:rFonts w:ascii="Carlito" w:hAnsi="Carlito"/>
          <w:spacing w:val="-3"/>
          <w:sz w:val="20"/>
          <w:vertAlign w:val="baseline"/>
        </w:rPr>
        <w:t> </w:t>
      </w:r>
      <w:r>
        <w:rPr>
          <w:rFonts w:ascii="Carlito" w:hAnsi="Carlito"/>
          <w:sz w:val="20"/>
          <w:vertAlign w:val="baseline"/>
        </w:rPr>
        <w:t>período</w:t>
      </w:r>
      <w:r>
        <w:rPr>
          <w:rFonts w:ascii="Carlito" w:hAnsi="Carlito"/>
          <w:spacing w:val="-4"/>
          <w:sz w:val="20"/>
          <w:vertAlign w:val="baseline"/>
        </w:rPr>
        <w:t> </w:t>
      </w:r>
      <w:r>
        <w:rPr>
          <w:rFonts w:ascii="Carlito" w:hAnsi="Carlito"/>
          <w:sz w:val="20"/>
          <w:vertAlign w:val="baseline"/>
        </w:rPr>
        <w:t>de</w:t>
      </w:r>
      <w:r>
        <w:rPr>
          <w:rFonts w:ascii="Carlito" w:hAnsi="Carlito"/>
          <w:spacing w:val="-5"/>
          <w:sz w:val="20"/>
          <w:vertAlign w:val="baseline"/>
        </w:rPr>
        <w:t> </w:t>
      </w:r>
      <w:r>
        <w:rPr>
          <w:rFonts w:ascii="Carlito" w:hAnsi="Carlito"/>
          <w:sz w:val="20"/>
          <w:vertAlign w:val="baseline"/>
        </w:rPr>
        <w:t>direito</w:t>
      </w:r>
      <w:r>
        <w:rPr>
          <w:rFonts w:ascii="Carlito" w:hAnsi="Carlito"/>
          <w:spacing w:val="1"/>
          <w:sz w:val="20"/>
          <w:vertAlign w:val="baseline"/>
        </w:rPr>
        <w:t> </w:t>
      </w:r>
      <w:r>
        <w:rPr>
          <w:rFonts w:ascii="Carlito" w:hAnsi="Carlito"/>
          <w:sz w:val="20"/>
          <w:vertAlign w:val="baseline"/>
        </w:rPr>
        <w:t>-</w:t>
      </w:r>
      <w:r>
        <w:rPr>
          <w:rFonts w:ascii="Carlito" w:hAnsi="Carlito"/>
          <w:spacing w:val="-4"/>
          <w:sz w:val="20"/>
          <w:vertAlign w:val="baseline"/>
        </w:rPr>
        <w:t> UNDB</w:t>
      </w:r>
    </w:p>
    <w:p>
      <w:pPr>
        <w:spacing w:before="0"/>
        <w:ind w:left="102" w:right="0" w:firstLine="0"/>
        <w:jc w:val="left"/>
        <w:rPr>
          <w:rFonts w:ascii="Carlito"/>
          <w:sz w:val="20"/>
        </w:rPr>
      </w:pPr>
      <w:r>
        <w:rPr>
          <w:rFonts w:ascii="Carlito"/>
          <w:sz w:val="20"/>
          <w:vertAlign w:val="superscript"/>
        </w:rPr>
        <w:t>3</w:t>
      </w:r>
      <w:r>
        <w:rPr>
          <w:rFonts w:ascii="Carlito"/>
          <w:spacing w:val="-11"/>
          <w:sz w:val="20"/>
          <w:vertAlign w:val="baseline"/>
        </w:rPr>
        <w:t> </w:t>
      </w:r>
      <w:r>
        <w:rPr>
          <w:rFonts w:ascii="Carlito"/>
          <w:sz w:val="20"/>
          <w:vertAlign w:val="baseline"/>
        </w:rPr>
        <w:t>Mestre-</w:t>
      </w:r>
      <w:r>
        <w:rPr>
          <w:rFonts w:ascii="Carlito"/>
          <w:spacing w:val="-2"/>
          <w:sz w:val="20"/>
          <w:vertAlign w:val="baseline"/>
        </w:rPr>
        <w:t>Professor</w:t>
      </w:r>
    </w:p>
    <w:p>
      <w:pPr>
        <w:spacing w:after="0"/>
        <w:jc w:val="left"/>
        <w:rPr>
          <w:rFonts w:ascii="Carlito"/>
          <w:sz w:val="20"/>
        </w:rPr>
        <w:sectPr>
          <w:type w:val="continuous"/>
          <w:pgSz w:w="11910" w:h="16840"/>
          <w:pgMar w:top="1600" w:bottom="280" w:left="1600" w:right="1020"/>
        </w:sectPr>
      </w:pPr>
    </w:p>
    <w:p>
      <w:pPr>
        <w:pStyle w:val="BodyText"/>
        <w:spacing w:line="360" w:lineRule="auto" w:before="62"/>
        <w:ind w:right="109"/>
        <w:jc w:val="both"/>
      </w:pPr>
      <w:r>
        <w:rPr/>
        <w:t>artigo 661 § 3º estipula que caso seja pactuada cláusula que reduza o salário ou a jornada, a convenção coletiva ou o acordo coletivo de trabalho deverão prever a proteção dos empregados contra dispensa imotivada durante o prazo de vigência do instrumento coletivo, a quinta clausula estipula sobre a obrigação de duas horas extras diárias que serão remuneradas com adicional de 25% em virtude da força maior que motivou a celebração do acordo, desta maneira ela não cumpre de todo a lei, pois de acordo com o artigo 59 da CLT o excedente da carga</w:t>
      </w:r>
      <w:r>
        <w:rPr>
          <w:spacing w:val="-2"/>
        </w:rPr>
        <w:t> </w:t>
      </w:r>
      <w:r>
        <w:rPr/>
        <w:t>horária</w:t>
      </w:r>
      <w:r>
        <w:rPr>
          <w:spacing w:val="-2"/>
        </w:rPr>
        <w:t> </w:t>
      </w:r>
      <w:r>
        <w:rPr/>
        <w:t>não pode</w:t>
      </w:r>
      <w:r>
        <w:rPr>
          <w:spacing w:val="-1"/>
        </w:rPr>
        <w:t> </w:t>
      </w:r>
      <w:r>
        <w:rPr/>
        <w:t>ultrapassar</w:t>
      </w:r>
      <w:r>
        <w:rPr>
          <w:spacing w:val="-2"/>
        </w:rPr>
        <w:t> </w:t>
      </w:r>
      <w:r>
        <w:rPr/>
        <w:t>de</w:t>
      </w:r>
      <w:r>
        <w:rPr>
          <w:spacing w:val="-1"/>
        </w:rPr>
        <w:t> </w:t>
      </w:r>
      <w:r>
        <w:rPr/>
        <w:t>duas horas diárias, desse</w:t>
      </w:r>
      <w:r>
        <w:rPr>
          <w:spacing w:val="-1"/>
        </w:rPr>
        <w:t> </w:t>
      </w:r>
      <w:r>
        <w:rPr/>
        <w:t>modo a</w:t>
      </w:r>
      <w:r>
        <w:rPr>
          <w:spacing w:val="-1"/>
        </w:rPr>
        <w:t> </w:t>
      </w:r>
      <w:r>
        <w:rPr/>
        <w:t>clausula</w:t>
      </w:r>
      <w:r>
        <w:rPr>
          <w:spacing w:val="-1"/>
        </w:rPr>
        <w:t> </w:t>
      </w:r>
      <w:r>
        <w:rPr/>
        <w:t>cumpre</w:t>
      </w:r>
      <w:r>
        <w:rPr>
          <w:spacing w:val="-2"/>
        </w:rPr>
        <w:t> </w:t>
      </w:r>
      <w:r>
        <w:rPr/>
        <w:t>com o requisito, no entanto a Constituição Federal em seu artigo 7° inciso XVI obriga o pagamento de</w:t>
      </w:r>
      <w:r>
        <w:rPr>
          <w:spacing w:val="-2"/>
        </w:rPr>
        <w:t> </w:t>
      </w:r>
      <w:r>
        <w:rPr/>
        <w:t>no</w:t>
      </w:r>
      <w:r>
        <w:rPr>
          <w:spacing w:val="-1"/>
        </w:rPr>
        <w:t> </w:t>
      </w:r>
      <w:r>
        <w:rPr/>
        <w:t>mínimo</w:t>
      </w:r>
      <w:r>
        <w:rPr>
          <w:spacing w:val="-1"/>
        </w:rPr>
        <w:t> </w:t>
      </w:r>
      <w:r>
        <w:rPr/>
        <w:t>50% superior</w:t>
      </w:r>
      <w:r>
        <w:rPr>
          <w:spacing w:val="-1"/>
        </w:rPr>
        <w:t> </w:t>
      </w:r>
      <w:r>
        <w:rPr/>
        <w:t>à</w:t>
      </w:r>
      <w:r>
        <w:rPr>
          <w:spacing w:val="-3"/>
        </w:rPr>
        <w:t> </w:t>
      </w:r>
      <w:r>
        <w:rPr/>
        <w:t>hora</w:t>
      </w:r>
      <w:r>
        <w:rPr>
          <w:spacing w:val="-3"/>
        </w:rPr>
        <w:t> </w:t>
      </w:r>
      <w:r>
        <w:rPr/>
        <w:t>normal,</w:t>
      </w:r>
      <w:r>
        <w:rPr>
          <w:spacing w:val="-1"/>
        </w:rPr>
        <w:t> </w:t>
      </w:r>
      <w:r>
        <w:rPr/>
        <w:t>ou seja,</w:t>
      </w:r>
      <w:r>
        <w:rPr>
          <w:spacing w:val="-1"/>
        </w:rPr>
        <w:t> </w:t>
      </w:r>
      <w:r>
        <w:rPr/>
        <w:t>o</w:t>
      </w:r>
      <w:r>
        <w:rPr>
          <w:spacing w:val="-1"/>
        </w:rPr>
        <w:t> </w:t>
      </w:r>
      <w:r>
        <w:rPr/>
        <w:t>valor a</w:t>
      </w:r>
      <w:r>
        <w:rPr>
          <w:spacing w:val="-2"/>
        </w:rPr>
        <w:t> </w:t>
      </w:r>
      <w:r>
        <w:rPr/>
        <w:t>ser</w:t>
      </w:r>
      <w:r>
        <w:rPr>
          <w:spacing w:val="-1"/>
        </w:rPr>
        <w:t> </w:t>
      </w:r>
      <w:r>
        <w:rPr/>
        <w:t>pago deve ser</w:t>
      </w:r>
      <w:r>
        <w:rPr>
          <w:spacing w:val="-1"/>
        </w:rPr>
        <w:t> </w:t>
      </w:r>
      <w:r>
        <w:rPr/>
        <w:t>o valor da hora normal mais os 50% do valor normal de trabalho.</w:t>
      </w:r>
    </w:p>
    <w:p>
      <w:pPr>
        <w:pStyle w:val="BodyText"/>
        <w:spacing w:line="360" w:lineRule="auto" w:before="201"/>
        <w:ind w:right="111" w:firstLine="1132"/>
        <w:jc w:val="both"/>
      </w:pPr>
      <w:r>
        <w:rPr/>
        <w:t>A sexta clausula do contrato coletivo fala sobre a redução do adicional noturno para 10% para os trabalhadores que permanecerem até as 23h45min, mantendo o adicional noturno de 20% para quem exceder esse limite, no entanto esta não está formalizada e nem é juridicamente válida, pois o adicional noturno é um acréscimo de 20% no valor da remuneração, assim como previsto na súmula 60° do TST o adicional noturno, pago com habitualidade, integra o salário do empregado para todos os efeitos, cumprido integralmente a jornada no período noturno e prorrogada esta, devido é também o adicional quanto às horas prorrogadas. A sétima clausula estipulou sobre a redução do intervalo intrajornada para</w:t>
      </w:r>
      <w:r>
        <w:rPr>
          <w:spacing w:val="40"/>
        </w:rPr>
        <w:t> </w:t>
      </w:r>
      <w:r>
        <w:rPr/>
        <w:t>quinze minutos, desta maneira essa clausula não está formalizada e não é juridicamente</w:t>
      </w:r>
      <w:r>
        <w:rPr>
          <w:spacing w:val="40"/>
        </w:rPr>
        <w:t> </w:t>
      </w:r>
      <w:r>
        <w:rPr/>
        <w:t>válida,</w:t>
      </w:r>
      <w:r>
        <w:rPr>
          <w:spacing w:val="-1"/>
        </w:rPr>
        <w:t> </w:t>
      </w:r>
      <w:r>
        <w:rPr/>
        <w:t>pois</w:t>
      </w:r>
      <w:r>
        <w:rPr>
          <w:spacing w:val="-1"/>
        </w:rPr>
        <w:t> </w:t>
      </w:r>
      <w:r>
        <w:rPr/>
        <w:t>o</w:t>
      </w:r>
      <w:r>
        <w:rPr>
          <w:spacing w:val="-1"/>
        </w:rPr>
        <w:t> </w:t>
      </w:r>
      <w:r>
        <w:rPr/>
        <w:t>artigo</w:t>
      </w:r>
      <w:r>
        <w:rPr>
          <w:spacing w:val="-1"/>
        </w:rPr>
        <w:t> </w:t>
      </w:r>
      <w:r>
        <w:rPr/>
        <w:t>611-A,</w:t>
      </w:r>
      <w:r>
        <w:rPr>
          <w:spacing w:val="-2"/>
        </w:rPr>
        <w:t> </w:t>
      </w:r>
      <w:r>
        <w:rPr/>
        <w:t>parágrafo III</w:t>
      </w:r>
      <w:r>
        <w:rPr>
          <w:spacing w:val="-5"/>
        </w:rPr>
        <w:t> </w:t>
      </w:r>
      <w:r>
        <w:rPr/>
        <w:t>da</w:t>
      </w:r>
      <w:r>
        <w:rPr>
          <w:spacing w:val="-2"/>
        </w:rPr>
        <w:t> </w:t>
      </w:r>
      <w:r>
        <w:rPr/>
        <w:t>CLT estipula</w:t>
      </w:r>
      <w:r>
        <w:rPr>
          <w:spacing w:val="-2"/>
        </w:rPr>
        <w:t> </w:t>
      </w:r>
      <w:r>
        <w:rPr/>
        <w:t>que o</w:t>
      </w:r>
      <w:r>
        <w:rPr>
          <w:spacing w:val="-1"/>
        </w:rPr>
        <w:t> </w:t>
      </w:r>
      <w:r>
        <w:rPr/>
        <w:t>intervalo</w:t>
      </w:r>
      <w:r>
        <w:rPr>
          <w:spacing w:val="-1"/>
        </w:rPr>
        <w:t> </w:t>
      </w:r>
      <w:r>
        <w:rPr/>
        <w:t>intrajornada</w:t>
      </w:r>
      <w:r>
        <w:rPr>
          <w:spacing w:val="-2"/>
        </w:rPr>
        <w:t> </w:t>
      </w:r>
      <w:r>
        <w:rPr/>
        <w:t>respeite o limite mínimo de trinta minutos para jornadas superiores há seis horas.</w:t>
      </w:r>
    </w:p>
    <w:p>
      <w:pPr>
        <w:pStyle w:val="BodyText"/>
        <w:spacing w:before="6"/>
        <w:ind w:left="0"/>
      </w:pPr>
    </w:p>
    <w:p>
      <w:pPr>
        <w:pStyle w:val="BodyText"/>
        <w:spacing w:line="360" w:lineRule="auto"/>
        <w:ind w:right="109" w:firstLine="1132"/>
        <w:jc w:val="both"/>
      </w:pPr>
      <w:r>
        <w:rPr/>
        <w:t>A oitava clausula cláusula estipula no acordo coletivo que não serão concedidas férias</w:t>
      </w:r>
      <w:r>
        <w:rPr>
          <w:spacing w:val="-3"/>
        </w:rPr>
        <w:t> </w:t>
      </w:r>
      <w:r>
        <w:rPr/>
        <w:t>durante</w:t>
      </w:r>
      <w:r>
        <w:rPr>
          <w:spacing w:val="-3"/>
        </w:rPr>
        <w:t> </w:t>
      </w:r>
      <w:r>
        <w:rPr/>
        <w:t>o</w:t>
      </w:r>
      <w:r>
        <w:rPr>
          <w:spacing w:val="-3"/>
        </w:rPr>
        <w:t> </w:t>
      </w:r>
      <w:r>
        <w:rPr/>
        <w:t>período</w:t>
      </w:r>
      <w:r>
        <w:rPr>
          <w:spacing w:val="-2"/>
        </w:rPr>
        <w:t> </w:t>
      </w:r>
      <w:r>
        <w:rPr/>
        <w:t>de</w:t>
      </w:r>
      <w:r>
        <w:rPr>
          <w:spacing w:val="-4"/>
        </w:rPr>
        <w:t> </w:t>
      </w:r>
      <w:r>
        <w:rPr/>
        <w:t>vigência</w:t>
      </w:r>
      <w:r>
        <w:rPr>
          <w:spacing w:val="-3"/>
        </w:rPr>
        <w:t> </w:t>
      </w:r>
      <w:r>
        <w:rPr/>
        <w:t>do</w:t>
      </w:r>
      <w:r>
        <w:rPr>
          <w:spacing w:val="-3"/>
        </w:rPr>
        <w:t> </w:t>
      </w:r>
      <w:r>
        <w:rPr/>
        <w:t>Acordo</w:t>
      </w:r>
      <w:r>
        <w:rPr>
          <w:spacing w:val="-3"/>
        </w:rPr>
        <w:t> </w:t>
      </w:r>
      <w:r>
        <w:rPr/>
        <w:t>Coletivo</w:t>
      </w:r>
      <w:r>
        <w:rPr>
          <w:spacing w:val="-3"/>
        </w:rPr>
        <w:t> </w:t>
      </w:r>
      <w:r>
        <w:rPr/>
        <w:t>de</w:t>
      </w:r>
      <w:r>
        <w:rPr>
          <w:spacing w:val="-3"/>
        </w:rPr>
        <w:t> </w:t>
      </w:r>
      <w:r>
        <w:rPr/>
        <w:t>Trabalho,</w:t>
      </w:r>
      <w:r>
        <w:rPr>
          <w:spacing w:val="-3"/>
        </w:rPr>
        <w:t> </w:t>
      </w:r>
      <w:r>
        <w:rPr/>
        <w:t>ficando</w:t>
      </w:r>
      <w:r>
        <w:rPr>
          <w:spacing w:val="-3"/>
        </w:rPr>
        <w:t> </w:t>
      </w:r>
      <w:r>
        <w:rPr/>
        <w:t>adiadas</w:t>
      </w:r>
      <w:r>
        <w:rPr>
          <w:spacing w:val="-3"/>
        </w:rPr>
        <w:t> </w:t>
      </w:r>
      <w:r>
        <w:rPr/>
        <w:t>todas</w:t>
      </w:r>
      <w:r>
        <w:rPr>
          <w:spacing w:val="-3"/>
        </w:rPr>
        <w:t> </w:t>
      </w:r>
      <w:r>
        <w:rPr/>
        <w:t>as férias que estiverem programadas para serem gozadas a partir de dezembro de 2021, alem das férias que forem gozadas fora do prazo legal no prazo de seis meses subsequentes ao término da vigência do acordo coletivo de trabalho não serão pagas em dobro e sim com um</w:t>
      </w:r>
      <w:r>
        <w:rPr>
          <w:spacing w:val="80"/>
        </w:rPr>
        <w:t> </w:t>
      </w:r>
      <w:r>
        <w:rPr/>
        <w:t>acréscimo indenizatório de 20%. No entanto de acordo com o artigo 134 da CLT as férias serão concedidas por ato do empregador, em um só período nos doze meses subsequentes à data em que o empregado tiver adquirido o direito, sendo assim não é possível que esse não possua férias até dezembro, além do artigo 129 da CLT que garante que todo empregado terá direito anualmente ao gozo de um período de férias, sem prejuízo da remuneração, outro</w:t>
      </w:r>
      <w:r>
        <w:rPr>
          <w:spacing w:val="40"/>
        </w:rPr>
        <w:t> </w:t>
      </w:r>
      <w:r>
        <w:rPr/>
        <w:t>ponto a ser citado é que caso não seja dada as férias, no artigo 137 da CLT que estipula sempre</w:t>
      </w:r>
      <w:r>
        <w:rPr>
          <w:spacing w:val="26"/>
        </w:rPr>
        <w:t> </w:t>
      </w:r>
      <w:r>
        <w:rPr/>
        <w:t>que</w:t>
      </w:r>
      <w:r>
        <w:rPr>
          <w:spacing w:val="29"/>
        </w:rPr>
        <w:t> </w:t>
      </w:r>
      <w:r>
        <w:rPr/>
        <w:t>as</w:t>
      </w:r>
      <w:r>
        <w:rPr>
          <w:spacing w:val="30"/>
        </w:rPr>
        <w:t> </w:t>
      </w:r>
      <w:r>
        <w:rPr/>
        <w:t>férias</w:t>
      </w:r>
      <w:r>
        <w:rPr>
          <w:spacing w:val="31"/>
        </w:rPr>
        <w:t> </w:t>
      </w:r>
      <w:r>
        <w:rPr/>
        <w:t>forem</w:t>
      </w:r>
      <w:r>
        <w:rPr>
          <w:spacing w:val="30"/>
        </w:rPr>
        <w:t> </w:t>
      </w:r>
      <w:r>
        <w:rPr/>
        <w:t>concedidas</w:t>
      </w:r>
      <w:r>
        <w:rPr>
          <w:spacing w:val="29"/>
        </w:rPr>
        <w:t> </w:t>
      </w:r>
      <w:r>
        <w:rPr/>
        <w:t>após</w:t>
      </w:r>
      <w:r>
        <w:rPr>
          <w:spacing w:val="31"/>
        </w:rPr>
        <w:t> </w:t>
      </w:r>
      <w:r>
        <w:rPr/>
        <w:t>o</w:t>
      </w:r>
      <w:r>
        <w:rPr>
          <w:spacing w:val="29"/>
        </w:rPr>
        <w:t> </w:t>
      </w:r>
      <w:r>
        <w:rPr/>
        <w:t>prazo</w:t>
      </w:r>
      <w:r>
        <w:rPr>
          <w:spacing w:val="29"/>
        </w:rPr>
        <w:t> </w:t>
      </w:r>
      <w:r>
        <w:rPr/>
        <w:t>de</w:t>
      </w:r>
      <w:r>
        <w:rPr>
          <w:spacing w:val="30"/>
        </w:rPr>
        <w:t> </w:t>
      </w:r>
      <w:r>
        <w:rPr/>
        <w:t>que</w:t>
      </w:r>
      <w:r>
        <w:rPr>
          <w:spacing w:val="29"/>
        </w:rPr>
        <w:t> </w:t>
      </w:r>
      <w:r>
        <w:rPr/>
        <w:t>trata</w:t>
      </w:r>
      <w:r>
        <w:rPr>
          <w:spacing w:val="29"/>
        </w:rPr>
        <w:t> </w:t>
      </w:r>
      <w:r>
        <w:rPr/>
        <w:t>o</w:t>
      </w:r>
      <w:r>
        <w:rPr>
          <w:spacing w:val="30"/>
        </w:rPr>
        <w:t> </w:t>
      </w:r>
      <w:r>
        <w:rPr/>
        <w:t>art.</w:t>
      </w:r>
      <w:r>
        <w:rPr>
          <w:spacing w:val="29"/>
        </w:rPr>
        <w:t> </w:t>
      </w:r>
      <w:r>
        <w:rPr/>
        <w:t>134,</w:t>
      </w:r>
      <w:r>
        <w:rPr>
          <w:spacing w:val="29"/>
        </w:rPr>
        <w:t> </w:t>
      </w:r>
      <w:r>
        <w:rPr/>
        <w:t>o</w:t>
      </w:r>
      <w:r>
        <w:rPr>
          <w:spacing w:val="30"/>
        </w:rPr>
        <w:t> </w:t>
      </w:r>
      <w:r>
        <w:rPr>
          <w:spacing w:val="-2"/>
        </w:rPr>
        <w:t>empregador</w:t>
      </w:r>
    </w:p>
    <w:p>
      <w:pPr>
        <w:spacing w:after="0" w:line="360" w:lineRule="auto"/>
        <w:jc w:val="both"/>
        <w:sectPr>
          <w:pgSz w:w="11910" w:h="16840"/>
          <w:pgMar w:top="1620" w:bottom="280" w:left="1600" w:right="1020"/>
        </w:sectPr>
      </w:pPr>
    </w:p>
    <w:p>
      <w:pPr>
        <w:pStyle w:val="BodyText"/>
        <w:spacing w:line="360" w:lineRule="auto" w:before="62"/>
        <w:ind w:right="111"/>
        <w:jc w:val="both"/>
      </w:pPr>
      <w:r>
        <w:rPr/>
        <w:t>pagará em dobro a respectiva remuneração, vencido o mencionado prazo sem que o empregador tenha concedido as férias, o empregado poderá ajuizar reclamação pedindo a fixação, por sentença, da época de gozo das mesmas, a sentença cominará pena diária de 5% do salário-mínimo da região, devida ao empregado até que seja cumprida, e cópia da decisão judicial transitada em julgado será remetida ao órgão local do Ministério do Trabalho, para fins de aplicação da multa de caráter administrativo.</w:t>
      </w:r>
    </w:p>
    <w:p>
      <w:pPr>
        <w:spacing w:after="0" w:line="360" w:lineRule="auto"/>
        <w:jc w:val="both"/>
        <w:sectPr>
          <w:pgSz w:w="11910" w:h="16840"/>
          <w:pgMar w:top="1620" w:bottom="280" w:left="1600" w:right="1020"/>
        </w:sectPr>
      </w:pPr>
    </w:p>
    <w:p>
      <w:pPr>
        <w:pStyle w:val="BodyText"/>
        <w:spacing w:before="56"/>
        <w:ind w:left="0"/>
        <w:rPr>
          <w:sz w:val="28"/>
        </w:rPr>
      </w:pPr>
    </w:p>
    <w:p>
      <w:pPr>
        <w:pStyle w:val="Heading1"/>
        <w:ind w:left="2"/>
      </w:pPr>
      <w:r>
        <w:rPr>
          <w:spacing w:val="-2"/>
        </w:rPr>
        <w:t>REFERÊNCIAS:</w:t>
      </w:r>
    </w:p>
    <w:p>
      <w:pPr>
        <w:pStyle w:val="BodyText"/>
        <w:spacing w:before="198"/>
      </w:pPr>
      <w:r>
        <w:rPr/>
        <w:t>CLT.</w:t>
      </w:r>
      <w:r>
        <w:rPr>
          <w:spacing w:val="59"/>
        </w:rPr>
        <w:t> </w:t>
      </w:r>
      <w:r>
        <w:rPr/>
        <w:t>Decreto de</w:t>
      </w:r>
      <w:r>
        <w:rPr>
          <w:spacing w:val="-1"/>
        </w:rPr>
        <w:t> </w:t>
      </w:r>
      <w:r>
        <w:rPr/>
        <w:t>Lei Nº</w:t>
      </w:r>
      <w:r>
        <w:rPr>
          <w:spacing w:val="2"/>
        </w:rPr>
        <w:t> </w:t>
      </w:r>
      <w:r>
        <w:rPr/>
        <w:t>5452</w:t>
      </w:r>
      <w:r>
        <w:rPr>
          <w:spacing w:val="-1"/>
        </w:rPr>
        <w:t> </w:t>
      </w:r>
      <w:r>
        <w:rPr/>
        <w:t>de</w:t>
      </w:r>
      <w:r>
        <w:rPr>
          <w:spacing w:val="-1"/>
        </w:rPr>
        <w:t> </w:t>
      </w:r>
      <w:r>
        <w:rPr/>
        <w:t>maio de</w:t>
      </w:r>
      <w:r>
        <w:rPr>
          <w:spacing w:val="-2"/>
        </w:rPr>
        <w:t> </w:t>
      </w:r>
      <w:r>
        <w:rPr/>
        <w:t>1943.</w:t>
      </w:r>
      <w:r>
        <w:rPr>
          <w:spacing w:val="2"/>
        </w:rPr>
        <w:t> </w:t>
      </w:r>
      <w:r>
        <w:rPr/>
        <w:t>Disponível </w:t>
      </w:r>
      <w:r>
        <w:rPr>
          <w:spacing w:val="-5"/>
        </w:rPr>
        <w:t>em:</w:t>
      </w:r>
    </w:p>
    <w:p>
      <w:pPr>
        <w:pStyle w:val="BodyText"/>
        <w:spacing w:before="62"/>
        <w:ind w:left="0"/>
      </w:pPr>
    </w:p>
    <w:p>
      <w:pPr>
        <w:pStyle w:val="BodyText"/>
      </w:pPr>
      <w:hyperlink r:id="rId5">
        <w:r>
          <w:rPr>
            <w:color w:val="0000FF"/>
            <w:spacing w:val="-2"/>
            <w:u w:val="single" w:color="0000FF"/>
          </w:rPr>
          <w:t>http://www.planalto.gov.br/ccivil_03/decreto-lei/del5452.htm</w:t>
        </w:r>
      </w:hyperlink>
    </w:p>
    <w:p>
      <w:pPr>
        <w:pStyle w:val="BodyText"/>
        <w:spacing w:before="199"/>
      </w:pPr>
      <w:r>
        <w:rPr/>
        <w:t>Súmula</w:t>
      </w:r>
      <w:r>
        <w:rPr>
          <w:spacing w:val="-2"/>
        </w:rPr>
        <w:t> </w:t>
      </w:r>
      <w:r>
        <w:rPr/>
        <w:t>nº 60 do</w:t>
      </w:r>
      <w:r>
        <w:rPr>
          <w:spacing w:val="-1"/>
        </w:rPr>
        <w:t> </w:t>
      </w:r>
      <w:r>
        <w:rPr/>
        <w:t>TST,</w:t>
      </w:r>
      <w:r>
        <w:rPr>
          <w:spacing w:val="1"/>
        </w:rPr>
        <w:t> </w:t>
      </w:r>
      <w:r>
        <w:rPr/>
        <w:t>Res. 129/2005,</w:t>
      </w:r>
      <w:r>
        <w:rPr>
          <w:spacing w:val="-1"/>
        </w:rPr>
        <w:t> </w:t>
      </w:r>
      <w:r>
        <w:rPr/>
        <w:t>DJ 20, 22</w:t>
      </w:r>
      <w:r>
        <w:rPr>
          <w:spacing w:val="-1"/>
        </w:rPr>
        <w:t> </w:t>
      </w:r>
      <w:r>
        <w:rPr/>
        <w:t>e</w:t>
      </w:r>
      <w:r>
        <w:rPr>
          <w:spacing w:val="1"/>
        </w:rPr>
        <w:t> </w:t>
      </w:r>
      <w:r>
        <w:rPr/>
        <w:t>25.04.2005. Disponível </w:t>
      </w:r>
      <w:r>
        <w:rPr>
          <w:spacing w:val="-5"/>
        </w:rPr>
        <w:t>em:</w:t>
      </w:r>
    </w:p>
    <w:p>
      <w:pPr>
        <w:pStyle w:val="BodyText"/>
        <w:spacing w:before="63"/>
        <w:ind w:left="0"/>
      </w:pPr>
    </w:p>
    <w:p>
      <w:pPr>
        <w:pStyle w:val="BodyText"/>
        <w:spacing w:line="360" w:lineRule="auto"/>
        <w:ind w:right="315"/>
      </w:pPr>
      <w:hyperlink r:id="rId6">
        <w:r>
          <w:rPr>
            <w:color w:val="0000FF"/>
            <w:spacing w:val="-2"/>
            <w:u w:val="single" w:color="0000FF"/>
          </w:rPr>
          <w:t>https://www3.tst.jus.br/jurisprudencia/Sumulas_com_indice/Sumulas_Ind_51_100.html#SU</w:t>
        </w:r>
      </w:hyperlink>
      <w:r>
        <w:rPr>
          <w:color w:val="0000FF"/>
          <w:spacing w:val="-2"/>
          <w:u w:val="none"/>
        </w:rPr>
        <w:t> </w:t>
      </w:r>
      <w:hyperlink r:id="rId6">
        <w:r>
          <w:rPr>
            <w:color w:val="0000FF"/>
            <w:spacing w:val="-4"/>
            <w:u w:val="single" w:color="0000FF"/>
          </w:rPr>
          <w:t>M-60</w:t>
        </w:r>
      </w:hyperlink>
    </w:p>
    <w:p>
      <w:pPr>
        <w:pStyle w:val="BodyText"/>
        <w:spacing w:line="480" w:lineRule="auto" w:before="200"/>
      </w:pPr>
      <w:r>
        <w:rPr/>
        <w:t>Decreto</w:t>
      </w:r>
      <w:r>
        <w:rPr>
          <w:spacing w:val="-3"/>
        </w:rPr>
        <w:t> </w:t>
      </w:r>
      <w:r>
        <w:rPr/>
        <w:t>de</w:t>
      </w:r>
      <w:r>
        <w:rPr>
          <w:spacing w:val="-3"/>
        </w:rPr>
        <w:t> </w:t>
      </w:r>
      <w:r>
        <w:rPr/>
        <w:t>Lei</w:t>
      </w:r>
      <w:r>
        <w:rPr>
          <w:spacing w:val="-3"/>
        </w:rPr>
        <w:t> </w:t>
      </w:r>
      <w:r>
        <w:rPr/>
        <w:t>N°</w:t>
      </w:r>
      <w:r>
        <w:rPr>
          <w:spacing w:val="-6"/>
        </w:rPr>
        <w:t> </w:t>
      </w:r>
      <w:r>
        <w:rPr/>
        <w:t>4923</w:t>
      </w:r>
      <w:r>
        <w:rPr>
          <w:spacing w:val="-1"/>
        </w:rPr>
        <w:t> </w:t>
      </w:r>
      <w:r>
        <w:rPr/>
        <w:t>de</w:t>
      </w:r>
      <w:r>
        <w:rPr>
          <w:spacing w:val="-4"/>
        </w:rPr>
        <w:t> </w:t>
      </w:r>
      <w:r>
        <w:rPr/>
        <w:t>23</w:t>
      </w:r>
      <w:r>
        <w:rPr>
          <w:spacing w:val="-3"/>
        </w:rPr>
        <w:t> </w:t>
      </w:r>
      <w:r>
        <w:rPr/>
        <w:t>de</w:t>
      </w:r>
      <w:r>
        <w:rPr>
          <w:spacing w:val="-4"/>
        </w:rPr>
        <w:t> </w:t>
      </w:r>
      <w:r>
        <w:rPr/>
        <w:t>dezembro</w:t>
      </w:r>
      <w:r>
        <w:rPr>
          <w:spacing w:val="-3"/>
        </w:rPr>
        <w:t> </w:t>
      </w:r>
      <w:r>
        <w:rPr/>
        <w:t>de</w:t>
      </w:r>
      <w:r>
        <w:rPr>
          <w:spacing w:val="-5"/>
        </w:rPr>
        <w:t> </w:t>
      </w:r>
      <w:r>
        <w:rPr/>
        <w:t>1965.</w:t>
      </w:r>
      <w:r>
        <w:rPr>
          <w:spacing w:val="-2"/>
        </w:rPr>
        <w:t> </w:t>
      </w:r>
      <w:r>
        <w:rPr/>
        <w:t>Disponível</w:t>
      </w:r>
      <w:r>
        <w:rPr>
          <w:spacing w:val="-3"/>
        </w:rPr>
        <w:t> </w:t>
      </w:r>
      <w:r>
        <w:rPr/>
        <w:t>em: </w:t>
      </w:r>
      <w:hyperlink r:id="rId7">
        <w:r>
          <w:rPr>
            <w:color w:val="0000FF"/>
            <w:spacing w:val="-2"/>
            <w:u w:val="single" w:color="0000FF"/>
          </w:rPr>
          <w:t>http://www.planalto.gov.br/ccivil_03/leis/l4923.htm</w:t>
        </w:r>
      </w:hyperlink>
    </w:p>
    <w:p>
      <w:pPr>
        <w:pStyle w:val="BodyText"/>
        <w:spacing w:line="535" w:lineRule="auto"/>
        <w:ind w:right="2072"/>
      </w:pPr>
      <w:r>
        <w:rPr/>
        <w:t>Decreto de Lei N° 13.467 de 13 de julho de 2017. Disponível em: </w:t>
      </w:r>
      <w:hyperlink r:id="rId8">
        <w:r>
          <w:rPr>
            <w:color w:val="0000FF"/>
            <w:spacing w:val="-2"/>
            <w:u w:val="single" w:color="0000FF"/>
          </w:rPr>
          <w:t>http://www.planalto.gov.br/ccivil_03/_ato2015-2018/2017/lei/l13467.htm</w:t>
        </w:r>
      </w:hyperlink>
    </w:p>
    <w:p>
      <w:pPr>
        <w:spacing w:line="360" w:lineRule="auto" w:before="0"/>
        <w:ind w:left="102" w:right="0" w:firstLine="0"/>
        <w:jc w:val="left"/>
        <w:rPr>
          <w:sz w:val="24"/>
        </w:rPr>
      </w:pPr>
      <w:r>
        <w:rPr>
          <w:sz w:val="24"/>
        </w:rPr>
        <w:t>GAIA, Fausto Siqueira. </w:t>
      </w:r>
      <w:r>
        <w:rPr>
          <w:b/>
          <w:sz w:val="24"/>
        </w:rPr>
        <w:t>Negociação Coletiva de Trabalho</w:t>
      </w:r>
      <w:r>
        <w:rPr>
          <w:sz w:val="24"/>
        </w:rPr>
        <w:t>: Limites e Fundamentos Sociais. Disponível em:</w:t>
      </w:r>
    </w:p>
    <w:p>
      <w:pPr>
        <w:pStyle w:val="BodyText"/>
        <w:spacing w:line="360" w:lineRule="auto" w:before="197"/>
        <w:ind w:right="151"/>
      </w:pPr>
      <w:hyperlink r:id="rId9">
        <w:r>
          <w:rPr>
            <w:color w:val="0000FF"/>
            <w:spacing w:val="-2"/>
            <w:u w:val="single" w:color="0000FF"/>
          </w:rPr>
          <w:t>http://www.mpsp.mp.br/portal/page/portal/documentacao_e_divulgacao/doc_biblioteca/bibli_</w:t>
        </w:r>
      </w:hyperlink>
      <w:r>
        <w:rPr>
          <w:color w:val="0000FF"/>
          <w:spacing w:val="-2"/>
          <w:u w:val="none"/>
        </w:rPr>
        <w:t> </w:t>
      </w:r>
      <w:hyperlink r:id="rId9">
        <w:r>
          <w:rPr>
            <w:color w:val="0000FF"/>
            <w:spacing w:val="-2"/>
            <w:u w:val="single" w:color="0000FF"/>
          </w:rPr>
          <w:t>servicos_produtos/bibli_informativo/bibli_inf_2006/Dir-Paz_n.36.01.pdf</w:t>
        </w:r>
      </w:hyperlink>
    </w:p>
    <w:p>
      <w:pPr>
        <w:spacing w:line="360" w:lineRule="auto" w:before="202"/>
        <w:ind w:left="102" w:right="0" w:firstLine="0"/>
        <w:jc w:val="left"/>
        <w:rPr>
          <w:sz w:val="24"/>
        </w:rPr>
      </w:pPr>
      <w:r>
        <w:rPr>
          <w:sz w:val="24"/>
        </w:rPr>
        <w:t>VIDIGAL, Márcio</w:t>
      </w:r>
      <w:r>
        <w:rPr>
          <w:spacing w:val="26"/>
          <w:sz w:val="24"/>
        </w:rPr>
        <w:t> </w:t>
      </w:r>
      <w:r>
        <w:rPr>
          <w:sz w:val="24"/>
        </w:rPr>
        <w:t>Flávio Salem</w:t>
      </w:r>
      <w:r>
        <w:rPr>
          <w:spacing w:val="26"/>
          <w:sz w:val="24"/>
        </w:rPr>
        <w:t> </w:t>
      </w:r>
      <w:r>
        <w:rPr>
          <w:b/>
          <w:sz w:val="24"/>
        </w:rPr>
        <w:t>.Limites á Flexibilização na Convenção Coletiva e</w:t>
      </w:r>
      <w:r>
        <w:rPr>
          <w:b/>
          <w:spacing w:val="80"/>
          <w:sz w:val="24"/>
        </w:rPr>
        <w:t> </w:t>
      </w:r>
      <w:r>
        <w:rPr>
          <w:b/>
          <w:sz w:val="24"/>
        </w:rPr>
        <w:t>nos</w:t>
      </w:r>
      <w:r>
        <w:rPr>
          <w:b/>
          <w:spacing w:val="40"/>
          <w:sz w:val="24"/>
        </w:rPr>
        <w:t> </w:t>
      </w:r>
      <w:r>
        <w:rPr>
          <w:b/>
          <w:sz w:val="24"/>
        </w:rPr>
        <w:t>Acordos Coletivos no Ordenamento</w:t>
      </w:r>
      <w:r>
        <w:rPr>
          <w:b/>
          <w:spacing w:val="40"/>
          <w:sz w:val="24"/>
        </w:rPr>
        <w:t> </w:t>
      </w:r>
      <w:r>
        <w:rPr>
          <w:b/>
          <w:sz w:val="24"/>
        </w:rPr>
        <w:t>Jurídico Brasileiro</w:t>
      </w:r>
      <w:r>
        <w:rPr>
          <w:sz w:val="24"/>
        </w:rPr>
        <w:t>. Disponível em:</w:t>
      </w:r>
    </w:p>
    <w:p>
      <w:pPr>
        <w:pStyle w:val="BodyText"/>
        <w:spacing w:before="199"/>
      </w:pPr>
      <w:hyperlink r:id="rId10">
        <w:r>
          <w:rPr>
            <w:color w:val="0000FF"/>
            <w:spacing w:val="-2"/>
            <w:u w:val="single" w:color="0000FF"/>
          </w:rPr>
          <w:t>https://www.trt3.jus.br/escola/download/revista/rev_54/Marcio_Vidigal.pdf</w:t>
        </w:r>
      </w:hyperlink>
    </w:p>
    <w:sectPr>
      <w:pgSz w:w="11910" w:h="16840"/>
      <w:pgMar w:top="1920" w:bottom="28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rlito">
    <w:altName w:val="Carlito"/>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ind w:left="102"/>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right="10"/>
      <w:jc w:val="center"/>
      <w:outlineLvl w:val="1"/>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planalto.gov.br/ccivil_03/decreto-lei/del5452.htm" TargetMode="External"/><Relationship Id="rId6" Type="http://schemas.openxmlformats.org/officeDocument/2006/relationships/hyperlink" Target="https://www3.tst.jus.br/jurisprudencia/Sumulas_com_indice/Sumulas_Ind_51_100.html#SUM-60" TargetMode="External"/><Relationship Id="rId7" Type="http://schemas.openxmlformats.org/officeDocument/2006/relationships/hyperlink" Target="http://www.planalto.gov.br/ccivil_03/leis/l4923.htm" TargetMode="External"/><Relationship Id="rId8" Type="http://schemas.openxmlformats.org/officeDocument/2006/relationships/hyperlink" Target="http://www.planalto.gov.br/ccivil_03/_ato2015-2018/2017/lei/l13467.htm" TargetMode="External"/><Relationship Id="rId9" Type="http://schemas.openxmlformats.org/officeDocument/2006/relationships/hyperlink" Target="http://www.mpsp.mp.br/portal/page/portal/documentacao_e_divulgacao/doc_biblioteca/bibli_servicos_produtos/bibli_informativo/bibli_inf_2006/Dir-Paz_n.36.01.pdf" TargetMode="External"/><Relationship Id="rId10" Type="http://schemas.openxmlformats.org/officeDocument/2006/relationships/hyperlink" Target="https://www.trt3.jus.br/escola/download/revista/rev_54/Marcio_Vidig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2023-11-21T19:53:50Z</dcterms:created>
  <dcterms:modified xsi:type="dcterms:W3CDTF">2023-11-21T19:53:50Z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Microsoft® Word for Microsoft 365</vt:lpwstr>
  </property>
  <property fmtid="{D5CDD505-2E9C-101B-9397-08002B2CF9AE}" pid="4" name="LastSaved">
    <vt:filetime>2023-11-21T00:00:00Z</vt:filetime>
  </property>
  <property fmtid="{D5CDD505-2E9C-101B-9397-08002B2CF9AE}" pid="5" name="Producer">
    <vt:lpwstr>3-Heights(TM) PDF Security Shell 4.8.25.2 (http://www.pdf-tools.com)</vt:lpwstr>
  </property>
</Properties>
</file>