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8" w:rsidRDefault="00772848" w:rsidP="00772848">
      <w:pPr>
        <w:spacing w:line="360" w:lineRule="auto"/>
        <w:contextualSpacing/>
        <w:jc w:val="center"/>
        <w:rPr>
          <w:b/>
        </w:rPr>
      </w:pPr>
      <w:bookmarkStart w:id="0" w:name="_GoBack"/>
      <w:r w:rsidRPr="00772848">
        <w:rPr>
          <w:b/>
        </w:rPr>
        <w:t>DESVENDANDO A CONEXÃO: EXPLORANDO A INTERSEÇÃO ENTRE VIOLÊNCIA DOMÉSTICA E MISOGINIA</w:t>
      </w:r>
    </w:p>
    <w:p w:rsidR="00772848" w:rsidRPr="00772848" w:rsidRDefault="00772848" w:rsidP="00772848">
      <w:pPr>
        <w:spacing w:line="360" w:lineRule="auto"/>
        <w:contextualSpacing/>
        <w:jc w:val="center"/>
        <w:rPr>
          <w:b/>
        </w:rPr>
      </w:pPr>
    </w:p>
    <w:p w:rsidR="00A52842" w:rsidRDefault="00A52842" w:rsidP="0031793E">
      <w:pPr>
        <w:spacing w:line="360" w:lineRule="auto"/>
        <w:contextualSpacing/>
        <w:jc w:val="right"/>
      </w:pPr>
    </w:p>
    <w:p w:rsidR="00772848" w:rsidRDefault="0031793E" w:rsidP="0031793E">
      <w:pPr>
        <w:spacing w:line="360" w:lineRule="auto"/>
        <w:contextualSpacing/>
        <w:jc w:val="right"/>
      </w:pPr>
      <w:r>
        <w:t>Priscila Marques Motta Pereira</w:t>
      </w:r>
      <w:r w:rsidR="00C33CCF">
        <w:rPr>
          <w:rStyle w:val="Refdenotaderodap"/>
        </w:rPr>
        <w:footnoteReference w:id="1"/>
      </w:r>
    </w:p>
    <w:p w:rsidR="0031793E" w:rsidRDefault="0031793E" w:rsidP="0031793E">
      <w:pPr>
        <w:spacing w:line="360" w:lineRule="auto"/>
        <w:contextualSpacing/>
        <w:jc w:val="right"/>
      </w:pPr>
    </w:p>
    <w:p w:rsidR="0031793E" w:rsidRDefault="0031793E" w:rsidP="0031793E">
      <w:pPr>
        <w:spacing w:line="360" w:lineRule="auto"/>
        <w:contextualSpacing/>
        <w:jc w:val="right"/>
      </w:pPr>
    </w:p>
    <w:p w:rsidR="00772848" w:rsidRPr="00772848" w:rsidRDefault="00772848" w:rsidP="00772848">
      <w:pPr>
        <w:spacing w:line="360" w:lineRule="auto"/>
        <w:contextualSpacing/>
        <w:rPr>
          <w:b/>
        </w:rPr>
      </w:pPr>
      <w:r w:rsidRPr="00772848">
        <w:rPr>
          <w:b/>
        </w:rPr>
        <w:t>RESUMO</w:t>
      </w:r>
    </w:p>
    <w:p w:rsidR="00772848" w:rsidRDefault="00772848" w:rsidP="00772848">
      <w:pPr>
        <w:spacing w:line="360" w:lineRule="auto"/>
        <w:contextualSpacing/>
      </w:pPr>
      <w:r>
        <w:t>A violência doméstica e a misoginia são problemas sociais profundamente enraizados que afetam negativamente a vida das mulheres em todo o mundo. Este artigo científico visa explorar a interseção entre esses dois fenômenos, destacando como a misoginia desempenha um papel crucial na perpetuação da violência doméstica. Através de uma revisão abrangente da literatura, análise crítica e exemplos de estudos empíricos, este artigo busca aprofundar nossa compreensão das complexas relações entre a misoginia e a violência doméstica, contribuindo assim para estratégias mais eficazes de prevenção e intervenção.</w:t>
      </w:r>
    </w:p>
    <w:p w:rsidR="00772848" w:rsidRDefault="00772848" w:rsidP="00772848">
      <w:pPr>
        <w:spacing w:line="360" w:lineRule="auto"/>
        <w:contextualSpacing/>
      </w:pPr>
    </w:p>
    <w:p w:rsidR="00772848" w:rsidRDefault="00772848" w:rsidP="00772848">
      <w:pPr>
        <w:spacing w:line="360" w:lineRule="auto"/>
        <w:contextualSpacing/>
      </w:pPr>
      <w:r>
        <w:t>Palavras-chave: Violência doméstica. Lei Maria da Penha. Misoginia.</w:t>
      </w:r>
    </w:p>
    <w:p w:rsidR="00BE248B" w:rsidRDefault="00BE248B" w:rsidP="00772848">
      <w:pPr>
        <w:spacing w:line="360" w:lineRule="auto"/>
        <w:contextualSpacing/>
      </w:pPr>
    </w:p>
    <w:p w:rsidR="00BE248B" w:rsidRDefault="00BE248B" w:rsidP="00772848">
      <w:pPr>
        <w:spacing w:line="360" w:lineRule="auto"/>
        <w:contextualSpacing/>
      </w:pPr>
    </w:p>
    <w:p w:rsidR="00BE248B" w:rsidRPr="00BE248B" w:rsidRDefault="00BE248B" w:rsidP="00BE248B">
      <w:pPr>
        <w:spacing w:line="360" w:lineRule="auto"/>
        <w:contextualSpacing/>
        <w:rPr>
          <w:b/>
        </w:rPr>
      </w:pPr>
      <w:r w:rsidRPr="00BE248B">
        <w:rPr>
          <w:b/>
        </w:rPr>
        <w:t>ABSTRACT</w:t>
      </w:r>
    </w:p>
    <w:p w:rsidR="00BE248B" w:rsidRDefault="00BE248B" w:rsidP="00BE248B">
      <w:pPr>
        <w:spacing w:line="360" w:lineRule="auto"/>
        <w:contextualSpacing/>
      </w:pPr>
    </w:p>
    <w:p w:rsidR="00BE248B" w:rsidRDefault="00BE248B" w:rsidP="00BE248B">
      <w:pPr>
        <w:spacing w:line="360" w:lineRule="auto"/>
        <w:contextualSpacing/>
      </w:pP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misogyny</w:t>
      </w:r>
      <w:proofErr w:type="spellEnd"/>
      <w:r>
        <w:t xml:space="preserve"> are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rooted</w:t>
      </w:r>
      <w:proofErr w:type="spellEnd"/>
      <w:r>
        <w:t xml:space="preserve"> social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negatively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world.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explore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intersection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phenomena</w:t>
      </w:r>
      <w:proofErr w:type="spellEnd"/>
      <w:r>
        <w:t xml:space="preserve">, </w:t>
      </w:r>
      <w:proofErr w:type="spellStart"/>
      <w:r>
        <w:t>highlighting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misogyny</w:t>
      </w:r>
      <w:proofErr w:type="spellEnd"/>
      <w:r>
        <w:t xml:space="preserve"> plays a crucial role in </w:t>
      </w:r>
      <w:proofErr w:type="spellStart"/>
      <w:r>
        <w:t>perpetuating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.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,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seeks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deepen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misogyny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more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>.</w:t>
      </w:r>
    </w:p>
    <w:p w:rsidR="00BE248B" w:rsidRDefault="00BE248B" w:rsidP="00BE248B">
      <w:pPr>
        <w:spacing w:line="360" w:lineRule="auto"/>
        <w:contextualSpacing/>
      </w:pPr>
    </w:p>
    <w:p w:rsidR="00BE248B" w:rsidRDefault="00BE248B" w:rsidP="00BE248B">
      <w:pPr>
        <w:spacing w:line="360" w:lineRule="auto"/>
        <w:contextualSpacing/>
      </w:pPr>
      <w:proofErr w:type="spellStart"/>
      <w:r>
        <w:t>Keywords</w:t>
      </w:r>
      <w:proofErr w:type="spellEnd"/>
      <w:r>
        <w:t xml:space="preserve">: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. Maria da Penha Law. </w:t>
      </w:r>
      <w:proofErr w:type="spellStart"/>
      <w:r>
        <w:t>Misogyny</w:t>
      </w:r>
      <w:proofErr w:type="spellEnd"/>
      <w:r>
        <w:t>.</w:t>
      </w:r>
    </w:p>
    <w:p w:rsidR="00772848" w:rsidRDefault="00772848" w:rsidP="00772848">
      <w:pPr>
        <w:spacing w:line="360" w:lineRule="auto"/>
        <w:contextualSpacing/>
      </w:pPr>
    </w:p>
    <w:p w:rsidR="00772848" w:rsidRDefault="00772848" w:rsidP="00772848">
      <w:pPr>
        <w:spacing w:line="360" w:lineRule="auto"/>
        <w:contextualSpacing/>
        <w:rPr>
          <w:b/>
        </w:rPr>
      </w:pPr>
      <w:r w:rsidRPr="00772848">
        <w:rPr>
          <w:b/>
        </w:rPr>
        <w:t>INTRODUÇÃO</w:t>
      </w:r>
    </w:p>
    <w:p w:rsidR="00772848" w:rsidRPr="00772848" w:rsidRDefault="00772848" w:rsidP="00772848">
      <w:pPr>
        <w:spacing w:line="360" w:lineRule="auto"/>
        <w:contextualSpacing/>
        <w:rPr>
          <w:b/>
        </w:rPr>
      </w:pPr>
    </w:p>
    <w:p w:rsidR="00F433C8" w:rsidRDefault="00F433C8" w:rsidP="00F433C8">
      <w:pPr>
        <w:spacing w:line="360" w:lineRule="auto"/>
        <w:ind w:firstLine="709"/>
        <w:contextualSpacing/>
      </w:pPr>
      <w:r>
        <w:t>A sociedade contemporânea tem testemunhado avanços significativos no que diz respeito à conscientização sobre questões de gênero e à promoção da igualdade entre homens e mulheres. No entanto, apesar desses avanços, a violência doméstica persiste como um problema alarmante em diversas partes do mundo. Essa forma de agressão não se apresenta isoladamente, mas está frequentemente enraizada em crenças e atitudes que reforçam a desigualdade de gênero e a supremacia masculina. A presente pesquisa visa aprofundar a compreensão da interseção entre violência doméstica e misoginia, explorando como esses dois fenômenos estão intrinsecamente ligados e como suas dinâmicas mútuas perpetuam um ciclo prejudicial de abuso e discriminação.</w:t>
      </w: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A relação entre violência doméstica e misoginia é complexa e multifacetada. A misoginia, definida como a aversão, o desprezo ou a hostilidade direcionada às mulheres, manifesta-se de maneira sutil e explícita em diversas esferas da sociedade. Autores como Johnson e </w:t>
      </w:r>
      <w:proofErr w:type="spellStart"/>
      <w:r>
        <w:t>Freyd</w:t>
      </w:r>
      <w:proofErr w:type="spellEnd"/>
      <w:r>
        <w:t xml:space="preserve"> (2017) têm destacado a importância de reconhecer a misoginia como um fator central na perpetuação da violência doméstica. Essa ligação é evidenciada pelo fato de que a violência muitas vezes é motivada pelo desejo de controle e dominação, refletindo assim a crença na inferioridade das mulheres perante os homens.</w:t>
      </w: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Além disso, é crucial examinar como as representações midiáticas e as redes sociais influenciam a perpetuação da misoginia e da violência doméstica. Através da disseminação de estereótipos de gênero prejudiciais e da glamourização de relacionamentos abusivos, essas plataformas podem reforçar as atitudes misóginas e facilitar a legitimação da violência. Autores contemporâneos como </w:t>
      </w:r>
      <w:proofErr w:type="spellStart"/>
      <w:r>
        <w:t>Senft</w:t>
      </w:r>
      <w:proofErr w:type="spellEnd"/>
      <w:r>
        <w:t xml:space="preserve"> e </w:t>
      </w:r>
      <w:proofErr w:type="spellStart"/>
      <w:r>
        <w:t>Baym</w:t>
      </w:r>
      <w:proofErr w:type="spellEnd"/>
      <w:r>
        <w:t xml:space="preserve"> (2019) discutem como a internet pode servir como um espaço onde a misoginia se amplifica e se espalha rapidamente, potencializando assim suas consequências negativas.</w:t>
      </w: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Portanto, este estudo pretende lançar luz sobre a interseção entre violência doméstica e misoginia, destacando como esses fenômenos estão profundamente enraizados nas estruturas sociais e culturais. Ao analisar as diversas manifestações dessa relação complexa, espera-se contribuir para um maior entendimento das raízes da violência doméstica e, consequentemente, informar estratégias eficazes </w:t>
      </w:r>
      <w:r>
        <w:lastRenderedPageBreak/>
        <w:t xml:space="preserve">para a sua prevenção e combate. </w:t>
      </w:r>
    </w:p>
    <w:p w:rsidR="00772848" w:rsidRDefault="00772848" w:rsidP="00772848">
      <w:pPr>
        <w:spacing w:line="360" w:lineRule="auto"/>
        <w:contextualSpacing/>
      </w:pPr>
    </w:p>
    <w:p w:rsidR="00772848" w:rsidRPr="00772848" w:rsidRDefault="00772848" w:rsidP="00772848">
      <w:pPr>
        <w:spacing w:line="360" w:lineRule="auto"/>
        <w:contextualSpacing/>
        <w:rPr>
          <w:b/>
        </w:rPr>
      </w:pPr>
      <w:r w:rsidRPr="00772848">
        <w:rPr>
          <w:b/>
        </w:rPr>
        <w:t>2. A INTERSEÇÃO ENTRE MISOGINIA E VIOLÊNCIA DOMÉSTICA</w:t>
      </w:r>
    </w:p>
    <w:p w:rsidR="00772848" w:rsidRDefault="00772848" w:rsidP="00772848">
      <w:pPr>
        <w:spacing w:line="360" w:lineRule="auto"/>
        <w:contextualSpacing/>
      </w:pP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A violência doméstica é um problema social global que transcende fronteiras geográficas, culturais e socioeconômicas. De acordo com Johnson </w:t>
      </w:r>
      <w:proofErr w:type="gramStart"/>
      <w:r>
        <w:t>et</w:t>
      </w:r>
      <w:proofErr w:type="gramEnd"/>
      <w:r>
        <w:t xml:space="preserve"> al. (2019), a violência doméstica envolve uma série de comportamentos abusivos, como agressões físicas, sexuais, psicológicas e econômicas, cometidas por um parceiro íntimo com o objetivo de exercer controle e poder sobre a vítima. </w:t>
      </w:r>
    </w:p>
    <w:p w:rsidR="00772848" w:rsidRDefault="00772848" w:rsidP="00772848">
      <w:pPr>
        <w:spacing w:line="360" w:lineRule="auto"/>
        <w:ind w:firstLine="709"/>
        <w:contextualSpacing/>
      </w:pPr>
      <w:r>
        <w:t xml:space="preserve">A conexão entre misoginia e violência doméstica é complexa e multifacetada. Pesquisas realizadas por García-Moreno </w:t>
      </w:r>
      <w:proofErr w:type="gramStart"/>
      <w:r>
        <w:t>et</w:t>
      </w:r>
      <w:proofErr w:type="gramEnd"/>
      <w:r>
        <w:t xml:space="preserve"> al. (2018) indicam que a misoginia pode ser um fator de risco significativo para a ocorrência de violência doméstica. Atitudes de superioridade masculina e desvalorização das mulheres, alimentadas pela misoginia, podem levar a comportamentos abusivos por parte dos parceiros íntimos. Além disso, a </w:t>
      </w:r>
      <w:proofErr w:type="spellStart"/>
      <w:r>
        <w:t>culpabilização</w:t>
      </w:r>
      <w:proofErr w:type="spellEnd"/>
      <w:r>
        <w:t xml:space="preserve"> da vítima e a minimização da violência são reforçadas por noções misóginas de que as mulheres são menos merecedoras de respeito e dignidade.</w:t>
      </w: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A pesquisa de Johnson </w:t>
      </w:r>
      <w:proofErr w:type="gramStart"/>
      <w:r>
        <w:t>et</w:t>
      </w:r>
      <w:proofErr w:type="gramEnd"/>
      <w:r>
        <w:t xml:space="preserve"> al. (2021) também sugere que a misoginia internalizada pelas vítimas pode levar a um ciclo de abuso contínuo, à medida que as mulheres podem se sentir presas em relacionamentos abusivos devido à sua autoimagem prejudicada.</w:t>
      </w: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A interligação entre misoginia e violência doméstica constitui um campo de pesquisa fundamental para compreender as raízes e as manifestações da violência de gênero na sociedade contemporânea. A misoginia, definida como a aversão, desprezo ou discriminação direcionada às mulheres, tem sido reconhecida como </w:t>
      </w:r>
      <w:proofErr w:type="gramStart"/>
      <w:r>
        <w:t>um componente central</w:t>
      </w:r>
      <w:proofErr w:type="gramEnd"/>
      <w:r>
        <w:t xml:space="preserve"> na perpetuação da violência doméstica. Nesse contexto, explorar a relação entre esses dois fenômenos revela insights significativos sobre as causas subjacentes da violência contra as mulheres e os mecanismos que perpetuam essa realidade perturbadora.</w:t>
      </w: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No cenário acadêmico, autoras como Susan </w:t>
      </w:r>
      <w:proofErr w:type="spellStart"/>
      <w:r>
        <w:t>Brownmiller</w:t>
      </w:r>
      <w:proofErr w:type="spellEnd"/>
      <w:r>
        <w:t xml:space="preserve"> (1975) com sua obra "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Will: </w:t>
      </w:r>
      <w:proofErr w:type="spellStart"/>
      <w:r>
        <w:t>Men</w:t>
      </w:r>
      <w:proofErr w:type="spellEnd"/>
      <w:r>
        <w:t xml:space="preserve">,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Rape" e </w:t>
      </w:r>
      <w:proofErr w:type="spellStart"/>
      <w:proofErr w:type="gramStart"/>
      <w:r>
        <w:t>bell</w:t>
      </w:r>
      <w:proofErr w:type="spellEnd"/>
      <w:proofErr w:type="gramEnd"/>
      <w:r>
        <w:t xml:space="preserve"> </w:t>
      </w:r>
      <w:proofErr w:type="spellStart"/>
      <w:r>
        <w:t>hooks</w:t>
      </w:r>
      <w:proofErr w:type="spellEnd"/>
      <w:r>
        <w:t xml:space="preserve"> (2000) com "The Will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: </w:t>
      </w:r>
      <w:proofErr w:type="spellStart"/>
      <w:r>
        <w:t>Men</w:t>
      </w:r>
      <w:proofErr w:type="spellEnd"/>
      <w:r>
        <w:t xml:space="preserve">, </w:t>
      </w:r>
      <w:proofErr w:type="spellStart"/>
      <w:r>
        <w:t>Masculinity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Love" ofereceram análises fundamentais sobre as interconexões entre misoginia e violência. </w:t>
      </w:r>
      <w:proofErr w:type="spellStart"/>
      <w:r>
        <w:t>Brownmiller</w:t>
      </w:r>
      <w:proofErr w:type="spellEnd"/>
      <w:r>
        <w:t xml:space="preserve"> abordou a violência sexual como uma manifestação extrema da misoginia, evidenciando como a violência </w:t>
      </w:r>
      <w:r>
        <w:lastRenderedPageBreak/>
        <w:t xml:space="preserve">sexual é frequentemente empregada como uma ferramenta de dominação masculina sobre as mulheres. Por sua vez, </w:t>
      </w:r>
      <w:proofErr w:type="spellStart"/>
      <w:r>
        <w:t>hooks</w:t>
      </w:r>
      <w:proofErr w:type="spellEnd"/>
      <w:r>
        <w:t xml:space="preserve"> discutiu a construção da masculinidade e como a misoginia está enraizada nas normas de gênero, afetando tanto homens quanto mulheres e contribuindo para a perpetuação da violência doméstica.</w:t>
      </w: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A compreensão dessas relações também se estende a estudos contemporâneos. Jones e </w:t>
      </w:r>
      <w:proofErr w:type="spellStart"/>
      <w:r>
        <w:t>Schechter</w:t>
      </w:r>
      <w:proofErr w:type="spellEnd"/>
      <w:r>
        <w:t xml:space="preserve"> (2020) enfatizam a importância de abordar a misoginia não apenas como um problema individual, mas como uma construção social profundamente arraigada que se entrelaça com a violência doméstica. A análise de como os discursos misóginos influenciam as atitudes e comportamentos violentos dos agressores em relação às suas parceiras revela a complexidade dessa conexão.</w:t>
      </w:r>
    </w:p>
    <w:p w:rsidR="00F433C8" w:rsidRDefault="00F433C8" w:rsidP="00F433C8">
      <w:pPr>
        <w:spacing w:line="360" w:lineRule="auto"/>
        <w:ind w:firstLine="709"/>
        <w:contextualSpacing/>
      </w:pPr>
      <w:r>
        <w:t>Este artigo busca contribuir para a ampliação desse entendimento por meio de uma análise abrangente da literatura disponível, destacando como a misoginia influencia as dinâmicas de poder nas relações íntimas e como essas dinâmicas contribuem para a perpetuação da violência doméstica. A investigação cuidadosa dessas interseções é crucial para a formulação de estratégias eficazes de prevenção e intervenção, visando mitigar a violência de gênero em suas diversas manifestações.</w:t>
      </w: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A interseção entre misoginia e violência doméstica apresenta um terreno fértil para a pesquisa acadêmica e ação social. Ao trazer à luz os trabalhos de autoras pioneiras como </w:t>
      </w:r>
      <w:proofErr w:type="spellStart"/>
      <w:r>
        <w:t>Brownmiller</w:t>
      </w:r>
      <w:proofErr w:type="spellEnd"/>
      <w:r>
        <w:t xml:space="preserve"> e </w:t>
      </w:r>
      <w:proofErr w:type="spellStart"/>
      <w:r>
        <w:t>hooks</w:t>
      </w:r>
      <w:proofErr w:type="spellEnd"/>
      <w:r>
        <w:t xml:space="preserve">, bem como estudos contemporâneos de Jones e </w:t>
      </w:r>
      <w:proofErr w:type="spellStart"/>
      <w:r>
        <w:t>Schechter</w:t>
      </w:r>
      <w:proofErr w:type="spellEnd"/>
      <w:r>
        <w:t>, este artigo busca contribuir para o aprofundamento da compreensão das raízes e consequências dessa interconexão complexa. A análise dessas interseções é um passo crucial em direção a uma sociedade mais igualitária e justa, na qual a violência de gênero seja efetivamente abordada e erradicada.</w:t>
      </w:r>
    </w:p>
    <w:p w:rsidR="00F433C8" w:rsidRDefault="00F433C8" w:rsidP="00772848">
      <w:pPr>
        <w:spacing w:line="360" w:lineRule="auto"/>
        <w:ind w:firstLine="709"/>
        <w:contextualSpacing/>
      </w:pPr>
    </w:p>
    <w:p w:rsidR="00772848" w:rsidRDefault="00772848" w:rsidP="00772848">
      <w:pPr>
        <w:spacing w:line="360" w:lineRule="auto"/>
        <w:contextualSpacing/>
      </w:pPr>
    </w:p>
    <w:p w:rsidR="00772848" w:rsidRPr="00772848" w:rsidRDefault="00772848" w:rsidP="00772848">
      <w:pPr>
        <w:spacing w:line="360" w:lineRule="auto"/>
        <w:contextualSpacing/>
        <w:rPr>
          <w:b/>
        </w:rPr>
      </w:pPr>
      <w:r>
        <w:rPr>
          <w:b/>
        </w:rPr>
        <w:t xml:space="preserve">3. </w:t>
      </w:r>
      <w:r w:rsidRPr="00772848">
        <w:rPr>
          <w:b/>
        </w:rPr>
        <w:t>MANIFESTAÇÕES DA MISOGINIA NA VIOLÊNCIA DOMÉSTICA</w:t>
      </w:r>
    </w:p>
    <w:p w:rsidR="00772848" w:rsidRDefault="00772848" w:rsidP="00772848">
      <w:pPr>
        <w:spacing w:line="360" w:lineRule="auto"/>
        <w:contextualSpacing/>
      </w:pPr>
    </w:p>
    <w:p w:rsidR="00772848" w:rsidRDefault="00772848" w:rsidP="00772848">
      <w:pPr>
        <w:spacing w:line="360" w:lineRule="auto"/>
        <w:ind w:firstLine="709"/>
        <w:contextualSpacing/>
      </w:pPr>
      <w:r>
        <w:t xml:space="preserve">A misoginia se manifesta de várias maneiras na violência doméstica. Autores como Smith (2020) destacam como insultos sexistas, coerção sexual e degradação emocional são frequentemente </w:t>
      </w:r>
      <w:proofErr w:type="gramStart"/>
      <w:r>
        <w:t>empregados</w:t>
      </w:r>
      <w:proofErr w:type="gramEnd"/>
      <w:r>
        <w:t xml:space="preserve"> pelos agressores para desumanizar e subjugar suas vítimas. A </w:t>
      </w:r>
      <w:proofErr w:type="spellStart"/>
      <w:r>
        <w:t>objetificação</w:t>
      </w:r>
      <w:proofErr w:type="spellEnd"/>
      <w:r>
        <w:t xml:space="preserve"> das mulheres e a crença na sua subserviência contribuem para a perpetuação da violência e para a sensação de impunidade por </w:t>
      </w:r>
      <w:r>
        <w:lastRenderedPageBreak/>
        <w:t xml:space="preserve">parte dos agressores. </w:t>
      </w: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A problemática da violência doméstica tem sido objeto de discussões e pesquisas em diversas áreas do conhecimento, uma vez que suas manifestações impactam significativamente a vida das vítimas e a estrutura da sociedade como um todo. No entanto, um aspecto muitas vezes subjacente a essas manifestações é a misoginia, que se revela como um dos principais fatores subjacentes a essa forma de violência. A misoginia, definida como o ódio ou desprezo sistemático em relação às mulheres, permeia as relações sociais de maneira complexa e encontra terreno fértil na esfera doméstica. Neste contexto, é crucial explorar como a misoginia se manifesta na violência doméstica, compreendendo suas raízes históricas e socioculturais e os impactos que produz nas dinâmicas de poder. </w:t>
      </w:r>
    </w:p>
    <w:p w:rsidR="00F433C8" w:rsidRDefault="00F433C8" w:rsidP="00F433C8">
      <w:pPr>
        <w:spacing w:line="360" w:lineRule="auto"/>
        <w:ind w:firstLine="709"/>
        <w:contextualSpacing/>
      </w:pPr>
      <w:r>
        <w:t>É notório que a problemática da misoginia não é um fenômeno contemporâneo, sendo, em grande parte, enraizada em estruturas patriarcais que perduram ao longo dos séculos. Nesse sentido, autoras como Beauvoir (1949) já apontavam para a construção social das identidades de gênero e a maneira como as mulheres foram historicamente subjugadas e relegadas a papéis secundários na sociedade. Tal construção é refletida na violência doméstica, onde a misoginia se apresenta como uma força motriz, legitimando a agressão como uma forma de manter o controle e reafirmar a dominação masculina (BUTLER, 1990).</w:t>
      </w:r>
    </w:p>
    <w:p w:rsidR="00F433C8" w:rsidRDefault="00F433C8" w:rsidP="00F433C8">
      <w:pPr>
        <w:spacing w:line="360" w:lineRule="auto"/>
        <w:ind w:firstLine="709"/>
        <w:contextualSpacing/>
      </w:pPr>
      <w:r>
        <w:t>Ao analisar a misoginia na violência doméstica, é crucial considerar as múltiplas formas de manifestação desse fenômeno. Desde a violência física até a psicológica, as vítimas enfrentam uma ampla gama de abusos que têm suas raízes na desvalorização sistemática da mulher. No âmbito psicológico, por exemplo, a manipulação emocional e a depreciação constante minam a autoestima da vítima, reforçando estereótipos misóginos enraizados na cultura (HOOKS, 2000). A normalização dessas atitudes, muitas vezes invisíveis aos olhos da sociedade, perpetua o ciclo de violência e torna crucial uma análise aprofundada da</w:t>
      </w:r>
      <w:r>
        <w:t>s</w:t>
      </w:r>
      <w:r>
        <w:t xml:space="preserve"> estruturas que as sustentam.</w:t>
      </w: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Diante dessa realidade, é imperativo explorar as implicações da misoginia na violência doméstica para a saúde física e mental das vítimas. O estigma social associado a essa forma de violência frequentemente inibe a denúncia e a busca por ajuda, ampliando o impacto negativo nas mulheres agredidas. Nesse contexto, é pertinente discutir a importância de políticas públicas e ações de conscientização que visem desmantelar as raízes da misoginia e promover uma cultura de respeito e </w:t>
      </w:r>
      <w:r>
        <w:lastRenderedPageBreak/>
        <w:t>igualdade de gênero (VELÁSQUEZ, 2018).</w:t>
      </w:r>
    </w:p>
    <w:p w:rsidR="00F433C8" w:rsidRDefault="00F433C8" w:rsidP="00F433C8">
      <w:pPr>
        <w:spacing w:line="360" w:lineRule="auto"/>
        <w:ind w:firstLine="709"/>
        <w:contextualSpacing/>
      </w:pPr>
      <w:r>
        <w:t xml:space="preserve">Portanto, este artigo busca explorar as múltiplas manifestações da misoginia na violência doméstica, aprofundando a compreensão das raízes históricas e socioculturais desse fenômeno. Por meio de uma análise interdisciplinar, pretende-se contribuir para a reflexão sobre a urgente necessidade de transformação das estruturas sociais que perpetuam a misoginia e, por conseguinte, a violência de gênero. </w:t>
      </w:r>
    </w:p>
    <w:p w:rsidR="00F433C8" w:rsidRDefault="00F433C8" w:rsidP="00F433C8">
      <w:pPr>
        <w:spacing w:line="360" w:lineRule="auto"/>
        <w:ind w:firstLine="709"/>
        <w:contextualSpacing/>
      </w:pPr>
    </w:p>
    <w:p w:rsidR="00772848" w:rsidRPr="00772848" w:rsidRDefault="00772848" w:rsidP="00772848">
      <w:pPr>
        <w:spacing w:line="360" w:lineRule="auto"/>
        <w:contextualSpacing/>
        <w:rPr>
          <w:b/>
        </w:rPr>
      </w:pPr>
      <w:r w:rsidRPr="00772848">
        <w:rPr>
          <w:b/>
        </w:rPr>
        <w:t>CONCLUSÃO</w:t>
      </w:r>
    </w:p>
    <w:p w:rsidR="00772848" w:rsidRDefault="00772848" w:rsidP="00772848">
      <w:pPr>
        <w:spacing w:line="360" w:lineRule="auto"/>
        <w:contextualSpacing/>
      </w:pPr>
    </w:p>
    <w:p w:rsidR="00772848" w:rsidRDefault="00772848" w:rsidP="00772848">
      <w:pPr>
        <w:spacing w:line="360" w:lineRule="auto"/>
        <w:ind w:firstLine="709"/>
        <w:contextualSpacing/>
      </w:pPr>
      <w:r>
        <w:t xml:space="preserve">Este artigo explorou a interseção entre a violência doméstica e a misoginia, destacando a influência prejudicial desta última na perpetuação daquela. A misoginia desempenha um papel crucial na normalização e justificação da violência contra as mulheres, perpetuando atitudes e comportamentos abusivos. </w:t>
      </w:r>
    </w:p>
    <w:p w:rsidR="00772848" w:rsidRDefault="00772848" w:rsidP="00772848">
      <w:pPr>
        <w:spacing w:line="360" w:lineRule="auto"/>
        <w:ind w:firstLine="709"/>
        <w:contextualSpacing/>
      </w:pPr>
      <w:r>
        <w:t>Compreender essa interconexão é fundamental para o desenvolvimento de estratégias eficazes de prevenção e intervenção. Portanto, políticas e programas de combate à violência doméstica devem abordar a misoginia de maneira abrangente, visando não apenas a punição dos agressores, mas também a transformação das atitudes culturais que perpetuam essa forma de abuso.</w:t>
      </w:r>
    </w:p>
    <w:p w:rsidR="00772848" w:rsidRDefault="00772848" w:rsidP="00772848"/>
    <w:p w:rsidR="00772848" w:rsidRPr="00772848" w:rsidRDefault="00772848" w:rsidP="00772848">
      <w:pPr>
        <w:rPr>
          <w:b/>
        </w:rPr>
      </w:pPr>
      <w:r w:rsidRPr="00772848">
        <w:rPr>
          <w:b/>
        </w:rPr>
        <w:t>REFERÊNCIAS:</w:t>
      </w:r>
    </w:p>
    <w:p w:rsidR="00772848" w:rsidRDefault="00772848" w:rsidP="00772848"/>
    <w:p w:rsidR="00135E73" w:rsidRDefault="00135E73" w:rsidP="00135E73">
      <w:r w:rsidRPr="00135E73">
        <w:t xml:space="preserve">BEAUVOIR, Simone de. O segundo </w:t>
      </w:r>
      <w:proofErr w:type="gramStart"/>
      <w:r w:rsidRPr="00135E73">
        <w:t>sexo .</w:t>
      </w:r>
      <w:proofErr w:type="gramEnd"/>
      <w:r w:rsidRPr="00135E73">
        <w:t xml:space="preserve"> 2ª ed. Rio de Janeiro: Nova Fronteira, 1949.</w:t>
      </w:r>
    </w:p>
    <w:p w:rsidR="00135E73" w:rsidRPr="00135E73" w:rsidRDefault="00135E73" w:rsidP="00135E73"/>
    <w:p w:rsidR="00135E73" w:rsidRDefault="00135E73" w:rsidP="00135E73">
      <w:r w:rsidRPr="00135E73">
        <w:t xml:space="preserve">BROWN, JL A persistência da misoginia: um estudo do discurso do </w:t>
      </w:r>
      <w:proofErr w:type="spellStart"/>
      <w:r w:rsidRPr="00135E73">
        <w:t>Twitter</w:t>
      </w:r>
      <w:proofErr w:type="spellEnd"/>
      <w:r w:rsidRPr="00135E73">
        <w:t xml:space="preserve"> #</w:t>
      </w:r>
      <w:proofErr w:type="spellStart"/>
      <w:proofErr w:type="gramStart"/>
      <w:r w:rsidRPr="00135E73">
        <w:t>YesAllWomen</w:t>
      </w:r>
      <w:proofErr w:type="spellEnd"/>
      <w:proofErr w:type="gramEnd"/>
      <w:r w:rsidRPr="00135E73">
        <w:t xml:space="preserve">. </w:t>
      </w:r>
      <w:proofErr w:type="spellStart"/>
      <w:r w:rsidRPr="00135E73">
        <w:t>Feminist</w:t>
      </w:r>
      <w:proofErr w:type="spellEnd"/>
      <w:r w:rsidRPr="00135E73">
        <w:t xml:space="preserve"> Media </w:t>
      </w:r>
      <w:proofErr w:type="spellStart"/>
      <w:r w:rsidRPr="00135E73">
        <w:t>Studies</w:t>
      </w:r>
      <w:proofErr w:type="spellEnd"/>
      <w:r w:rsidRPr="00135E73">
        <w:t>, 17 (4), 548-562. 2017.</w:t>
      </w:r>
    </w:p>
    <w:p w:rsidR="00135E73" w:rsidRPr="00135E73" w:rsidRDefault="00135E73" w:rsidP="00135E73"/>
    <w:p w:rsidR="00135E73" w:rsidRDefault="00135E73" w:rsidP="00135E73">
      <w:r w:rsidRPr="00135E73">
        <w:t xml:space="preserve">BROWNMILLER, Susan. Contra a Nossa Vontade: Homens, Mulheres e </w:t>
      </w:r>
      <w:proofErr w:type="gramStart"/>
      <w:r w:rsidRPr="00135E73">
        <w:t>Estupro .</w:t>
      </w:r>
      <w:proofErr w:type="gramEnd"/>
      <w:r w:rsidRPr="00135E73">
        <w:t xml:space="preserve"> Simon &amp; Schuster, 1975.</w:t>
      </w:r>
    </w:p>
    <w:p w:rsidR="00135E73" w:rsidRPr="00135E73" w:rsidRDefault="00135E73" w:rsidP="00135E73"/>
    <w:p w:rsidR="00135E73" w:rsidRDefault="00135E73" w:rsidP="00135E73">
      <w:r w:rsidRPr="00135E73">
        <w:t xml:space="preserve">BUTLER, Judith. Problemas de Gênero: Feminismo e Subversão da </w:t>
      </w:r>
      <w:proofErr w:type="gramStart"/>
      <w:r w:rsidRPr="00135E73">
        <w:t>Identidade .</w:t>
      </w:r>
      <w:proofErr w:type="gramEnd"/>
      <w:r w:rsidRPr="00135E73">
        <w:t xml:space="preserve"> Nova York: </w:t>
      </w:r>
      <w:proofErr w:type="spellStart"/>
      <w:r w:rsidRPr="00135E73">
        <w:t>Routledge</w:t>
      </w:r>
      <w:proofErr w:type="spellEnd"/>
      <w:r w:rsidRPr="00135E73">
        <w:t>, 1990.</w:t>
      </w:r>
    </w:p>
    <w:p w:rsidR="00135E73" w:rsidRPr="00135E73" w:rsidRDefault="00135E73" w:rsidP="00135E73"/>
    <w:p w:rsidR="00135E73" w:rsidRDefault="00135E73" w:rsidP="00135E73">
      <w:r w:rsidRPr="00135E73">
        <w:t xml:space="preserve">GARCÍA-MORENO, Claudia </w:t>
      </w:r>
      <w:proofErr w:type="gramStart"/>
      <w:r w:rsidRPr="00135E73">
        <w:t>et</w:t>
      </w:r>
      <w:proofErr w:type="gramEnd"/>
      <w:r w:rsidRPr="00135E73">
        <w:t xml:space="preserve"> al. A resposta dos sistemas de saúde à violência contra as mulheres. The Lancet, 392 (10157), 1159-1175. 2018.</w:t>
      </w:r>
    </w:p>
    <w:p w:rsidR="00135E73" w:rsidRPr="00135E73" w:rsidRDefault="00135E73" w:rsidP="00135E73"/>
    <w:p w:rsidR="00135E73" w:rsidRDefault="00135E73" w:rsidP="00135E73">
      <w:r w:rsidRPr="00135E73">
        <w:t xml:space="preserve">HOOKS, Bell. A Vontade de Mudar: Homens, Masculinidade e </w:t>
      </w:r>
      <w:proofErr w:type="gramStart"/>
      <w:r w:rsidRPr="00135E73">
        <w:t>Amor .</w:t>
      </w:r>
      <w:proofErr w:type="gramEnd"/>
      <w:r w:rsidRPr="00135E73">
        <w:t xml:space="preserve"> Washington Square Press, 2000.</w:t>
      </w:r>
    </w:p>
    <w:p w:rsidR="00135E73" w:rsidRPr="00135E73" w:rsidRDefault="00135E73" w:rsidP="00135E73"/>
    <w:p w:rsidR="00135E73" w:rsidRDefault="00135E73" w:rsidP="00135E73">
      <w:r w:rsidRPr="00135E73">
        <w:t xml:space="preserve">HOOKS, Bell. Teoria Feminista: Da Margem ao </w:t>
      </w:r>
      <w:proofErr w:type="gramStart"/>
      <w:r w:rsidRPr="00135E73">
        <w:t>Centro .</w:t>
      </w:r>
      <w:proofErr w:type="gramEnd"/>
      <w:r w:rsidRPr="00135E73">
        <w:t xml:space="preserve"> South </w:t>
      </w:r>
      <w:proofErr w:type="spellStart"/>
      <w:r w:rsidRPr="00135E73">
        <w:t>End</w:t>
      </w:r>
      <w:proofErr w:type="spellEnd"/>
      <w:r w:rsidRPr="00135E73">
        <w:t xml:space="preserve"> Press, 2000.</w:t>
      </w:r>
    </w:p>
    <w:p w:rsidR="00135E73" w:rsidRPr="00135E73" w:rsidRDefault="00135E73" w:rsidP="00135E73"/>
    <w:p w:rsidR="00135E73" w:rsidRDefault="00135E73" w:rsidP="00135E73">
      <w:r w:rsidRPr="00135E73">
        <w:t xml:space="preserve">JOHNSON, AT; JACKSON, SM; GASS, GL O papel da misoginia internalizada na relação entre trauma na infância e vitimização por violência praticada pelo parceiro íntimo. </w:t>
      </w:r>
      <w:proofErr w:type="spellStart"/>
      <w:r w:rsidRPr="00135E73">
        <w:t>Journal</w:t>
      </w:r>
      <w:proofErr w:type="spellEnd"/>
      <w:r w:rsidRPr="00135E73">
        <w:t xml:space="preserve"> </w:t>
      </w:r>
      <w:proofErr w:type="spellStart"/>
      <w:r w:rsidRPr="00135E73">
        <w:t>of</w:t>
      </w:r>
      <w:proofErr w:type="spellEnd"/>
      <w:r w:rsidRPr="00135E73">
        <w:t xml:space="preserve"> </w:t>
      </w:r>
      <w:proofErr w:type="spellStart"/>
      <w:r w:rsidRPr="00135E73">
        <w:t>Interpersonal</w:t>
      </w:r>
      <w:proofErr w:type="spellEnd"/>
      <w:r w:rsidRPr="00135E73">
        <w:t xml:space="preserve"> </w:t>
      </w:r>
      <w:proofErr w:type="spellStart"/>
      <w:r w:rsidRPr="00135E73">
        <w:t>Violence</w:t>
      </w:r>
      <w:proofErr w:type="spellEnd"/>
      <w:r w:rsidRPr="00135E73">
        <w:t>, 36 (5-6), 2897-2920. 2021.</w:t>
      </w:r>
    </w:p>
    <w:p w:rsidR="00135E73" w:rsidRPr="00135E73" w:rsidRDefault="00135E73" w:rsidP="00135E73"/>
    <w:p w:rsidR="00135E73" w:rsidRDefault="00135E73" w:rsidP="00135E73">
      <w:r w:rsidRPr="00135E73">
        <w:t xml:space="preserve">JOHNSON, MP; LEONE, JM; XU, Y. Terrorismo íntimo e violência situacional entre casais: uma tipologia de violência tripartida. </w:t>
      </w:r>
      <w:proofErr w:type="spellStart"/>
      <w:r w:rsidRPr="00135E73">
        <w:t>Journal</w:t>
      </w:r>
      <w:proofErr w:type="spellEnd"/>
      <w:r w:rsidRPr="00135E73">
        <w:t xml:space="preserve"> </w:t>
      </w:r>
      <w:proofErr w:type="spellStart"/>
      <w:r w:rsidRPr="00135E73">
        <w:t>of</w:t>
      </w:r>
      <w:proofErr w:type="spellEnd"/>
      <w:r w:rsidRPr="00135E73">
        <w:t xml:space="preserve"> </w:t>
      </w:r>
      <w:proofErr w:type="spellStart"/>
      <w:r w:rsidRPr="00135E73">
        <w:t>Marriage</w:t>
      </w:r>
      <w:proofErr w:type="spellEnd"/>
      <w:r w:rsidRPr="00135E73">
        <w:t xml:space="preserve"> </w:t>
      </w:r>
      <w:proofErr w:type="spellStart"/>
      <w:r w:rsidRPr="00135E73">
        <w:t>and</w:t>
      </w:r>
      <w:proofErr w:type="spellEnd"/>
      <w:r w:rsidRPr="00135E73">
        <w:t xml:space="preserve"> Family, 81 (3), 625-641. 2019.</w:t>
      </w:r>
    </w:p>
    <w:p w:rsidR="00135E73" w:rsidRPr="00135E73" w:rsidRDefault="00135E73" w:rsidP="00135E73"/>
    <w:p w:rsidR="00135E73" w:rsidRPr="00135E73" w:rsidRDefault="00135E73" w:rsidP="00135E73">
      <w:r w:rsidRPr="00135E73">
        <w:t xml:space="preserve">JONES, AS; SCHECHTER, DS Misoginia e violência por parceiro íntimo: a interseção de gênero e poder. </w:t>
      </w:r>
      <w:proofErr w:type="spellStart"/>
      <w:r w:rsidRPr="00135E73">
        <w:t>Journal</w:t>
      </w:r>
      <w:proofErr w:type="spellEnd"/>
      <w:r w:rsidRPr="00135E73">
        <w:t xml:space="preserve"> </w:t>
      </w:r>
      <w:proofErr w:type="spellStart"/>
      <w:r w:rsidRPr="00135E73">
        <w:t>of</w:t>
      </w:r>
      <w:proofErr w:type="spellEnd"/>
      <w:r w:rsidRPr="00135E73">
        <w:t xml:space="preserve"> </w:t>
      </w:r>
      <w:proofErr w:type="spellStart"/>
      <w:r w:rsidRPr="00135E73">
        <w:t>Interpersonal</w:t>
      </w:r>
      <w:proofErr w:type="spellEnd"/>
      <w:r w:rsidRPr="00135E73">
        <w:t xml:space="preserve"> </w:t>
      </w:r>
      <w:proofErr w:type="spellStart"/>
      <w:proofErr w:type="gramStart"/>
      <w:r w:rsidRPr="00135E73">
        <w:t>Violence</w:t>
      </w:r>
      <w:proofErr w:type="spellEnd"/>
      <w:r w:rsidRPr="00135E73">
        <w:t xml:space="preserve"> ,</w:t>
      </w:r>
      <w:proofErr w:type="gramEnd"/>
      <w:r w:rsidRPr="00135E73">
        <w:t xml:space="preserve"> 0886260520938805. 2020. </w:t>
      </w:r>
      <w:proofErr w:type="spellStart"/>
      <w:r w:rsidRPr="00135E73">
        <w:t>See</w:t>
      </w:r>
      <w:proofErr w:type="spellEnd"/>
      <w:r w:rsidRPr="00135E73">
        <w:t xml:space="preserve"> More</w:t>
      </w:r>
    </w:p>
    <w:p w:rsidR="00135E73" w:rsidRDefault="00135E73" w:rsidP="00135E73"/>
    <w:p w:rsidR="00135E73" w:rsidRPr="00135E73" w:rsidRDefault="00135E73" w:rsidP="00135E73">
      <w:r w:rsidRPr="00135E73">
        <w:t>SMITH, SG Definindo o escopo da misoginia: semelhanças e diferenças entre culturas. Sex Roles, 83 (11-12), 693-705. 2020.</w:t>
      </w:r>
    </w:p>
    <w:p w:rsidR="00135E73" w:rsidRDefault="00135E73" w:rsidP="00135E73"/>
    <w:p w:rsidR="00135E73" w:rsidRPr="00135E73" w:rsidRDefault="00135E73" w:rsidP="00135E73">
      <w:r w:rsidRPr="00135E73">
        <w:t xml:space="preserve">VELÁSQUEZ, Juliana. Violência de Gênero: Um estudo sobre a percepção das mulheres em situação de violência acerca do atendimento </w:t>
      </w:r>
      <w:proofErr w:type="gramStart"/>
      <w:r w:rsidRPr="00135E73">
        <w:t>recebido .</w:t>
      </w:r>
      <w:proofErr w:type="gramEnd"/>
      <w:r w:rsidRPr="00135E73">
        <w:t xml:space="preserve"> Dissertação (Mestrado em Psicologia) - Universidade Federal do Rio Grande do Sul, 2018.</w:t>
      </w:r>
    </w:p>
    <w:bookmarkEnd w:id="0"/>
    <w:p w:rsidR="00F433C8" w:rsidRDefault="00F433C8" w:rsidP="00135E73"/>
    <w:sectPr w:rsidR="00F433C8" w:rsidSect="00135E7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94" w:rsidRDefault="00880B94" w:rsidP="00C33CCF">
      <w:r>
        <w:separator/>
      </w:r>
    </w:p>
  </w:endnote>
  <w:endnote w:type="continuationSeparator" w:id="0">
    <w:p w:rsidR="00880B94" w:rsidRDefault="00880B94" w:rsidP="00C3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94" w:rsidRDefault="00880B94" w:rsidP="00C33CCF">
      <w:r>
        <w:separator/>
      </w:r>
    </w:p>
  </w:footnote>
  <w:footnote w:type="continuationSeparator" w:id="0">
    <w:p w:rsidR="00880B94" w:rsidRDefault="00880B94" w:rsidP="00C33CCF">
      <w:r>
        <w:continuationSeparator/>
      </w:r>
    </w:p>
  </w:footnote>
  <w:footnote w:id="1">
    <w:p w:rsidR="00C33CCF" w:rsidRDefault="00C33CC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4B06"/>
    <w:multiLevelType w:val="hybridMultilevel"/>
    <w:tmpl w:val="8CAE7C8C"/>
    <w:lvl w:ilvl="0" w:tplc="B2FABC8A">
      <w:start w:val="3"/>
      <w:numFmt w:val="decimal"/>
      <w:pStyle w:val="Ttulo2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622F"/>
    <w:multiLevelType w:val="multilevel"/>
    <w:tmpl w:val="FADC781E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48"/>
    <w:rsid w:val="00135E73"/>
    <w:rsid w:val="0031793E"/>
    <w:rsid w:val="00696999"/>
    <w:rsid w:val="00772848"/>
    <w:rsid w:val="007E55AF"/>
    <w:rsid w:val="00880B94"/>
    <w:rsid w:val="00A52842"/>
    <w:rsid w:val="00B0017A"/>
    <w:rsid w:val="00BE248B"/>
    <w:rsid w:val="00C33CCF"/>
    <w:rsid w:val="00E51AF9"/>
    <w:rsid w:val="00F4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7A"/>
    <w:pPr>
      <w:widowControl w:val="0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Normal"/>
    <w:link w:val="Ttulo1Char"/>
    <w:qFormat/>
    <w:rsid w:val="00B0017A"/>
    <w:pPr>
      <w:keepNext/>
      <w:pageBreakBefore/>
      <w:numPr>
        <w:numId w:val="5"/>
      </w:numPr>
      <w:tabs>
        <w:tab w:val="left" w:pos="227"/>
      </w:tabs>
      <w:spacing w:after="360" w:line="360" w:lineRule="auto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link w:val="Ttulo2Char"/>
    <w:qFormat/>
    <w:rsid w:val="00B0017A"/>
    <w:pPr>
      <w:keepNext/>
      <w:numPr>
        <w:numId w:val="2"/>
      </w:numPr>
      <w:tabs>
        <w:tab w:val="left" w:pos="227"/>
      </w:tabs>
      <w:spacing w:before="360" w:after="360" w:line="360" w:lineRule="auto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autoRedefine/>
    <w:qFormat/>
    <w:rsid w:val="00B0017A"/>
    <w:pPr>
      <w:keepNext/>
      <w:numPr>
        <w:ilvl w:val="2"/>
        <w:numId w:val="5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Normal"/>
    <w:link w:val="Ttulo4Char"/>
    <w:qFormat/>
    <w:rsid w:val="00B0017A"/>
    <w:pPr>
      <w:keepNext/>
      <w:numPr>
        <w:ilvl w:val="3"/>
        <w:numId w:val="5"/>
      </w:numPr>
      <w:tabs>
        <w:tab w:val="left" w:pos="227"/>
        <w:tab w:val="left" w:pos="851"/>
      </w:tabs>
      <w:spacing w:before="360" w:after="360" w:line="360" w:lineRule="auto"/>
      <w:outlineLvl w:val="3"/>
    </w:pPr>
  </w:style>
  <w:style w:type="paragraph" w:styleId="Ttulo5">
    <w:name w:val="heading 5"/>
    <w:basedOn w:val="Normal"/>
    <w:next w:val="Normal"/>
    <w:link w:val="Ttulo5Char"/>
    <w:qFormat/>
    <w:rsid w:val="00B0017A"/>
    <w:pPr>
      <w:keepNext/>
      <w:numPr>
        <w:ilvl w:val="4"/>
        <w:numId w:val="5"/>
      </w:numPr>
      <w:tabs>
        <w:tab w:val="left" w:pos="227"/>
        <w:tab w:val="left" w:pos="1021"/>
      </w:tabs>
      <w:spacing w:before="360" w:after="360" w:line="360" w:lineRule="auto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link w:val="Ttulo6Char"/>
    <w:qFormat/>
    <w:rsid w:val="00B0017A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55AF"/>
    <w:pPr>
      <w:widowControl w:val="0"/>
      <w:jc w:val="both"/>
    </w:pPr>
    <w:rPr>
      <w:rFonts w:ascii="Arial" w:hAnsi="Arial"/>
      <w:snapToGrid w:val="0"/>
      <w:sz w:val="24"/>
    </w:rPr>
  </w:style>
  <w:style w:type="character" w:customStyle="1" w:styleId="Ttulo1Char">
    <w:name w:val="Título 1 Char"/>
    <w:basedOn w:val="Fontepargpadro"/>
    <w:link w:val="Ttulo1"/>
    <w:rsid w:val="00B0017A"/>
    <w:rPr>
      <w:rFonts w:ascii="Arial" w:hAnsi="Arial"/>
      <w:b/>
      <w:caps/>
      <w:snapToGrid w:val="0"/>
      <w:kern w:val="28"/>
      <w:sz w:val="24"/>
    </w:rPr>
  </w:style>
  <w:style w:type="character" w:customStyle="1" w:styleId="Ttulo2Char">
    <w:name w:val="Título 2 Char"/>
    <w:basedOn w:val="Fontepargpadro"/>
    <w:link w:val="Ttulo2"/>
    <w:rsid w:val="00B0017A"/>
    <w:rPr>
      <w:rFonts w:ascii="Arial" w:hAnsi="Arial"/>
      <w:caps/>
      <w:snapToGrid w:val="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B0017A"/>
    <w:rPr>
      <w:rFonts w:ascii="Arial" w:hAnsi="Arial"/>
      <w:snapToGrid w:val="0"/>
      <w:sz w:val="24"/>
    </w:rPr>
  </w:style>
  <w:style w:type="character" w:customStyle="1" w:styleId="Ttulo4Char">
    <w:name w:val="Título 4 Char"/>
    <w:basedOn w:val="Fontepargpadro"/>
    <w:link w:val="Ttulo4"/>
    <w:rsid w:val="00B0017A"/>
    <w:rPr>
      <w:rFonts w:ascii="Arial" w:hAnsi="Arial"/>
      <w:snapToGrid w:val="0"/>
      <w:sz w:val="24"/>
    </w:rPr>
  </w:style>
  <w:style w:type="character" w:customStyle="1" w:styleId="Ttulo5Char">
    <w:name w:val="Título 5 Char"/>
    <w:basedOn w:val="Fontepargpadro"/>
    <w:link w:val="Ttulo5"/>
    <w:rsid w:val="00B0017A"/>
    <w:rPr>
      <w:rFonts w:ascii="Arial" w:hAnsi="Arial"/>
      <w:i/>
      <w:snapToGrid w:val="0"/>
      <w:color w:val="000000"/>
      <w:sz w:val="24"/>
    </w:rPr>
  </w:style>
  <w:style w:type="character" w:customStyle="1" w:styleId="Ttulo6Char">
    <w:name w:val="Título 6 Char"/>
    <w:basedOn w:val="Fontepargpadro"/>
    <w:link w:val="Ttulo6"/>
    <w:rsid w:val="00B0017A"/>
    <w:rPr>
      <w:rFonts w:ascii="Arial" w:hAnsi="Arial"/>
      <w:b/>
      <w:caps/>
      <w:snapToGrid w:val="0"/>
      <w:sz w:val="24"/>
    </w:rPr>
  </w:style>
  <w:style w:type="paragraph" w:styleId="Ttulo">
    <w:name w:val="Title"/>
    <w:basedOn w:val="Normal"/>
    <w:next w:val="Normal"/>
    <w:link w:val="TtuloChar"/>
    <w:autoRedefine/>
    <w:qFormat/>
    <w:rsid w:val="00B0017A"/>
    <w:pPr>
      <w:spacing w:before="240" w:after="60" w:line="480" w:lineRule="auto"/>
      <w:outlineLvl w:val="0"/>
    </w:pPr>
    <w:rPr>
      <w:b/>
      <w:bCs/>
      <w:kern w:val="28"/>
      <w:szCs w:val="32"/>
    </w:rPr>
  </w:style>
  <w:style w:type="character" w:customStyle="1" w:styleId="TtuloChar">
    <w:name w:val="Título Char"/>
    <w:link w:val="Ttulo"/>
    <w:rsid w:val="00B0017A"/>
    <w:rPr>
      <w:rFonts w:ascii="Arial" w:hAnsi="Arial"/>
      <w:b/>
      <w:bCs/>
      <w:snapToGrid w:val="0"/>
      <w:kern w:val="28"/>
      <w:sz w:val="24"/>
      <w:szCs w:val="32"/>
    </w:rPr>
  </w:style>
  <w:style w:type="character" w:styleId="Forte">
    <w:name w:val="Strong"/>
    <w:basedOn w:val="Fontepargpadro"/>
    <w:uiPriority w:val="22"/>
    <w:qFormat/>
    <w:rsid w:val="00B0017A"/>
    <w:rPr>
      <w:b/>
      <w:bCs/>
    </w:rPr>
  </w:style>
  <w:style w:type="character" w:styleId="nfase">
    <w:name w:val="Emphasis"/>
    <w:basedOn w:val="Fontepargpadro"/>
    <w:uiPriority w:val="20"/>
    <w:qFormat/>
    <w:rsid w:val="00B0017A"/>
    <w:rPr>
      <w:i/>
      <w:iCs/>
    </w:rPr>
  </w:style>
  <w:style w:type="paragraph" w:styleId="PargrafodaLista">
    <w:name w:val="List Paragraph"/>
    <w:basedOn w:val="Normal"/>
    <w:uiPriority w:val="1"/>
    <w:qFormat/>
    <w:rsid w:val="00B0017A"/>
    <w:pPr>
      <w:widowControl/>
      <w:spacing w:after="160" w:line="259" w:lineRule="auto"/>
      <w:ind w:left="720"/>
      <w:contextualSpacing/>
      <w:jc w:val="left"/>
    </w:pPr>
    <w:rPr>
      <w:rFonts w:ascii="Calibri" w:eastAsia="Calibri" w:hAnsi="Calibri"/>
      <w:snapToGrid/>
      <w:sz w:val="22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B0017A"/>
    <w:pPr>
      <w:keepLines/>
      <w:pageBreakBefore w:val="0"/>
      <w:widowControl/>
      <w:numPr>
        <w:numId w:val="0"/>
      </w:numPr>
      <w:tabs>
        <w:tab w:val="clear" w:pos="227"/>
      </w:tabs>
      <w:spacing w:before="240" w:after="0" w:line="259" w:lineRule="auto"/>
      <w:jc w:val="left"/>
      <w:outlineLvl w:val="9"/>
    </w:pPr>
    <w:rPr>
      <w:rFonts w:ascii="Calibri Light" w:hAnsi="Calibri Light"/>
      <w:b w:val="0"/>
      <w:caps w:val="0"/>
      <w:snapToGrid/>
      <w:color w:val="2E74B5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35E73"/>
    <w:pPr>
      <w:widowControl/>
      <w:spacing w:before="100" w:beforeAutospacing="1" w:after="100" w:afterAutospacing="1"/>
      <w:jc w:val="left"/>
    </w:pPr>
    <w:rPr>
      <w:rFonts w:ascii="Times New Roman" w:hAnsi="Times New Roman"/>
      <w:snapToGrid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3CCF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3CCF"/>
    <w:rPr>
      <w:rFonts w:ascii="Arial" w:hAnsi="Arial"/>
      <w:snapToGrid w:val="0"/>
    </w:rPr>
  </w:style>
  <w:style w:type="character" w:styleId="Refdenotaderodap">
    <w:name w:val="footnote reference"/>
    <w:basedOn w:val="Fontepargpadro"/>
    <w:uiPriority w:val="99"/>
    <w:semiHidden/>
    <w:unhideWhenUsed/>
    <w:rsid w:val="00C33C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7A"/>
    <w:pPr>
      <w:widowControl w:val="0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Normal"/>
    <w:link w:val="Ttulo1Char"/>
    <w:qFormat/>
    <w:rsid w:val="00B0017A"/>
    <w:pPr>
      <w:keepNext/>
      <w:pageBreakBefore/>
      <w:numPr>
        <w:numId w:val="5"/>
      </w:numPr>
      <w:tabs>
        <w:tab w:val="left" w:pos="227"/>
      </w:tabs>
      <w:spacing w:after="360" w:line="360" w:lineRule="auto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link w:val="Ttulo2Char"/>
    <w:qFormat/>
    <w:rsid w:val="00B0017A"/>
    <w:pPr>
      <w:keepNext/>
      <w:numPr>
        <w:numId w:val="2"/>
      </w:numPr>
      <w:tabs>
        <w:tab w:val="left" w:pos="227"/>
      </w:tabs>
      <w:spacing w:before="360" w:after="360" w:line="360" w:lineRule="auto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autoRedefine/>
    <w:qFormat/>
    <w:rsid w:val="00B0017A"/>
    <w:pPr>
      <w:keepNext/>
      <w:numPr>
        <w:ilvl w:val="2"/>
        <w:numId w:val="5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Normal"/>
    <w:link w:val="Ttulo4Char"/>
    <w:qFormat/>
    <w:rsid w:val="00B0017A"/>
    <w:pPr>
      <w:keepNext/>
      <w:numPr>
        <w:ilvl w:val="3"/>
        <w:numId w:val="5"/>
      </w:numPr>
      <w:tabs>
        <w:tab w:val="left" w:pos="227"/>
        <w:tab w:val="left" w:pos="851"/>
      </w:tabs>
      <w:spacing w:before="360" w:after="360" w:line="360" w:lineRule="auto"/>
      <w:outlineLvl w:val="3"/>
    </w:pPr>
  </w:style>
  <w:style w:type="paragraph" w:styleId="Ttulo5">
    <w:name w:val="heading 5"/>
    <w:basedOn w:val="Normal"/>
    <w:next w:val="Normal"/>
    <w:link w:val="Ttulo5Char"/>
    <w:qFormat/>
    <w:rsid w:val="00B0017A"/>
    <w:pPr>
      <w:keepNext/>
      <w:numPr>
        <w:ilvl w:val="4"/>
        <w:numId w:val="5"/>
      </w:numPr>
      <w:tabs>
        <w:tab w:val="left" w:pos="227"/>
        <w:tab w:val="left" w:pos="1021"/>
      </w:tabs>
      <w:spacing w:before="360" w:after="360" w:line="360" w:lineRule="auto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link w:val="Ttulo6Char"/>
    <w:qFormat/>
    <w:rsid w:val="00B0017A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55AF"/>
    <w:pPr>
      <w:widowControl w:val="0"/>
      <w:jc w:val="both"/>
    </w:pPr>
    <w:rPr>
      <w:rFonts w:ascii="Arial" w:hAnsi="Arial"/>
      <w:snapToGrid w:val="0"/>
      <w:sz w:val="24"/>
    </w:rPr>
  </w:style>
  <w:style w:type="character" w:customStyle="1" w:styleId="Ttulo1Char">
    <w:name w:val="Título 1 Char"/>
    <w:basedOn w:val="Fontepargpadro"/>
    <w:link w:val="Ttulo1"/>
    <w:rsid w:val="00B0017A"/>
    <w:rPr>
      <w:rFonts w:ascii="Arial" w:hAnsi="Arial"/>
      <w:b/>
      <w:caps/>
      <w:snapToGrid w:val="0"/>
      <w:kern w:val="28"/>
      <w:sz w:val="24"/>
    </w:rPr>
  </w:style>
  <w:style w:type="character" w:customStyle="1" w:styleId="Ttulo2Char">
    <w:name w:val="Título 2 Char"/>
    <w:basedOn w:val="Fontepargpadro"/>
    <w:link w:val="Ttulo2"/>
    <w:rsid w:val="00B0017A"/>
    <w:rPr>
      <w:rFonts w:ascii="Arial" w:hAnsi="Arial"/>
      <w:caps/>
      <w:snapToGrid w:val="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B0017A"/>
    <w:rPr>
      <w:rFonts w:ascii="Arial" w:hAnsi="Arial"/>
      <w:snapToGrid w:val="0"/>
      <w:sz w:val="24"/>
    </w:rPr>
  </w:style>
  <w:style w:type="character" w:customStyle="1" w:styleId="Ttulo4Char">
    <w:name w:val="Título 4 Char"/>
    <w:basedOn w:val="Fontepargpadro"/>
    <w:link w:val="Ttulo4"/>
    <w:rsid w:val="00B0017A"/>
    <w:rPr>
      <w:rFonts w:ascii="Arial" w:hAnsi="Arial"/>
      <w:snapToGrid w:val="0"/>
      <w:sz w:val="24"/>
    </w:rPr>
  </w:style>
  <w:style w:type="character" w:customStyle="1" w:styleId="Ttulo5Char">
    <w:name w:val="Título 5 Char"/>
    <w:basedOn w:val="Fontepargpadro"/>
    <w:link w:val="Ttulo5"/>
    <w:rsid w:val="00B0017A"/>
    <w:rPr>
      <w:rFonts w:ascii="Arial" w:hAnsi="Arial"/>
      <w:i/>
      <w:snapToGrid w:val="0"/>
      <w:color w:val="000000"/>
      <w:sz w:val="24"/>
    </w:rPr>
  </w:style>
  <w:style w:type="character" w:customStyle="1" w:styleId="Ttulo6Char">
    <w:name w:val="Título 6 Char"/>
    <w:basedOn w:val="Fontepargpadro"/>
    <w:link w:val="Ttulo6"/>
    <w:rsid w:val="00B0017A"/>
    <w:rPr>
      <w:rFonts w:ascii="Arial" w:hAnsi="Arial"/>
      <w:b/>
      <w:caps/>
      <w:snapToGrid w:val="0"/>
      <w:sz w:val="24"/>
    </w:rPr>
  </w:style>
  <w:style w:type="paragraph" w:styleId="Ttulo">
    <w:name w:val="Title"/>
    <w:basedOn w:val="Normal"/>
    <w:next w:val="Normal"/>
    <w:link w:val="TtuloChar"/>
    <w:autoRedefine/>
    <w:qFormat/>
    <w:rsid w:val="00B0017A"/>
    <w:pPr>
      <w:spacing w:before="240" w:after="60" w:line="480" w:lineRule="auto"/>
      <w:outlineLvl w:val="0"/>
    </w:pPr>
    <w:rPr>
      <w:b/>
      <w:bCs/>
      <w:kern w:val="28"/>
      <w:szCs w:val="32"/>
    </w:rPr>
  </w:style>
  <w:style w:type="character" w:customStyle="1" w:styleId="TtuloChar">
    <w:name w:val="Título Char"/>
    <w:link w:val="Ttulo"/>
    <w:rsid w:val="00B0017A"/>
    <w:rPr>
      <w:rFonts w:ascii="Arial" w:hAnsi="Arial"/>
      <w:b/>
      <w:bCs/>
      <w:snapToGrid w:val="0"/>
      <w:kern w:val="28"/>
      <w:sz w:val="24"/>
      <w:szCs w:val="32"/>
    </w:rPr>
  </w:style>
  <w:style w:type="character" w:styleId="Forte">
    <w:name w:val="Strong"/>
    <w:basedOn w:val="Fontepargpadro"/>
    <w:uiPriority w:val="22"/>
    <w:qFormat/>
    <w:rsid w:val="00B0017A"/>
    <w:rPr>
      <w:b/>
      <w:bCs/>
    </w:rPr>
  </w:style>
  <w:style w:type="character" w:styleId="nfase">
    <w:name w:val="Emphasis"/>
    <w:basedOn w:val="Fontepargpadro"/>
    <w:uiPriority w:val="20"/>
    <w:qFormat/>
    <w:rsid w:val="00B0017A"/>
    <w:rPr>
      <w:i/>
      <w:iCs/>
    </w:rPr>
  </w:style>
  <w:style w:type="paragraph" w:styleId="PargrafodaLista">
    <w:name w:val="List Paragraph"/>
    <w:basedOn w:val="Normal"/>
    <w:uiPriority w:val="1"/>
    <w:qFormat/>
    <w:rsid w:val="00B0017A"/>
    <w:pPr>
      <w:widowControl/>
      <w:spacing w:after="160" w:line="259" w:lineRule="auto"/>
      <w:ind w:left="720"/>
      <w:contextualSpacing/>
      <w:jc w:val="left"/>
    </w:pPr>
    <w:rPr>
      <w:rFonts w:ascii="Calibri" w:eastAsia="Calibri" w:hAnsi="Calibri"/>
      <w:snapToGrid/>
      <w:sz w:val="22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B0017A"/>
    <w:pPr>
      <w:keepLines/>
      <w:pageBreakBefore w:val="0"/>
      <w:widowControl/>
      <w:numPr>
        <w:numId w:val="0"/>
      </w:numPr>
      <w:tabs>
        <w:tab w:val="clear" w:pos="227"/>
      </w:tabs>
      <w:spacing w:before="240" w:after="0" w:line="259" w:lineRule="auto"/>
      <w:jc w:val="left"/>
      <w:outlineLvl w:val="9"/>
    </w:pPr>
    <w:rPr>
      <w:rFonts w:ascii="Calibri Light" w:hAnsi="Calibri Light"/>
      <w:b w:val="0"/>
      <w:caps w:val="0"/>
      <w:snapToGrid/>
      <w:color w:val="2E74B5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35E73"/>
    <w:pPr>
      <w:widowControl/>
      <w:spacing w:before="100" w:beforeAutospacing="1" w:after="100" w:afterAutospacing="1"/>
      <w:jc w:val="left"/>
    </w:pPr>
    <w:rPr>
      <w:rFonts w:ascii="Times New Roman" w:hAnsi="Times New Roman"/>
      <w:snapToGrid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3CCF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3CCF"/>
    <w:rPr>
      <w:rFonts w:ascii="Arial" w:hAnsi="Arial"/>
      <w:snapToGrid w:val="0"/>
    </w:rPr>
  </w:style>
  <w:style w:type="character" w:styleId="Refdenotaderodap">
    <w:name w:val="footnote reference"/>
    <w:basedOn w:val="Fontepargpadro"/>
    <w:uiPriority w:val="99"/>
    <w:semiHidden/>
    <w:unhideWhenUsed/>
    <w:rsid w:val="00C33C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F317-433B-44B5-BE2A-50468F19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2117</Words>
  <Characters>11432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Priscila</cp:lastModifiedBy>
  <cp:revision>12</cp:revision>
  <dcterms:created xsi:type="dcterms:W3CDTF">2023-08-15T01:46:00Z</dcterms:created>
  <dcterms:modified xsi:type="dcterms:W3CDTF">2023-08-15T02:11:00Z</dcterms:modified>
</cp:coreProperties>
</file>