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6B2" w:rsidRPr="009B4093" w:rsidRDefault="005A34FF" w:rsidP="005A34FF">
      <w:pPr>
        <w:jc w:val="center"/>
        <w:rPr>
          <w:rFonts w:ascii="Palatino Linotype" w:hAnsi="Palatino Linotype" w:cs="Times New Roman"/>
          <w:b/>
          <w:sz w:val="24"/>
          <w:szCs w:val="24"/>
        </w:rPr>
      </w:pPr>
      <w:r w:rsidRPr="009B4093">
        <w:rPr>
          <w:rFonts w:ascii="Palatino Linotype" w:hAnsi="Palatino Linotype" w:cs="Times New Roman"/>
          <w:b/>
          <w:sz w:val="24"/>
          <w:szCs w:val="24"/>
        </w:rPr>
        <w:t>Necessidade de Modificação da Relação Contratual diante da Covid-19</w:t>
      </w:r>
    </w:p>
    <w:p w:rsidR="005A34FF" w:rsidRPr="009B4093" w:rsidRDefault="005A34FF" w:rsidP="00A63FEF">
      <w:pPr>
        <w:jc w:val="center"/>
        <w:rPr>
          <w:rFonts w:ascii="Palatino Linotype" w:hAnsi="Palatino Linotype" w:cs="Times New Roman"/>
          <w:b/>
          <w:sz w:val="24"/>
          <w:szCs w:val="24"/>
        </w:rPr>
      </w:pPr>
    </w:p>
    <w:p w:rsidR="003E2087" w:rsidRPr="00704CD9" w:rsidRDefault="009B4093" w:rsidP="00704CD9">
      <w:pPr>
        <w:pStyle w:val="PargrafodaLista"/>
        <w:numPr>
          <w:ilvl w:val="0"/>
          <w:numId w:val="4"/>
        </w:numPr>
        <w:pBdr>
          <w:left w:val="single" w:sz="4" w:space="4" w:color="auto"/>
          <w:bottom w:val="single" w:sz="4" w:space="1" w:color="auto"/>
        </w:pBdr>
        <w:jc w:val="both"/>
        <w:rPr>
          <w:rFonts w:ascii="Palatino Linotype" w:hAnsi="Palatino Linotype" w:cs="Times New Roman"/>
          <w:b/>
          <w:sz w:val="24"/>
          <w:szCs w:val="24"/>
        </w:rPr>
      </w:pPr>
      <w:r w:rsidRPr="009B4093">
        <w:rPr>
          <w:rFonts w:ascii="Palatino Linotype" w:hAnsi="Palatino Linotype" w:cs="Times New Roman"/>
          <w:b/>
          <w:sz w:val="24"/>
          <w:szCs w:val="24"/>
        </w:rPr>
        <w:t>Contexto</w:t>
      </w:r>
    </w:p>
    <w:p w:rsidR="002A5D5D" w:rsidRDefault="009B4093" w:rsidP="009B4093">
      <w:pPr>
        <w:ind w:firstLine="1134"/>
        <w:jc w:val="both"/>
        <w:rPr>
          <w:rFonts w:ascii="Palatino Linotype" w:hAnsi="Palatino Linotype" w:cs="Times New Roman"/>
          <w:sz w:val="24"/>
          <w:szCs w:val="24"/>
        </w:rPr>
      </w:pPr>
      <w:r w:rsidRPr="009B4093">
        <w:rPr>
          <w:rFonts w:ascii="Palatino Linotype" w:hAnsi="Palatino Linotype" w:cs="Times New Roman"/>
          <w:sz w:val="24"/>
          <w:szCs w:val="24"/>
        </w:rPr>
        <w:t xml:space="preserve">A pandemia </w:t>
      </w:r>
      <w:r>
        <w:rPr>
          <w:rFonts w:ascii="Palatino Linotype" w:hAnsi="Palatino Linotype" w:cs="Times New Roman"/>
          <w:sz w:val="24"/>
          <w:szCs w:val="24"/>
        </w:rPr>
        <w:t xml:space="preserve">referente à Covid-19 impacta diversos setores da Economia em âmbito internacional, impedindo ou dificultando para </w:t>
      </w:r>
      <w:r w:rsidR="003E2087">
        <w:rPr>
          <w:rFonts w:ascii="Palatino Linotype" w:hAnsi="Palatino Linotype" w:cs="Times New Roman"/>
          <w:sz w:val="24"/>
          <w:szCs w:val="24"/>
        </w:rPr>
        <w:t xml:space="preserve">pessoas </w:t>
      </w:r>
      <w:r>
        <w:rPr>
          <w:rFonts w:ascii="Palatino Linotype" w:hAnsi="Palatino Linotype" w:cs="Times New Roman"/>
          <w:sz w:val="24"/>
          <w:szCs w:val="24"/>
        </w:rPr>
        <w:t>físicas</w:t>
      </w:r>
      <w:r w:rsidR="003E2087">
        <w:rPr>
          <w:rFonts w:ascii="Palatino Linotype" w:hAnsi="Palatino Linotype" w:cs="Times New Roman"/>
          <w:sz w:val="24"/>
          <w:szCs w:val="24"/>
        </w:rPr>
        <w:t xml:space="preserve"> e jurídicas</w:t>
      </w:r>
      <w:r>
        <w:rPr>
          <w:rFonts w:ascii="Palatino Linotype" w:hAnsi="Palatino Linotype" w:cs="Times New Roman"/>
          <w:sz w:val="24"/>
          <w:szCs w:val="24"/>
        </w:rPr>
        <w:t xml:space="preserve"> cumprirem seus contratos.</w:t>
      </w:r>
    </w:p>
    <w:p w:rsidR="00E44804" w:rsidRDefault="00E44804" w:rsidP="009B4093">
      <w:pPr>
        <w:ind w:firstLine="1134"/>
        <w:jc w:val="both"/>
        <w:rPr>
          <w:rFonts w:ascii="Palatino Linotype" w:hAnsi="Palatino Linotype" w:cs="Times New Roman"/>
          <w:sz w:val="24"/>
          <w:szCs w:val="24"/>
        </w:rPr>
      </w:pPr>
      <w:r>
        <w:rPr>
          <w:rFonts w:ascii="Palatino Linotype" w:hAnsi="Palatino Linotype" w:cs="Times New Roman"/>
          <w:sz w:val="24"/>
          <w:szCs w:val="24"/>
        </w:rPr>
        <w:t>A principal causa desse descumprimento é a necessidade de isolamento que visa</w:t>
      </w:r>
      <w:r w:rsidRPr="00584A65">
        <w:rPr>
          <w:rFonts w:ascii="Palatino Linotype" w:hAnsi="Palatino Linotype" w:cs="Times New Roman"/>
          <w:color w:val="000000" w:themeColor="text1"/>
          <w:sz w:val="24"/>
          <w:szCs w:val="24"/>
        </w:rPr>
        <w:t xml:space="preserve"> </w:t>
      </w:r>
      <w:r w:rsidR="0096787D" w:rsidRPr="00584A65">
        <w:rPr>
          <w:rFonts w:ascii="Palatino Linotype" w:hAnsi="Palatino Linotype" w:cs="Times New Roman"/>
          <w:color w:val="000000" w:themeColor="text1"/>
          <w:sz w:val="24"/>
          <w:szCs w:val="24"/>
        </w:rPr>
        <w:t>à</w:t>
      </w:r>
      <w:r w:rsidRPr="00584A65">
        <w:rPr>
          <w:rFonts w:ascii="Palatino Linotype" w:hAnsi="Palatino Linotype" w:cs="Times New Roman"/>
          <w:color w:val="000000" w:themeColor="text1"/>
          <w:sz w:val="24"/>
          <w:szCs w:val="24"/>
        </w:rPr>
        <w:t xml:space="preserve"> </w:t>
      </w:r>
      <w:r>
        <w:rPr>
          <w:rFonts w:ascii="Palatino Linotype" w:hAnsi="Palatino Linotype" w:cs="Times New Roman"/>
          <w:sz w:val="24"/>
          <w:szCs w:val="24"/>
        </w:rPr>
        <w:t>propaga</w:t>
      </w:r>
      <w:r w:rsidR="00584A65">
        <w:rPr>
          <w:rFonts w:ascii="Palatino Linotype" w:hAnsi="Palatino Linotype" w:cs="Times New Roman"/>
          <w:sz w:val="24"/>
          <w:szCs w:val="24"/>
        </w:rPr>
        <w:t xml:space="preserve">ção mais desacelerada do </w:t>
      </w:r>
      <w:r w:rsidR="00584A65" w:rsidRPr="00584A65">
        <w:rPr>
          <w:rFonts w:ascii="Palatino Linotype" w:hAnsi="Palatino Linotype" w:cs="Times New Roman"/>
          <w:color w:val="000000" w:themeColor="text1"/>
          <w:sz w:val="24"/>
          <w:szCs w:val="24"/>
        </w:rPr>
        <w:t>vírus,</w:t>
      </w:r>
      <w:r w:rsidRPr="00584A65">
        <w:rPr>
          <w:rFonts w:ascii="Palatino Linotype" w:hAnsi="Palatino Linotype" w:cs="Times New Roman"/>
          <w:color w:val="000000" w:themeColor="text1"/>
          <w:sz w:val="24"/>
          <w:szCs w:val="24"/>
        </w:rPr>
        <w:t xml:space="preserve"> que, no entanto, tem </w:t>
      </w:r>
      <w:r>
        <w:rPr>
          <w:rFonts w:ascii="Palatino Linotype" w:hAnsi="Palatino Linotype" w:cs="Times New Roman"/>
          <w:sz w:val="24"/>
          <w:szCs w:val="24"/>
        </w:rPr>
        <w:t xml:space="preserve">por consequência a paralização da circulação </w:t>
      </w:r>
      <w:r w:rsidRPr="00704CD9">
        <w:rPr>
          <w:rFonts w:ascii="Palatino Linotype" w:hAnsi="Palatino Linotype" w:cs="Times New Roman"/>
          <w:color w:val="000000" w:themeColor="text1"/>
          <w:sz w:val="24"/>
          <w:szCs w:val="24"/>
        </w:rPr>
        <w:t xml:space="preserve">de </w:t>
      </w:r>
      <w:r w:rsidR="00704CD9" w:rsidRPr="00704CD9">
        <w:rPr>
          <w:rFonts w:ascii="Palatino Linotype" w:hAnsi="Palatino Linotype" w:cs="Times New Roman"/>
          <w:color w:val="000000" w:themeColor="text1"/>
          <w:sz w:val="24"/>
          <w:szCs w:val="24"/>
        </w:rPr>
        <w:t>capital</w:t>
      </w:r>
      <w:r w:rsidRPr="00704CD9">
        <w:rPr>
          <w:rFonts w:ascii="Palatino Linotype" w:hAnsi="Palatino Linotype" w:cs="Times New Roman"/>
          <w:color w:val="000000" w:themeColor="text1"/>
          <w:sz w:val="24"/>
          <w:szCs w:val="24"/>
        </w:rPr>
        <w:t>.</w:t>
      </w:r>
    </w:p>
    <w:p w:rsidR="003E2087" w:rsidRPr="009B4093" w:rsidRDefault="009B4093" w:rsidP="00704CD9">
      <w:pPr>
        <w:ind w:firstLine="1134"/>
        <w:jc w:val="both"/>
        <w:rPr>
          <w:rFonts w:ascii="Palatino Linotype" w:hAnsi="Palatino Linotype" w:cs="Times New Roman"/>
          <w:sz w:val="24"/>
          <w:szCs w:val="24"/>
        </w:rPr>
      </w:pPr>
      <w:r>
        <w:rPr>
          <w:rFonts w:ascii="Palatino Linotype" w:hAnsi="Palatino Linotype" w:cs="Times New Roman"/>
          <w:sz w:val="24"/>
          <w:szCs w:val="24"/>
        </w:rPr>
        <w:t>Diante disso,</w:t>
      </w:r>
      <w:r w:rsidR="009117C4">
        <w:rPr>
          <w:rFonts w:ascii="Palatino Linotype" w:hAnsi="Palatino Linotype" w:cs="Times New Roman"/>
          <w:sz w:val="24"/>
          <w:szCs w:val="24"/>
        </w:rPr>
        <w:t xml:space="preserve"> serão vistos i</w:t>
      </w:r>
      <w:r>
        <w:rPr>
          <w:rFonts w:ascii="Palatino Linotype" w:hAnsi="Palatino Linotype" w:cs="Times New Roman"/>
          <w:sz w:val="24"/>
          <w:szCs w:val="24"/>
        </w:rPr>
        <w:t xml:space="preserve">nstitutos que </w:t>
      </w:r>
      <w:r w:rsidR="009117C4">
        <w:rPr>
          <w:rFonts w:ascii="Palatino Linotype" w:hAnsi="Palatino Linotype" w:cs="Times New Roman"/>
          <w:sz w:val="24"/>
          <w:szCs w:val="24"/>
        </w:rPr>
        <w:t>possibilitem a suavização d</w:t>
      </w:r>
      <w:r>
        <w:rPr>
          <w:rFonts w:ascii="Palatino Linotype" w:hAnsi="Palatino Linotype" w:cs="Times New Roman"/>
          <w:sz w:val="24"/>
          <w:szCs w:val="24"/>
        </w:rPr>
        <w:t xml:space="preserve">o princípio </w:t>
      </w:r>
      <w:r w:rsidRPr="003E2087">
        <w:rPr>
          <w:rFonts w:ascii="Palatino Linotype" w:hAnsi="Palatino Linotype" w:cs="Times New Roman"/>
          <w:i/>
          <w:sz w:val="24"/>
          <w:szCs w:val="24"/>
        </w:rPr>
        <w:t>pacta sunt servanda</w:t>
      </w:r>
      <w:r w:rsidRPr="009B4093">
        <w:rPr>
          <w:rFonts w:ascii="Palatino Linotype" w:hAnsi="Palatino Linotype" w:cs="Times New Roman"/>
          <w:sz w:val="24"/>
          <w:szCs w:val="24"/>
        </w:rPr>
        <w:t xml:space="preserve"> (“os contratos devem ser cumpridos”)</w:t>
      </w:r>
      <w:r w:rsidR="003E2087">
        <w:rPr>
          <w:rFonts w:ascii="Palatino Linotype" w:hAnsi="Palatino Linotype" w:cs="Times New Roman"/>
          <w:sz w:val="24"/>
          <w:szCs w:val="24"/>
        </w:rPr>
        <w:t>, tendo em vista a presente situação de exceção</w:t>
      </w:r>
      <w:r w:rsidR="009117C4">
        <w:rPr>
          <w:rFonts w:ascii="Palatino Linotype" w:hAnsi="Palatino Linotype" w:cs="Times New Roman"/>
          <w:sz w:val="24"/>
          <w:szCs w:val="24"/>
        </w:rPr>
        <w:t>, e sua aplicação</w:t>
      </w:r>
      <w:r w:rsidR="003E2087">
        <w:rPr>
          <w:rFonts w:ascii="Palatino Linotype" w:hAnsi="Palatino Linotype" w:cs="Times New Roman"/>
          <w:sz w:val="24"/>
          <w:szCs w:val="24"/>
        </w:rPr>
        <w:t>.</w:t>
      </w:r>
    </w:p>
    <w:p w:rsidR="002A5D5D" w:rsidRPr="009B4093" w:rsidRDefault="002A5D5D" w:rsidP="002A5D5D">
      <w:pPr>
        <w:jc w:val="both"/>
        <w:rPr>
          <w:rFonts w:ascii="Palatino Linotype" w:hAnsi="Palatino Linotype" w:cs="Times New Roman"/>
          <w:b/>
          <w:sz w:val="24"/>
          <w:szCs w:val="24"/>
        </w:rPr>
      </w:pPr>
    </w:p>
    <w:p w:rsidR="00A63FEF" w:rsidRPr="009B4093" w:rsidRDefault="009B4093" w:rsidP="009B4093">
      <w:pPr>
        <w:pStyle w:val="PargrafodaLista"/>
        <w:numPr>
          <w:ilvl w:val="0"/>
          <w:numId w:val="4"/>
        </w:numPr>
        <w:pBdr>
          <w:left w:val="single" w:sz="4" w:space="4" w:color="auto"/>
          <w:bottom w:val="single" w:sz="4" w:space="1" w:color="auto"/>
        </w:pBdr>
        <w:jc w:val="both"/>
        <w:rPr>
          <w:rFonts w:ascii="Palatino Linotype" w:hAnsi="Palatino Linotype" w:cs="Times New Roman"/>
          <w:b/>
          <w:sz w:val="24"/>
          <w:szCs w:val="24"/>
        </w:rPr>
      </w:pPr>
      <w:r>
        <w:rPr>
          <w:rFonts w:ascii="Palatino Linotype" w:hAnsi="Palatino Linotype" w:cs="Times New Roman"/>
          <w:b/>
          <w:sz w:val="24"/>
          <w:szCs w:val="24"/>
        </w:rPr>
        <w:t>Elementos q</w:t>
      </w:r>
      <w:r w:rsidRPr="009B4093">
        <w:rPr>
          <w:rFonts w:ascii="Palatino Linotype" w:hAnsi="Palatino Linotype" w:cs="Times New Roman"/>
          <w:b/>
          <w:sz w:val="24"/>
          <w:szCs w:val="24"/>
        </w:rPr>
        <w:t xml:space="preserve">ue </w:t>
      </w:r>
      <w:r>
        <w:rPr>
          <w:rFonts w:ascii="Palatino Linotype" w:hAnsi="Palatino Linotype" w:cs="Times New Roman"/>
          <w:b/>
          <w:sz w:val="24"/>
          <w:szCs w:val="24"/>
        </w:rPr>
        <w:t>p</w:t>
      </w:r>
      <w:r w:rsidRPr="009B4093">
        <w:rPr>
          <w:rFonts w:ascii="Palatino Linotype" w:hAnsi="Palatino Linotype" w:cs="Times New Roman"/>
          <w:b/>
          <w:sz w:val="24"/>
          <w:szCs w:val="24"/>
        </w:rPr>
        <w:t xml:space="preserve">recisam </w:t>
      </w:r>
      <w:r>
        <w:rPr>
          <w:rFonts w:ascii="Palatino Linotype" w:hAnsi="Palatino Linotype" w:cs="Times New Roman"/>
          <w:b/>
          <w:sz w:val="24"/>
          <w:szCs w:val="24"/>
        </w:rPr>
        <w:t>r</w:t>
      </w:r>
      <w:r w:rsidRPr="009B4093">
        <w:rPr>
          <w:rFonts w:ascii="Palatino Linotype" w:hAnsi="Palatino Linotype" w:cs="Times New Roman"/>
          <w:b/>
          <w:sz w:val="24"/>
          <w:szCs w:val="24"/>
        </w:rPr>
        <w:t xml:space="preserve">estar </w:t>
      </w:r>
      <w:r>
        <w:rPr>
          <w:rFonts w:ascii="Palatino Linotype" w:hAnsi="Palatino Linotype" w:cs="Times New Roman"/>
          <w:b/>
          <w:sz w:val="24"/>
          <w:szCs w:val="24"/>
        </w:rPr>
        <w:t>d</w:t>
      </w:r>
      <w:r w:rsidRPr="009B4093">
        <w:rPr>
          <w:rFonts w:ascii="Palatino Linotype" w:hAnsi="Palatino Linotype" w:cs="Times New Roman"/>
          <w:b/>
          <w:sz w:val="24"/>
          <w:szCs w:val="24"/>
        </w:rPr>
        <w:t>emonstrados para haver a modificação</w:t>
      </w:r>
    </w:p>
    <w:p w:rsidR="002A5D5D" w:rsidRPr="009B4093" w:rsidRDefault="002A5D5D" w:rsidP="002A5D5D">
      <w:pPr>
        <w:jc w:val="both"/>
        <w:rPr>
          <w:rFonts w:ascii="Palatino Linotype" w:hAnsi="Palatino Linotype" w:cs="Times New Roman"/>
          <w:b/>
          <w:sz w:val="24"/>
          <w:szCs w:val="24"/>
        </w:rPr>
      </w:pPr>
    </w:p>
    <w:p w:rsidR="002A5D5D" w:rsidRPr="009B4093" w:rsidRDefault="00FF6B30" w:rsidP="006F2BD1">
      <w:pPr>
        <w:pStyle w:val="PargrafodaLista"/>
        <w:numPr>
          <w:ilvl w:val="1"/>
          <w:numId w:val="4"/>
        </w:numPr>
        <w:pBdr>
          <w:left w:val="single" w:sz="4" w:space="4" w:color="auto"/>
          <w:bottom w:val="single" w:sz="4" w:space="1" w:color="auto"/>
        </w:pBdr>
        <w:ind w:hanging="508"/>
        <w:jc w:val="both"/>
        <w:rPr>
          <w:rFonts w:ascii="Palatino Linotype" w:hAnsi="Palatino Linotype" w:cs="Times New Roman"/>
          <w:b/>
          <w:sz w:val="24"/>
          <w:szCs w:val="24"/>
        </w:rPr>
      </w:pPr>
      <w:r w:rsidRPr="009B4093">
        <w:rPr>
          <w:rFonts w:ascii="Palatino Linotype" w:hAnsi="Palatino Linotype" w:cs="Times New Roman"/>
          <w:b/>
          <w:sz w:val="24"/>
          <w:szCs w:val="24"/>
        </w:rPr>
        <w:t>Revisão Contratual</w:t>
      </w:r>
      <w:r>
        <w:rPr>
          <w:rFonts w:ascii="Palatino Linotype" w:hAnsi="Palatino Linotype" w:cs="Times New Roman"/>
          <w:b/>
          <w:sz w:val="24"/>
          <w:szCs w:val="24"/>
        </w:rPr>
        <w:t xml:space="preserve"> - </w:t>
      </w:r>
      <w:r w:rsidR="005A34FF" w:rsidRPr="009B4093">
        <w:rPr>
          <w:rFonts w:ascii="Palatino Linotype" w:hAnsi="Palatino Linotype" w:cs="Times New Roman"/>
          <w:b/>
          <w:sz w:val="24"/>
          <w:szCs w:val="24"/>
        </w:rPr>
        <w:t xml:space="preserve">Teoria da Imprevisão </w:t>
      </w:r>
      <w:r w:rsidR="00241610">
        <w:rPr>
          <w:rFonts w:ascii="Palatino Linotype" w:hAnsi="Palatino Linotype" w:cs="Times New Roman"/>
          <w:b/>
          <w:sz w:val="24"/>
          <w:szCs w:val="24"/>
        </w:rPr>
        <w:t>e Onerosidade Excessiva</w:t>
      </w:r>
    </w:p>
    <w:p w:rsidR="00C23B4C" w:rsidRDefault="00C23B4C" w:rsidP="00704CD9">
      <w:pPr>
        <w:ind w:firstLine="1134"/>
        <w:jc w:val="both"/>
        <w:rPr>
          <w:rFonts w:ascii="Palatino Linotype" w:hAnsi="Palatino Linotype" w:cs="Times New Roman"/>
          <w:sz w:val="24"/>
          <w:szCs w:val="24"/>
        </w:rPr>
      </w:pPr>
    </w:p>
    <w:p w:rsidR="002A5D5D" w:rsidRDefault="008D74B3" w:rsidP="00704CD9">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A matéria de revisão contratual por fato superveniente dos contratos civis pode ser encontrada nos artigos </w:t>
      </w:r>
      <w:r w:rsidRPr="00584A65">
        <w:rPr>
          <w:rFonts w:ascii="Palatino Linotype" w:hAnsi="Palatino Linotype" w:cs="Times New Roman"/>
          <w:sz w:val="24"/>
          <w:szCs w:val="24"/>
        </w:rPr>
        <w:t xml:space="preserve">317 e </w:t>
      </w:r>
      <w:r w:rsidR="0096787D" w:rsidRPr="00584A65">
        <w:rPr>
          <w:rFonts w:ascii="Palatino Linotype" w:hAnsi="Palatino Linotype" w:cs="Times New Roman"/>
          <w:color w:val="000000" w:themeColor="text1"/>
          <w:sz w:val="24"/>
          <w:szCs w:val="24"/>
        </w:rPr>
        <w:t xml:space="preserve">478 </w:t>
      </w:r>
      <w:r w:rsidRPr="00584A65">
        <w:rPr>
          <w:rFonts w:ascii="Palatino Linotype" w:hAnsi="Palatino Linotype" w:cs="Times New Roman"/>
          <w:sz w:val="24"/>
          <w:szCs w:val="24"/>
        </w:rPr>
        <w:t>do</w:t>
      </w:r>
      <w:r>
        <w:rPr>
          <w:rFonts w:ascii="Palatino Linotype" w:hAnsi="Palatino Linotype" w:cs="Times New Roman"/>
          <w:sz w:val="24"/>
          <w:szCs w:val="24"/>
        </w:rPr>
        <w:t xml:space="preserve"> Código Civil Brasileiro, de 2002. </w:t>
      </w:r>
      <w:r w:rsidR="00704CD9" w:rsidRPr="00704CD9">
        <w:rPr>
          <w:rFonts w:ascii="Palatino Linotype" w:hAnsi="Palatino Linotype" w:cs="Times New Roman"/>
          <w:sz w:val="24"/>
          <w:szCs w:val="24"/>
        </w:rPr>
        <w:t xml:space="preserve">A </w:t>
      </w:r>
      <w:r w:rsidR="009540CB">
        <w:rPr>
          <w:rFonts w:ascii="Palatino Linotype" w:hAnsi="Palatino Linotype" w:cs="Times New Roman"/>
          <w:sz w:val="24"/>
          <w:szCs w:val="24"/>
        </w:rPr>
        <w:t xml:space="preserve">Teoria </w:t>
      </w:r>
      <w:r w:rsidR="0096787D" w:rsidRPr="00584A65">
        <w:rPr>
          <w:rFonts w:ascii="Palatino Linotype" w:hAnsi="Palatino Linotype" w:cs="Times New Roman"/>
          <w:color w:val="000000" w:themeColor="text1"/>
          <w:sz w:val="24"/>
          <w:szCs w:val="24"/>
        </w:rPr>
        <w:t>da</w:t>
      </w:r>
      <w:r w:rsidR="009540CB" w:rsidRPr="00584A65">
        <w:rPr>
          <w:rFonts w:ascii="Palatino Linotype" w:hAnsi="Palatino Linotype" w:cs="Times New Roman"/>
          <w:color w:val="000000" w:themeColor="text1"/>
          <w:sz w:val="24"/>
          <w:szCs w:val="24"/>
        </w:rPr>
        <w:t xml:space="preserve"> </w:t>
      </w:r>
      <w:r w:rsidR="009540CB">
        <w:rPr>
          <w:rFonts w:ascii="Palatino Linotype" w:hAnsi="Palatino Linotype" w:cs="Times New Roman"/>
          <w:sz w:val="24"/>
          <w:szCs w:val="24"/>
        </w:rPr>
        <w:t>Impr</w:t>
      </w:r>
      <w:r>
        <w:rPr>
          <w:rFonts w:ascii="Palatino Linotype" w:hAnsi="Palatino Linotype" w:cs="Times New Roman"/>
          <w:sz w:val="24"/>
          <w:szCs w:val="24"/>
        </w:rPr>
        <w:t>evisão</w:t>
      </w:r>
      <w:r w:rsidR="009540CB">
        <w:rPr>
          <w:rFonts w:ascii="Palatino Linotype" w:hAnsi="Palatino Linotype" w:cs="Times New Roman"/>
          <w:sz w:val="24"/>
          <w:szCs w:val="24"/>
        </w:rPr>
        <w:t xml:space="preserve"> </w:t>
      </w:r>
      <w:r>
        <w:rPr>
          <w:rFonts w:ascii="Palatino Linotype" w:hAnsi="Palatino Linotype" w:cs="Times New Roman"/>
          <w:sz w:val="24"/>
          <w:szCs w:val="24"/>
        </w:rPr>
        <w:t>no artigo 317</w:t>
      </w:r>
      <w:r w:rsidR="009540CB">
        <w:rPr>
          <w:rFonts w:ascii="Palatino Linotype" w:hAnsi="Palatino Linotype" w:cs="Times New Roman"/>
          <w:sz w:val="24"/>
          <w:szCs w:val="24"/>
        </w:rPr>
        <w:t>:</w:t>
      </w:r>
    </w:p>
    <w:p w:rsidR="009540CB" w:rsidRPr="009540CB" w:rsidRDefault="009540CB" w:rsidP="005D6A7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2268"/>
        <w:jc w:val="both"/>
        <w:rPr>
          <w:rFonts w:ascii="Palatino Linotype" w:hAnsi="Palatino Linotype" w:cs="Times New Roman"/>
          <w:sz w:val="20"/>
          <w:szCs w:val="20"/>
        </w:rPr>
      </w:pPr>
      <w:r w:rsidRPr="009540CB">
        <w:rPr>
          <w:rFonts w:ascii="Palatino Linotype" w:hAnsi="Palatino Linotype" w:cs="Times New Roman"/>
          <w:b/>
          <w:sz w:val="20"/>
          <w:szCs w:val="20"/>
        </w:rPr>
        <w:t>Art. 317</w:t>
      </w:r>
      <w:r w:rsidRPr="009540CB">
        <w:rPr>
          <w:rFonts w:ascii="Palatino Linotype" w:hAnsi="Palatino Linotype" w:cs="Times New Roman"/>
          <w:sz w:val="20"/>
          <w:szCs w:val="20"/>
        </w:rPr>
        <w:t>. Quando, por motivos imprevisíveis, sobrevier desproporção manifesta entre o valor da prestação devida e o do momento de sua execução, poderá o juiz corrigi-lo, a pedido da parte, de modo que assegure, quanto possível, o valor real da prestação.</w:t>
      </w:r>
    </w:p>
    <w:p w:rsidR="00A25473" w:rsidRPr="008D74B3" w:rsidRDefault="008D74B3" w:rsidP="003E1136">
      <w:pPr>
        <w:ind w:firstLine="1134"/>
        <w:jc w:val="both"/>
        <w:rPr>
          <w:rFonts w:ascii="Palatino Linotype" w:hAnsi="Palatino Linotype" w:cs="Times New Roman"/>
          <w:b/>
          <w:sz w:val="24"/>
          <w:szCs w:val="24"/>
        </w:rPr>
      </w:pPr>
      <w:r>
        <w:rPr>
          <w:rFonts w:ascii="Palatino Linotype" w:hAnsi="Palatino Linotype" w:cs="Times New Roman"/>
          <w:sz w:val="24"/>
          <w:szCs w:val="24"/>
        </w:rPr>
        <w:t xml:space="preserve">O dispositivo próprio da Extinção de Contratos </w:t>
      </w:r>
      <w:r w:rsidR="00241610">
        <w:rPr>
          <w:rFonts w:ascii="Palatino Linotype" w:hAnsi="Palatino Linotype" w:cs="Times New Roman"/>
          <w:sz w:val="24"/>
          <w:szCs w:val="24"/>
        </w:rPr>
        <w:t xml:space="preserve">e Onerosidade Excessiva </w:t>
      </w:r>
      <w:r>
        <w:rPr>
          <w:rFonts w:ascii="Palatino Linotype" w:hAnsi="Palatino Linotype" w:cs="Times New Roman"/>
          <w:sz w:val="24"/>
          <w:szCs w:val="24"/>
        </w:rPr>
        <w:t>no artigo 478</w:t>
      </w:r>
      <w:r w:rsidRPr="008D74B3">
        <w:rPr>
          <w:rFonts w:ascii="Palatino Linotype" w:hAnsi="Palatino Linotype" w:cs="Times New Roman"/>
          <w:sz w:val="24"/>
          <w:szCs w:val="24"/>
        </w:rPr>
        <w:t>:</w:t>
      </w:r>
    </w:p>
    <w:p w:rsidR="008D74B3" w:rsidRPr="008D74B3" w:rsidRDefault="008D74B3" w:rsidP="005D6A7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2268"/>
        <w:jc w:val="both"/>
        <w:rPr>
          <w:rFonts w:ascii="Palatino Linotype" w:hAnsi="Palatino Linotype" w:cs="Times New Roman"/>
          <w:sz w:val="20"/>
          <w:szCs w:val="20"/>
        </w:rPr>
      </w:pPr>
      <w:r w:rsidRPr="008D74B3">
        <w:rPr>
          <w:rFonts w:ascii="Palatino Linotype" w:hAnsi="Palatino Linotype" w:cs="Times New Roman"/>
          <w:b/>
          <w:sz w:val="20"/>
          <w:szCs w:val="20"/>
        </w:rPr>
        <w:t>Art. 478.</w:t>
      </w:r>
      <w:r w:rsidRPr="008D74B3">
        <w:rPr>
          <w:rFonts w:ascii="Palatino Linotype" w:hAnsi="Palatino Linotype" w:cs="Times New Roman"/>
          <w:sz w:val="20"/>
          <w:szCs w:val="20"/>
        </w:rPr>
        <w:t xml:space="preserve"> Nos contratos de execução continuada ou diferida, se a prestação de uma das partes se tornar excessivamente onerosa, com extrema vantagem para a outra, em virtude de acontecimentos extraordinários e imprevisíveis, poderá o devedor pedir a resolução do contrato. Os efeitos da sentença que a decretar retroagirão à data da citação.</w:t>
      </w:r>
    </w:p>
    <w:p w:rsidR="008D74B3" w:rsidRDefault="008D74B3" w:rsidP="003E1136">
      <w:pPr>
        <w:ind w:firstLine="1134"/>
        <w:jc w:val="both"/>
        <w:rPr>
          <w:rFonts w:ascii="Palatino Linotype" w:hAnsi="Palatino Linotype" w:cs="Times New Roman"/>
          <w:sz w:val="24"/>
          <w:szCs w:val="24"/>
        </w:rPr>
      </w:pPr>
      <w:r>
        <w:rPr>
          <w:rFonts w:ascii="Palatino Linotype" w:hAnsi="Palatino Linotype" w:cs="Times New Roman"/>
          <w:sz w:val="24"/>
          <w:szCs w:val="24"/>
        </w:rPr>
        <w:t>No entanto, de acordo com o jurista Flávio Tartuce</w:t>
      </w:r>
      <w:r w:rsidR="003E3FCA">
        <w:rPr>
          <w:rStyle w:val="Refdenotaderodap"/>
          <w:rFonts w:ascii="Palatino Linotype" w:hAnsi="Palatino Linotype" w:cs="Times New Roman"/>
          <w:sz w:val="24"/>
          <w:szCs w:val="24"/>
        </w:rPr>
        <w:footnoteReference w:id="1"/>
      </w:r>
      <w:r>
        <w:rPr>
          <w:rFonts w:ascii="Palatino Linotype" w:hAnsi="Palatino Linotype" w:cs="Times New Roman"/>
          <w:sz w:val="24"/>
          <w:szCs w:val="24"/>
        </w:rPr>
        <w:t xml:space="preserve">, destaca-se que para a maioria da doutrina, a última norma também pode ser utilizada para a revisão do contrato e, nesse sentido, encontra-se o Enunciado n. 176 do CJF/STJ, da </w:t>
      </w:r>
      <w:r w:rsidRPr="003E3FCA">
        <w:rPr>
          <w:rFonts w:ascii="Palatino Linotype" w:hAnsi="Palatino Linotype" w:cs="Times New Roman"/>
          <w:i/>
          <w:sz w:val="24"/>
          <w:szCs w:val="24"/>
        </w:rPr>
        <w:t>III Jornada de Direito Civil</w:t>
      </w:r>
      <w:r>
        <w:rPr>
          <w:rFonts w:ascii="Palatino Linotype" w:hAnsi="Palatino Linotype" w:cs="Times New Roman"/>
          <w:sz w:val="24"/>
          <w:szCs w:val="24"/>
        </w:rPr>
        <w:t xml:space="preserve"> </w:t>
      </w:r>
      <w:r>
        <w:rPr>
          <w:rFonts w:ascii="Palatino Linotype" w:hAnsi="Palatino Linotype" w:cs="Times New Roman"/>
          <w:sz w:val="24"/>
          <w:szCs w:val="24"/>
        </w:rPr>
        <w:lastRenderedPageBreak/>
        <w:t>(“Em atenção ao princípio da conservação dos negócios jurídicos, o artigo 478 do CC/2002 deverá condu</w:t>
      </w:r>
      <w:r w:rsidR="003E3FCA">
        <w:rPr>
          <w:rFonts w:ascii="Palatino Linotype" w:hAnsi="Palatino Linotype" w:cs="Times New Roman"/>
          <w:sz w:val="24"/>
          <w:szCs w:val="24"/>
        </w:rPr>
        <w:t>z</w:t>
      </w:r>
      <w:r>
        <w:rPr>
          <w:rFonts w:ascii="Palatino Linotype" w:hAnsi="Palatino Linotype" w:cs="Times New Roman"/>
          <w:sz w:val="24"/>
          <w:szCs w:val="24"/>
        </w:rPr>
        <w:t>ir, sempre que possível, à revisão judicial dos contratos e não à resolução contratual”).</w:t>
      </w:r>
    </w:p>
    <w:p w:rsidR="003E3FCA" w:rsidRDefault="003E3FCA" w:rsidP="003E1136">
      <w:pPr>
        <w:ind w:firstLine="1134"/>
        <w:jc w:val="both"/>
        <w:rPr>
          <w:rFonts w:ascii="Palatino Linotype" w:hAnsi="Palatino Linotype" w:cs="Times New Roman"/>
          <w:sz w:val="24"/>
          <w:szCs w:val="24"/>
        </w:rPr>
      </w:pPr>
      <w:r>
        <w:rPr>
          <w:rFonts w:ascii="Palatino Linotype" w:hAnsi="Palatino Linotype" w:cs="Times New Roman"/>
          <w:sz w:val="24"/>
          <w:szCs w:val="24"/>
        </w:rPr>
        <w:t>Além disso, Tartuce também elenca os requisitos para que ocorra a revisão dos contratos civis</w:t>
      </w:r>
      <w:r w:rsidR="00C23B4C">
        <w:rPr>
          <w:rStyle w:val="Refdenotaderodap"/>
          <w:rFonts w:ascii="Palatino Linotype" w:hAnsi="Palatino Linotype" w:cs="Times New Roman"/>
          <w:sz w:val="24"/>
          <w:szCs w:val="24"/>
        </w:rPr>
        <w:footnoteReference w:id="2"/>
      </w:r>
      <w:r>
        <w:rPr>
          <w:rFonts w:ascii="Palatino Linotype" w:hAnsi="Palatino Linotype" w:cs="Times New Roman"/>
          <w:sz w:val="24"/>
          <w:szCs w:val="24"/>
        </w:rPr>
        <w:t>, tendo por base os artigos mencionados, e o posicionamento clássico e consolidado da doutrina civilista, a seguir, de forma resumida:</w:t>
      </w:r>
    </w:p>
    <w:p w:rsidR="003E3FCA" w:rsidRDefault="003E3FCA" w:rsidP="003E3FCA">
      <w:pPr>
        <w:pStyle w:val="PargrafodaLista"/>
        <w:numPr>
          <w:ilvl w:val="0"/>
          <w:numId w:val="6"/>
        </w:numPr>
        <w:jc w:val="both"/>
        <w:rPr>
          <w:rFonts w:ascii="Palatino Linotype" w:hAnsi="Palatino Linotype" w:cs="Times New Roman"/>
          <w:sz w:val="24"/>
          <w:szCs w:val="24"/>
        </w:rPr>
      </w:pPr>
      <w:r w:rsidRPr="000D35CE">
        <w:rPr>
          <w:rFonts w:ascii="Palatino Linotype" w:hAnsi="Palatino Linotype" w:cs="Times New Roman"/>
          <w:b/>
          <w:sz w:val="24"/>
          <w:szCs w:val="24"/>
        </w:rPr>
        <w:t>1º Requisito:</w:t>
      </w:r>
      <w:r>
        <w:rPr>
          <w:rFonts w:ascii="Palatino Linotype" w:hAnsi="Palatino Linotype" w:cs="Times New Roman"/>
          <w:sz w:val="24"/>
          <w:szCs w:val="24"/>
        </w:rPr>
        <w:t xml:space="preserve"> o contrato deve ser, em regra, bilateral ou sinalagmático;</w:t>
      </w:r>
    </w:p>
    <w:p w:rsidR="003E3FCA" w:rsidRDefault="003E3FCA" w:rsidP="003E3FCA">
      <w:pPr>
        <w:pStyle w:val="PargrafodaLista"/>
        <w:numPr>
          <w:ilvl w:val="0"/>
          <w:numId w:val="6"/>
        </w:numPr>
        <w:jc w:val="both"/>
        <w:rPr>
          <w:rFonts w:ascii="Palatino Linotype" w:hAnsi="Palatino Linotype" w:cs="Times New Roman"/>
          <w:sz w:val="24"/>
          <w:szCs w:val="24"/>
        </w:rPr>
      </w:pPr>
      <w:r w:rsidRPr="000D35CE">
        <w:rPr>
          <w:rFonts w:ascii="Palatino Linotype" w:hAnsi="Palatino Linotype" w:cs="Times New Roman"/>
          <w:b/>
          <w:sz w:val="24"/>
          <w:szCs w:val="24"/>
        </w:rPr>
        <w:t>2º</w:t>
      </w:r>
      <w:r w:rsidR="00EC307A">
        <w:rPr>
          <w:rFonts w:ascii="Palatino Linotype" w:hAnsi="Palatino Linotype" w:cs="Times New Roman"/>
          <w:b/>
          <w:sz w:val="24"/>
          <w:szCs w:val="24"/>
        </w:rPr>
        <w:t xml:space="preserve"> </w:t>
      </w:r>
      <w:r w:rsidRPr="000D35CE">
        <w:rPr>
          <w:rFonts w:ascii="Palatino Linotype" w:hAnsi="Palatino Linotype" w:cs="Times New Roman"/>
          <w:b/>
          <w:sz w:val="24"/>
          <w:szCs w:val="24"/>
        </w:rPr>
        <w:t>Requisito:</w:t>
      </w:r>
      <w:r>
        <w:rPr>
          <w:rFonts w:ascii="Palatino Linotype" w:hAnsi="Palatino Linotype" w:cs="Times New Roman"/>
          <w:sz w:val="24"/>
          <w:szCs w:val="24"/>
        </w:rPr>
        <w:t xml:space="preserve"> o contrato deve ser oneroso,</w:t>
      </w:r>
      <w:r w:rsidR="000D35CE">
        <w:rPr>
          <w:rFonts w:ascii="Palatino Linotype" w:hAnsi="Palatino Linotype" w:cs="Times New Roman"/>
          <w:sz w:val="24"/>
          <w:szCs w:val="24"/>
        </w:rPr>
        <w:t xml:space="preserve"> com prestação e contraprestação,</w:t>
      </w:r>
      <w:r>
        <w:rPr>
          <w:rFonts w:ascii="Palatino Linotype" w:hAnsi="Palatino Linotype" w:cs="Times New Roman"/>
          <w:sz w:val="24"/>
          <w:szCs w:val="24"/>
        </w:rPr>
        <w:t xml:space="preserve"> </w:t>
      </w:r>
      <w:r w:rsidR="000D35CE">
        <w:rPr>
          <w:rFonts w:ascii="Palatino Linotype" w:hAnsi="Palatino Linotype" w:cs="Times New Roman"/>
          <w:sz w:val="24"/>
          <w:szCs w:val="24"/>
        </w:rPr>
        <w:t>para que a eventual onerosidade excessiva esteja presente;</w:t>
      </w:r>
    </w:p>
    <w:p w:rsidR="000D35CE" w:rsidRDefault="000D35CE" w:rsidP="003E3FCA">
      <w:pPr>
        <w:pStyle w:val="PargrafodaLista"/>
        <w:numPr>
          <w:ilvl w:val="0"/>
          <w:numId w:val="6"/>
        </w:numPr>
        <w:jc w:val="both"/>
        <w:rPr>
          <w:rFonts w:ascii="Palatino Linotype" w:hAnsi="Palatino Linotype" w:cs="Times New Roman"/>
          <w:sz w:val="24"/>
          <w:szCs w:val="24"/>
        </w:rPr>
      </w:pPr>
      <w:r w:rsidRPr="000D35CE">
        <w:rPr>
          <w:rFonts w:ascii="Palatino Linotype" w:hAnsi="Palatino Linotype" w:cs="Times New Roman"/>
          <w:b/>
          <w:sz w:val="24"/>
          <w:szCs w:val="24"/>
        </w:rPr>
        <w:t>3º Requisito:</w:t>
      </w:r>
      <w:r>
        <w:rPr>
          <w:rFonts w:ascii="Palatino Linotype" w:hAnsi="Palatino Linotype" w:cs="Times New Roman"/>
          <w:sz w:val="24"/>
          <w:szCs w:val="24"/>
        </w:rPr>
        <w:t xml:space="preserve"> deve assumir o negócio a forma comutativa, tendo as partes envolvidas ciência quanto às prestações. Ainda é possível, nos contratos aleatórios, a revisão ou resolução por excessiva onerosidade, desde que o evento superveniente, extraordinário e imprevisível não se relacione à álea assumida no contrato, de acordo com o Enunciado n. 440, da </w:t>
      </w:r>
      <w:r w:rsidRPr="000D35CE">
        <w:rPr>
          <w:rFonts w:ascii="Palatino Linotype" w:hAnsi="Palatino Linotype" w:cs="Times New Roman"/>
          <w:i/>
          <w:sz w:val="24"/>
          <w:szCs w:val="24"/>
        </w:rPr>
        <w:t>V Jornada de Direito Civil</w:t>
      </w:r>
      <w:r>
        <w:rPr>
          <w:rFonts w:ascii="Palatino Linotype" w:hAnsi="Palatino Linotype" w:cs="Times New Roman"/>
          <w:sz w:val="24"/>
          <w:szCs w:val="24"/>
        </w:rPr>
        <w:t>;</w:t>
      </w:r>
    </w:p>
    <w:p w:rsidR="000D35CE" w:rsidRDefault="000D35CE" w:rsidP="003E3FCA">
      <w:pPr>
        <w:pStyle w:val="PargrafodaLista"/>
        <w:numPr>
          <w:ilvl w:val="0"/>
          <w:numId w:val="6"/>
        </w:numPr>
        <w:jc w:val="both"/>
        <w:rPr>
          <w:rFonts w:ascii="Palatino Linotype" w:hAnsi="Palatino Linotype" w:cs="Times New Roman"/>
          <w:sz w:val="24"/>
          <w:szCs w:val="24"/>
        </w:rPr>
      </w:pPr>
      <w:r>
        <w:rPr>
          <w:rFonts w:ascii="Palatino Linotype" w:hAnsi="Palatino Linotype" w:cs="Times New Roman"/>
          <w:b/>
          <w:sz w:val="24"/>
          <w:szCs w:val="24"/>
        </w:rPr>
        <w:t>4º Requisito:</w:t>
      </w:r>
      <w:r>
        <w:rPr>
          <w:rFonts w:ascii="Palatino Linotype" w:hAnsi="Palatino Linotype" w:cs="Times New Roman"/>
          <w:sz w:val="24"/>
          <w:szCs w:val="24"/>
        </w:rPr>
        <w:t xml:space="preserve"> o contrato deve ser de exe</w:t>
      </w:r>
      <w:r w:rsidR="008647B8">
        <w:rPr>
          <w:rFonts w:ascii="Palatino Linotype" w:hAnsi="Palatino Linotype" w:cs="Times New Roman"/>
          <w:sz w:val="24"/>
          <w:szCs w:val="24"/>
        </w:rPr>
        <w:t>c</w:t>
      </w:r>
      <w:r>
        <w:rPr>
          <w:rFonts w:ascii="Palatino Linotype" w:hAnsi="Palatino Linotype" w:cs="Times New Roman"/>
          <w:sz w:val="24"/>
          <w:szCs w:val="24"/>
        </w:rPr>
        <w:t xml:space="preserve">ução diferida, ou de </w:t>
      </w:r>
      <w:r w:rsidR="004B3951">
        <w:rPr>
          <w:rFonts w:ascii="Palatino Linotype" w:hAnsi="Palatino Linotype" w:cs="Times New Roman"/>
          <w:sz w:val="24"/>
          <w:szCs w:val="24"/>
        </w:rPr>
        <w:t>t</w:t>
      </w:r>
      <w:r>
        <w:rPr>
          <w:rFonts w:ascii="Palatino Linotype" w:hAnsi="Palatino Linotype" w:cs="Times New Roman"/>
          <w:sz w:val="24"/>
          <w:szCs w:val="24"/>
        </w:rPr>
        <w:t>rato sucessivo, ou seja, deve ainda gerar efeitos no tempo</w:t>
      </w:r>
      <w:r w:rsidR="008647B8">
        <w:rPr>
          <w:rFonts w:ascii="Palatino Linotype" w:hAnsi="Palatino Linotype" w:cs="Times New Roman"/>
          <w:sz w:val="24"/>
          <w:szCs w:val="24"/>
        </w:rPr>
        <w:t>, porém, em casos excepcionais, admite-se a revisão d</w:t>
      </w:r>
      <w:r w:rsidR="00241610">
        <w:rPr>
          <w:rFonts w:ascii="Palatino Linotype" w:hAnsi="Palatino Linotype" w:cs="Times New Roman"/>
          <w:sz w:val="24"/>
          <w:szCs w:val="24"/>
        </w:rPr>
        <w:t>e</w:t>
      </w:r>
      <w:r w:rsidR="008647B8">
        <w:rPr>
          <w:rFonts w:ascii="Palatino Linotype" w:hAnsi="Palatino Linotype" w:cs="Times New Roman"/>
          <w:sz w:val="24"/>
          <w:szCs w:val="24"/>
        </w:rPr>
        <w:t xml:space="preserve"> negócios concretizados;</w:t>
      </w:r>
    </w:p>
    <w:p w:rsidR="00241610" w:rsidRPr="00241610" w:rsidRDefault="008647B8" w:rsidP="00241610">
      <w:pPr>
        <w:pStyle w:val="PargrafodaLista"/>
        <w:numPr>
          <w:ilvl w:val="0"/>
          <w:numId w:val="6"/>
        </w:numPr>
        <w:jc w:val="both"/>
        <w:rPr>
          <w:rFonts w:ascii="Palatino Linotype" w:hAnsi="Palatino Linotype" w:cs="Times New Roman"/>
          <w:b/>
          <w:sz w:val="24"/>
          <w:szCs w:val="24"/>
        </w:rPr>
      </w:pPr>
      <w:r w:rsidRPr="008647B8">
        <w:rPr>
          <w:rFonts w:ascii="Palatino Linotype" w:hAnsi="Palatino Linotype" w:cs="Times New Roman"/>
          <w:b/>
          <w:sz w:val="24"/>
          <w:szCs w:val="24"/>
        </w:rPr>
        <w:t xml:space="preserve">5º Requisito: </w:t>
      </w:r>
      <w:r w:rsidRPr="00584A65">
        <w:rPr>
          <w:rFonts w:ascii="Palatino Linotype" w:hAnsi="Palatino Linotype" w:cs="Times New Roman"/>
          <w:color w:val="000000" w:themeColor="text1"/>
          <w:sz w:val="24"/>
          <w:szCs w:val="24"/>
        </w:rPr>
        <w:t>Exige-se um motivo imprevisível (artigo 317) ou acontecimento</w:t>
      </w:r>
      <w:r w:rsidR="00584A65" w:rsidRPr="00584A65">
        <w:rPr>
          <w:rFonts w:ascii="Palatino Linotype" w:hAnsi="Palatino Linotype" w:cs="Times New Roman"/>
          <w:color w:val="000000" w:themeColor="text1"/>
          <w:sz w:val="24"/>
          <w:szCs w:val="24"/>
        </w:rPr>
        <w:t>s</w:t>
      </w:r>
      <w:r w:rsidR="00241610" w:rsidRPr="00584A65">
        <w:rPr>
          <w:rFonts w:ascii="Palatino Linotype" w:hAnsi="Palatino Linotype" w:cs="Times New Roman"/>
          <w:color w:val="000000" w:themeColor="text1"/>
          <w:sz w:val="24"/>
          <w:szCs w:val="24"/>
        </w:rPr>
        <w:t xml:space="preserve"> imprevisívei</w:t>
      </w:r>
      <w:r w:rsidR="0096787D" w:rsidRPr="00584A65">
        <w:rPr>
          <w:rFonts w:ascii="Palatino Linotype" w:hAnsi="Palatino Linotype" w:cs="Times New Roman"/>
          <w:color w:val="000000" w:themeColor="text1"/>
          <w:sz w:val="24"/>
          <w:szCs w:val="24"/>
        </w:rPr>
        <w:t>s</w:t>
      </w:r>
      <w:r w:rsidR="00241610" w:rsidRPr="00584A65">
        <w:rPr>
          <w:rFonts w:ascii="Palatino Linotype" w:hAnsi="Palatino Linotype" w:cs="Times New Roman"/>
          <w:color w:val="000000" w:themeColor="text1"/>
          <w:sz w:val="24"/>
          <w:szCs w:val="24"/>
        </w:rPr>
        <w:t xml:space="preserve"> </w:t>
      </w:r>
      <w:r w:rsidR="00241610">
        <w:rPr>
          <w:rFonts w:ascii="Palatino Linotype" w:hAnsi="Palatino Linotype" w:cs="Times New Roman"/>
          <w:sz w:val="24"/>
          <w:szCs w:val="24"/>
        </w:rPr>
        <w:t>e extraordinários (artigo 478). O Enunciado n. 366, do CJF/STJ afirma que: “o fato extraordinário e imprevisível causador de onerosidade excessiva é aquele que não está coberto objetivamente pelos riscos da contrataçã</w:t>
      </w:r>
      <w:r w:rsidR="00241610" w:rsidRPr="00584A65">
        <w:rPr>
          <w:rFonts w:ascii="Palatino Linotype" w:hAnsi="Palatino Linotype" w:cs="Times New Roman"/>
          <w:color w:val="000000" w:themeColor="text1"/>
          <w:sz w:val="24"/>
          <w:szCs w:val="24"/>
        </w:rPr>
        <w:t>o”</w:t>
      </w:r>
      <w:r w:rsidR="00584A65">
        <w:rPr>
          <w:rFonts w:ascii="Palatino Linotype" w:hAnsi="Palatino Linotype" w:cs="Times New Roman"/>
          <w:sz w:val="24"/>
          <w:szCs w:val="24"/>
        </w:rPr>
        <w:t>,</w:t>
      </w:r>
      <w:r w:rsidR="00241610" w:rsidRPr="00584A65">
        <w:rPr>
          <w:rFonts w:ascii="Palatino Linotype" w:hAnsi="Palatino Linotype" w:cs="Times New Roman"/>
          <w:sz w:val="24"/>
          <w:szCs w:val="24"/>
        </w:rPr>
        <w:t xml:space="preserve"> </w:t>
      </w:r>
      <w:r w:rsidR="00241610">
        <w:rPr>
          <w:rFonts w:ascii="Palatino Linotype" w:hAnsi="Palatino Linotype" w:cs="Times New Roman"/>
          <w:sz w:val="24"/>
          <w:szCs w:val="24"/>
        </w:rPr>
        <w:t>na presente situação, enquadra-se a pandemia ocasionada pel</w:t>
      </w:r>
      <w:r w:rsidR="00C23B4C">
        <w:rPr>
          <w:rFonts w:ascii="Palatino Linotype" w:hAnsi="Palatino Linotype" w:cs="Times New Roman"/>
          <w:sz w:val="24"/>
          <w:szCs w:val="24"/>
        </w:rPr>
        <w:t>o</w:t>
      </w:r>
      <w:r w:rsidR="00241610">
        <w:rPr>
          <w:rFonts w:ascii="Palatino Linotype" w:hAnsi="Palatino Linotype" w:cs="Times New Roman"/>
          <w:sz w:val="24"/>
          <w:szCs w:val="24"/>
        </w:rPr>
        <w:t xml:space="preserve"> </w:t>
      </w:r>
      <w:r w:rsidR="00BE6D2C">
        <w:rPr>
          <w:rFonts w:ascii="Palatino Linotype" w:hAnsi="Palatino Linotype" w:cs="Times New Roman"/>
          <w:sz w:val="24"/>
          <w:szCs w:val="24"/>
        </w:rPr>
        <w:t xml:space="preserve">novo </w:t>
      </w:r>
      <w:r w:rsidR="007F3D2F">
        <w:rPr>
          <w:rFonts w:ascii="Palatino Linotype" w:hAnsi="Palatino Linotype" w:cs="Times New Roman"/>
          <w:sz w:val="24"/>
          <w:szCs w:val="24"/>
        </w:rPr>
        <w:t>coronavírus</w:t>
      </w:r>
      <w:r w:rsidR="00241610">
        <w:rPr>
          <w:rFonts w:ascii="Palatino Linotype" w:hAnsi="Palatino Linotype" w:cs="Times New Roman"/>
          <w:sz w:val="24"/>
          <w:szCs w:val="24"/>
        </w:rPr>
        <w:t>;</w:t>
      </w:r>
    </w:p>
    <w:p w:rsidR="00241610" w:rsidRPr="00241610" w:rsidRDefault="00241610" w:rsidP="00241610">
      <w:pPr>
        <w:pStyle w:val="PargrafodaLista"/>
        <w:numPr>
          <w:ilvl w:val="0"/>
          <w:numId w:val="6"/>
        </w:numPr>
        <w:jc w:val="both"/>
        <w:rPr>
          <w:rFonts w:ascii="Palatino Linotype" w:hAnsi="Palatino Linotype" w:cs="Times New Roman"/>
          <w:b/>
          <w:sz w:val="24"/>
          <w:szCs w:val="24"/>
        </w:rPr>
      </w:pPr>
      <w:r>
        <w:rPr>
          <w:rFonts w:ascii="Palatino Linotype" w:hAnsi="Palatino Linotype" w:cs="Times New Roman"/>
          <w:b/>
          <w:sz w:val="24"/>
          <w:szCs w:val="24"/>
        </w:rPr>
        <w:t xml:space="preserve">6º Requisito: </w:t>
      </w:r>
      <w:r>
        <w:rPr>
          <w:rFonts w:ascii="Palatino Linotype" w:hAnsi="Palatino Linotype" w:cs="Times New Roman"/>
          <w:sz w:val="24"/>
          <w:szCs w:val="24"/>
        </w:rPr>
        <w:t>para que a revisão judi</w:t>
      </w:r>
      <w:r w:rsidR="00862D20">
        <w:rPr>
          <w:rFonts w:ascii="Palatino Linotype" w:hAnsi="Palatino Linotype" w:cs="Times New Roman"/>
          <w:sz w:val="24"/>
          <w:szCs w:val="24"/>
        </w:rPr>
        <w:t>c</w:t>
      </w:r>
      <w:r>
        <w:rPr>
          <w:rFonts w:ascii="Palatino Linotype" w:hAnsi="Palatino Linotype" w:cs="Times New Roman"/>
          <w:sz w:val="24"/>
          <w:szCs w:val="24"/>
        </w:rPr>
        <w:t xml:space="preserve">ial por fato imprevisto seja possível, deve estar presente a onerosidade excessiva, situação desfavorável a uma das partes da avença, </w:t>
      </w:r>
      <w:r w:rsidR="00862D20">
        <w:rPr>
          <w:rFonts w:ascii="Palatino Linotype" w:hAnsi="Palatino Linotype" w:cs="Times New Roman"/>
          <w:sz w:val="24"/>
          <w:szCs w:val="24"/>
        </w:rPr>
        <w:t>normalmente a mais fraca ou vulnerável, que assumiu o compromisso obrigacional.</w:t>
      </w:r>
    </w:p>
    <w:p w:rsidR="00862D20" w:rsidRDefault="00862D20" w:rsidP="003E1136">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Essa onerosidade excessiva é denominada por Álvaro Villaça Azevedo como </w:t>
      </w:r>
      <w:r w:rsidRPr="00862D20">
        <w:rPr>
          <w:rFonts w:ascii="Palatino Linotype" w:hAnsi="Palatino Linotype" w:cs="Times New Roman"/>
          <w:i/>
          <w:sz w:val="24"/>
          <w:szCs w:val="24"/>
        </w:rPr>
        <w:t>lesão objetiva</w:t>
      </w:r>
      <w:r>
        <w:rPr>
          <w:rFonts w:ascii="Palatino Linotype" w:hAnsi="Palatino Linotype" w:cs="Times New Roman"/>
          <w:sz w:val="24"/>
          <w:szCs w:val="24"/>
        </w:rPr>
        <w:t xml:space="preserve"> ou </w:t>
      </w:r>
      <w:r w:rsidRPr="00862D20">
        <w:rPr>
          <w:rFonts w:ascii="Palatino Linotype" w:hAnsi="Palatino Linotype" w:cs="Times New Roman"/>
          <w:i/>
          <w:sz w:val="24"/>
          <w:szCs w:val="24"/>
        </w:rPr>
        <w:t>lesão enorme</w:t>
      </w:r>
      <w:r>
        <w:rPr>
          <w:rStyle w:val="Refdenotaderodap"/>
          <w:rFonts w:ascii="Palatino Linotype" w:hAnsi="Palatino Linotype" w:cs="Times New Roman"/>
          <w:i/>
          <w:sz w:val="24"/>
          <w:szCs w:val="24"/>
        </w:rPr>
        <w:footnoteReference w:id="3"/>
      </w:r>
      <w:r>
        <w:rPr>
          <w:rFonts w:ascii="Palatino Linotype" w:hAnsi="Palatino Linotype" w:cs="Times New Roman"/>
          <w:i/>
          <w:sz w:val="24"/>
          <w:szCs w:val="24"/>
        </w:rPr>
        <w:t xml:space="preserve">. </w:t>
      </w:r>
      <w:r>
        <w:rPr>
          <w:rFonts w:ascii="Palatino Linotype" w:hAnsi="Palatino Linotype" w:cs="Times New Roman"/>
          <w:sz w:val="24"/>
          <w:szCs w:val="24"/>
        </w:rPr>
        <w:t>O fator onerosidade, a fundamentar a revisão ou mesmo a resolução do contrato</w:t>
      </w:r>
      <w:r w:rsidR="00584A65">
        <w:rPr>
          <w:rFonts w:ascii="Palatino Linotype" w:hAnsi="Palatino Linotype" w:cs="Times New Roman"/>
          <w:sz w:val="24"/>
          <w:szCs w:val="24"/>
        </w:rPr>
        <w:t>,</w:t>
      </w:r>
      <w:r>
        <w:rPr>
          <w:rFonts w:ascii="Palatino Linotype" w:hAnsi="Palatino Linotype" w:cs="Times New Roman"/>
          <w:sz w:val="24"/>
          <w:szCs w:val="24"/>
        </w:rPr>
        <w:t xml:space="preserve"> não precisa de prova </w:t>
      </w:r>
      <w:r w:rsidR="00BE6D2C">
        <w:rPr>
          <w:rFonts w:ascii="Palatino Linotype" w:hAnsi="Palatino Linotype" w:cs="Times New Roman"/>
          <w:sz w:val="24"/>
          <w:szCs w:val="24"/>
        </w:rPr>
        <w:t>de que uma das partes auferiu vantagens</w:t>
      </w:r>
      <w:r>
        <w:rPr>
          <w:rFonts w:ascii="Palatino Linotype" w:hAnsi="Palatino Linotype" w:cs="Times New Roman"/>
          <w:sz w:val="24"/>
          <w:szCs w:val="24"/>
        </w:rPr>
        <w:t>, bastando a prova do prejuízo e do desequilíbrio negocial.</w:t>
      </w:r>
    </w:p>
    <w:p w:rsidR="00455258" w:rsidRDefault="00862D20" w:rsidP="003E1136">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Nesse sentido, foi aprovado na </w:t>
      </w:r>
      <w:r w:rsidRPr="00767369">
        <w:rPr>
          <w:rFonts w:ascii="Palatino Linotype" w:hAnsi="Palatino Linotype" w:cs="Times New Roman"/>
          <w:i/>
          <w:sz w:val="24"/>
          <w:szCs w:val="24"/>
        </w:rPr>
        <w:t>IV Jornada de Direito Civil</w:t>
      </w:r>
      <w:r w:rsidR="00EC307A">
        <w:rPr>
          <w:rFonts w:ascii="Palatino Linotype" w:hAnsi="Palatino Linotype" w:cs="Times New Roman"/>
          <w:sz w:val="24"/>
          <w:szCs w:val="24"/>
        </w:rPr>
        <w:t xml:space="preserve"> o Enunciado n. 365</w:t>
      </w:r>
      <w:r>
        <w:rPr>
          <w:rFonts w:ascii="Palatino Linotype" w:hAnsi="Palatino Linotype" w:cs="Times New Roman"/>
          <w:sz w:val="24"/>
          <w:szCs w:val="24"/>
        </w:rPr>
        <w:t xml:space="preserve"> do CJF/STJ “</w:t>
      </w:r>
      <w:r w:rsidR="00767369">
        <w:rPr>
          <w:rFonts w:ascii="Palatino Linotype" w:hAnsi="Palatino Linotype" w:cs="Times New Roman"/>
          <w:sz w:val="24"/>
          <w:szCs w:val="24"/>
        </w:rPr>
        <w:t xml:space="preserve">a extrema vantagem do artigo 478 deve ser interpretada como elemento acidental </w:t>
      </w:r>
      <w:r w:rsidR="00767369">
        <w:rPr>
          <w:rFonts w:ascii="Palatino Linotype" w:hAnsi="Palatino Linotype" w:cs="Times New Roman"/>
          <w:sz w:val="24"/>
          <w:szCs w:val="24"/>
        </w:rPr>
        <w:lastRenderedPageBreak/>
        <w:t xml:space="preserve">da alteração de circunstâncias, que comporta a incidência da </w:t>
      </w:r>
      <w:r w:rsidR="00767369" w:rsidRPr="003E1136">
        <w:rPr>
          <w:rFonts w:ascii="Palatino Linotype" w:hAnsi="Palatino Linotype" w:cs="Times New Roman"/>
          <w:sz w:val="24"/>
          <w:szCs w:val="24"/>
        </w:rPr>
        <w:t>resolução ou revisão do negócio por onerosidade excessiva, independentemente de sua demonstração plena”.</w:t>
      </w:r>
    </w:p>
    <w:p w:rsidR="00267325" w:rsidRPr="00267325" w:rsidRDefault="00267325" w:rsidP="003E1136">
      <w:pPr>
        <w:ind w:firstLine="1134"/>
        <w:jc w:val="both"/>
        <w:rPr>
          <w:rFonts w:ascii="Palatino Linotype" w:hAnsi="Palatino Linotype" w:cs="Times New Roman"/>
          <w:sz w:val="24"/>
          <w:szCs w:val="24"/>
        </w:rPr>
      </w:pPr>
    </w:p>
    <w:p w:rsidR="00267325" w:rsidRPr="00267325" w:rsidRDefault="00267325" w:rsidP="006F2BD1">
      <w:pPr>
        <w:pBdr>
          <w:left w:val="single" w:sz="4" w:space="4" w:color="auto"/>
          <w:bottom w:val="single" w:sz="4" w:space="1" w:color="auto"/>
        </w:pBdr>
        <w:ind w:left="567"/>
        <w:jc w:val="both"/>
        <w:rPr>
          <w:rFonts w:ascii="Palatino Linotype" w:hAnsi="Palatino Linotype" w:cs="Times New Roman"/>
          <w:b/>
          <w:sz w:val="24"/>
          <w:szCs w:val="24"/>
        </w:rPr>
      </w:pPr>
      <w:r w:rsidRPr="00267325">
        <w:rPr>
          <w:rFonts w:ascii="Palatino Linotype" w:hAnsi="Palatino Linotype" w:cs="Times New Roman"/>
          <w:b/>
          <w:sz w:val="24"/>
          <w:szCs w:val="24"/>
        </w:rPr>
        <w:t xml:space="preserve">2.1.1. </w:t>
      </w:r>
      <w:r>
        <w:rPr>
          <w:rFonts w:ascii="Palatino Linotype" w:hAnsi="Palatino Linotype" w:cs="Times New Roman"/>
          <w:b/>
          <w:sz w:val="24"/>
          <w:szCs w:val="24"/>
        </w:rPr>
        <w:t>A Revisão Contratual por Fato Superveniente no Código de Defesa do Consumidor</w:t>
      </w:r>
    </w:p>
    <w:p w:rsidR="00C23B4C" w:rsidRDefault="00C23B4C" w:rsidP="00C23B4C">
      <w:pPr>
        <w:ind w:left="360" w:firstLine="774"/>
        <w:jc w:val="both"/>
        <w:rPr>
          <w:rFonts w:ascii="Palatino Linotype" w:hAnsi="Palatino Linotype" w:cs="Times New Roman"/>
          <w:sz w:val="24"/>
          <w:szCs w:val="24"/>
        </w:rPr>
      </w:pPr>
    </w:p>
    <w:p w:rsidR="00267325" w:rsidRDefault="00267325" w:rsidP="00267325">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No artigo 6º, V, da Lei 8.078/1990, que instituiu o Código </w:t>
      </w:r>
      <w:r w:rsidR="00A15D80">
        <w:rPr>
          <w:rFonts w:ascii="Palatino Linotype" w:hAnsi="Palatino Linotype" w:cs="Times New Roman"/>
          <w:sz w:val="24"/>
          <w:szCs w:val="24"/>
        </w:rPr>
        <w:t>d</w:t>
      </w:r>
      <w:r>
        <w:rPr>
          <w:rFonts w:ascii="Palatino Linotype" w:hAnsi="Palatino Linotype" w:cs="Times New Roman"/>
          <w:sz w:val="24"/>
          <w:szCs w:val="24"/>
        </w:rPr>
        <w:t>e Defesa do Consumidor</w:t>
      </w:r>
      <w:r w:rsidR="00EC307A">
        <w:rPr>
          <w:rFonts w:ascii="Palatino Linotype" w:hAnsi="Palatino Linotype" w:cs="Times New Roman"/>
          <w:sz w:val="24"/>
          <w:szCs w:val="24"/>
        </w:rPr>
        <w:t>, a seguir:</w:t>
      </w:r>
    </w:p>
    <w:p w:rsidR="005D6A75" w:rsidRDefault="00EC307A" w:rsidP="005D6A75">
      <w:pPr>
        <w:pBdr>
          <w:top w:val="single" w:sz="4" w:space="1" w:color="auto"/>
          <w:left w:val="single" w:sz="4" w:space="4" w:color="auto"/>
          <w:bottom w:val="single" w:sz="4" w:space="1" w:color="auto"/>
          <w:right w:val="single" w:sz="4" w:space="4" w:color="auto"/>
          <w:bar w:val="single" w:sz="4" w:color="auto"/>
        </w:pBdr>
        <w:spacing w:line="240" w:lineRule="auto"/>
        <w:ind w:left="2268"/>
        <w:jc w:val="both"/>
        <w:rPr>
          <w:rFonts w:ascii="Palatino Linotype" w:hAnsi="Palatino Linotype" w:cs="Times New Roman"/>
          <w:sz w:val="20"/>
          <w:szCs w:val="20"/>
        </w:rPr>
      </w:pPr>
      <w:r w:rsidRPr="00EC307A">
        <w:rPr>
          <w:rFonts w:ascii="Palatino Linotype" w:hAnsi="Palatino Linotype" w:cs="Times New Roman"/>
          <w:b/>
          <w:sz w:val="20"/>
          <w:szCs w:val="20"/>
        </w:rPr>
        <w:t>Art. 6º.</w:t>
      </w:r>
      <w:r w:rsidRPr="00EC307A">
        <w:rPr>
          <w:rFonts w:ascii="Palatino Linotype" w:hAnsi="Palatino Linotype" w:cs="Times New Roman"/>
          <w:sz w:val="20"/>
          <w:szCs w:val="20"/>
        </w:rPr>
        <w:t xml:space="preserve"> São direitos básicos do consumidor:</w:t>
      </w:r>
      <w:r>
        <w:rPr>
          <w:rFonts w:ascii="Palatino Linotype" w:hAnsi="Palatino Linotype" w:cs="Times New Roman"/>
          <w:sz w:val="20"/>
          <w:szCs w:val="20"/>
        </w:rPr>
        <w:t xml:space="preserve"> (...)</w:t>
      </w:r>
    </w:p>
    <w:p w:rsidR="00EC307A" w:rsidRPr="00EC307A" w:rsidRDefault="00EC307A" w:rsidP="005D6A75">
      <w:pPr>
        <w:pBdr>
          <w:top w:val="single" w:sz="4" w:space="1" w:color="auto"/>
          <w:left w:val="single" w:sz="4" w:space="4" w:color="auto"/>
          <w:bottom w:val="single" w:sz="4" w:space="1" w:color="auto"/>
          <w:right w:val="single" w:sz="4" w:space="4" w:color="auto"/>
          <w:bar w:val="single" w:sz="4" w:color="auto"/>
        </w:pBdr>
        <w:spacing w:line="240" w:lineRule="auto"/>
        <w:ind w:left="2268"/>
        <w:jc w:val="both"/>
        <w:rPr>
          <w:rFonts w:ascii="Palatino Linotype" w:hAnsi="Palatino Linotype" w:cs="Times New Roman"/>
          <w:sz w:val="20"/>
          <w:szCs w:val="20"/>
        </w:rPr>
      </w:pPr>
      <w:r w:rsidRPr="00EC307A">
        <w:rPr>
          <w:rFonts w:ascii="Palatino Linotype" w:hAnsi="Palatino Linotype" w:cs="Times New Roman"/>
          <w:b/>
          <w:sz w:val="20"/>
          <w:szCs w:val="20"/>
        </w:rPr>
        <w:t>V -</w:t>
      </w:r>
      <w:r w:rsidRPr="00EC307A">
        <w:rPr>
          <w:rFonts w:ascii="Palatino Linotype" w:hAnsi="Palatino Linotype" w:cs="Times New Roman"/>
          <w:sz w:val="20"/>
          <w:szCs w:val="20"/>
        </w:rPr>
        <w:t xml:space="preserve"> a modificação das cláusulas contratuais que estabeleçam prestações desproporcionais ou sua revisão em razão de fatos supervenientes que as tornem excessivamente onerosas;</w:t>
      </w:r>
    </w:p>
    <w:p w:rsidR="00267325" w:rsidRDefault="00EC307A" w:rsidP="00EC307A">
      <w:pPr>
        <w:ind w:firstLine="1134"/>
        <w:jc w:val="both"/>
        <w:rPr>
          <w:rFonts w:ascii="Palatino Linotype" w:hAnsi="Palatino Linotype" w:cs="Times New Roman"/>
          <w:sz w:val="24"/>
          <w:szCs w:val="24"/>
        </w:rPr>
      </w:pPr>
      <w:r>
        <w:rPr>
          <w:rFonts w:ascii="Palatino Linotype" w:hAnsi="Palatino Linotype" w:cs="Times New Roman"/>
          <w:sz w:val="24"/>
          <w:szCs w:val="24"/>
        </w:rPr>
        <w:t>É perceptível que na esfera contratual</w:t>
      </w:r>
      <w:r w:rsidR="00C768A2">
        <w:rPr>
          <w:rFonts w:ascii="Palatino Linotype" w:hAnsi="Palatino Linotype" w:cs="Times New Roman"/>
          <w:sz w:val="24"/>
          <w:szCs w:val="24"/>
        </w:rPr>
        <w:t xml:space="preserve"> o CDC inseriu no sistema a regra de que mesmo uma simples onerosidade excessiva ao consumidor poderá ensejar a chamada revisão contratual por fato superveniente.</w:t>
      </w:r>
    </w:p>
    <w:p w:rsidR="00C768A2" w:rsidRDefault="00120544" w:rsidP="00EC307A">
      <w:pPr>
        <w:ind w:firstLine="1134"/>
        <w:jc w:val="both"/>
        <w:rPr>
          <w:rFonts w:ascii="Palatino Linotype" w:hAnsi="Palatino Linotype" w:cs="Times New Roman"/>
          <w:sz w:val="24"/>
          <w:szCs w:val="24"/>
        </w:rPr>
      </w:pPr>
      <w:r>
        <w:rPr>
          <w:rFonts w:ascii="Palatino Linotype" w:hAnsi="Palatino Linotype" w:cs="Times New Roman"/>
          <w:sz w:val="24"/>
          <w:szCs w:val="24"/>
        </w:rPr>
        <w:t>Logo, nota-se</w:t>
      </w:r>
      <w:r w:rsidR="00C768A2">
        <w:rPr>
          <w:rFonts w:ascii="Palatino Linotype" w:hAnsi="Palatino Linotype" w:cs="Times New Roman"/>
          <w:sz w:val="24"/>
          <w:szCs w:val="24"/>
        </w:rPr>
        <w:t xml:space="preserve"> que o </w:t>
      </w:r>
      <w:r w:rsidR="00A15D80">
        <w:rPr>
          <w:rFonts w:ascii="Palatino Linotype" w:hAnsi="Palatino Linotype" w:cs="Times New Roman"/>
          <w:sz w:val="24"/>
          <w:szCs w:val="24"/>
        </w:rPr>
        <w:t>dispositivo supramencionado</w:t>
      </w:r>
      <w:r w:rsidR="00C768A2">
        <w:rPr>
          <w:rFonts w:ascii="Palatino Linotype" w:hAnsi="Palatino Linotype" w:cs="Times New Roman"/>
          <w:sz w:val="24"/>
          <w:szCs w:val="24"/>
        </w:rPr>
        <w:t xml:space="preserve"> não fez menção a eventos imprevisíveis ou extraordinários, não tendo, portanto, adotado a Teoria da Imprevisão. Bastaria um fato novo, superveniente, que gerasse o desequilíbrio, e, na esteira desse posicionamento, afirma-se que o Código de Defesa do Consumidor adotou a teoria da base objetiva do negócio jurídico</w:t>
      </w:r>
      <w:r w:rsidR="00C768A2">
        <w:rPr>
          <w:rStyle w:val="Refdenotaderodap"/>
          <w:rFonts w:ascii="Palatino Linotype" w:hAnsi="Palatino Linotype" w:cs="Times New Roman"/>
          <w:sz w:val="24"/>
          <w:szCs w:val="24"/>
        </w:rPr>
        <w:footnoteReference w:id="4"/>
      </w:r>
      <w:r w:rsidR="00C768A2">
        <w:rPr>
          <w:rFonts w:ascii="Palatino Linotype" w:hAnsi="Palatino Linotype" w:cs="Times New Roman"/>
          <w:sz w:val="24"/>
          <w:szCs w:val="24"/>
        </w:rPr>
        <w:t>.</w:t>
      </w:r>
    </w:p>
    <w:p w:rsidR="00EC307A" w:rsidRPr="003E1136" w:rsidRDefault="00EC307A" w:rsidP="00EC307A">
      <w:pPr>
        <w:ind w:firstLine="1134"/>
        <w:jc w:val="both"/>
        <w:rPr>
          <w:rFonts w:ascii="Palatino Linotype" w:hAnsi="Palatino Linotype" w:cs="Times New Roman"/>
          <w:sz w:val="24"/>
          <w:szCs w:val="24"/>
        </w:rPr>
      </w:pPr>
    </w:p>
    <w:p w:rsidR="000D35CE" w:rsidRPr="003E1136" w:rsidRDefault="00FF6B30" w:rsidP="006F2BD1">
      <w:pPr>
        <w:pStyle w:val="PargrafodaLista"/>
        <w:numPr>
          <w:ilvl w:val="1"/>
          <w:numId w:val="4"/>
        </w:numPr>
        <w:pBdr>
          <w:left w:val="single" w:sz="4" w:space="4" w:color="auto"/>
          <w:bottom w:val="single" w:sz="4" w:space="1" w:color="auto"/>
        </w:pBdr>
        <w:ind w:left="567" w:hanging="283"/>
        <w:jc w:val="both"/>
        <w:rPr>
          <w:rFonts w:ascii="Palatino Linotype" w:hAnsi="Palatino Linotype" w:cs="Times New Roman"/>
          <w:b/>
          <w:sz w:val="24"/>
          <w:szCs w:val="24"/>
        </w:rPr>
      </w:pPr>
      <w:r w:rsidRPr="003E1136">
        <w:rPr>
          <w:rFonts w:ascii="Palatino Linotype" w:hAnsi="Palatino Linotype" w:cs="Times New Roman"/>
          <w:b/>
          <w:sz w:val="24"/>
          <w:szCs w:val="24"/>
        </w:rPr>
        <w:t>Extinção Contratual</w:t>
      </w:r>
      <w:r>
        <w:rPr>
          <w:rFonts w:ascii="Palatino Linotype" w:hAnsi="Palatino Linotype" w:cs="Times New Roman"/>
          <w:b/>
          <w:sz w:val="24"/>
          <w:szCs w:val="24"/>
        </w:rPr>
        <w:t xml:space="preserve"> - </w:t>
      </w:r>
      <w:r w:rsidR="009B4093" w:rsidRPr="003E1136">
        <w:rPr>
          <w:rFonts w:ascii="Palatino Linotype" w:hAnsi="Palatino Linotype" w:cs="Times New Roman"/>
          <w:b/>
          <w:sz w:val="24"/>
          <w:szCs w:val="24"/>
        </w:rPr>
        <w:t>Caso Fortuito ou Força Maior</w:t>
      </w:r>
    </w:p>
    <w:p w:rsidR="000D35CE" w:rsidRPr="000423CE" w:rsidRDefault="000D35CE" w:rsidP="003E1136">
      <w:pPr>
        <w:ind w:firstLine="1134"/>
        <w:jc w:val="both"/>
        <w:rPr>
          <w:rFonts w:ascii="Palatino Linotype" w:hAnsi="Palatino Linotype" w:cs="Times New Roman"/>
          <w:sz w:val="24"/>
          <w:szCs w:val="24"/>
        </w:rPr>
      </w:pPr>
    </w:p>
    <w:p w:rsidR="003E1136" w:rsidRDefault="00291245" w:rsidP="003E1136">
      <w:pPr>
        <w:ind w:firstLine="1134"/>
        <w:jc w:val="both"/>
        <w:rPr>
          <w:rFonts w:ascii="Palatino Linotype" w:hAnsi="Palatino Linotype" w:cs="Times New Roman"/>
          <w:sz w:val="24"/>
          <w:szCs w:val="24"/>
        </w:rPr>
      </w:pPr>
      <w:r>
        <w:rPr>
          <w:rFonts w:ascii="Palatino Linotype" w:hAnsi="Palatino Linotype" w:cs="Times New Roman"/>
          <w:sz w:val="24"/>
          <w:szCs w:val="24"/>
        </w:rPr>
        <w:t>O Código Civil de 2002</w:t>
      </w:r>
      <w:r w:rsidR="00120544">
        <w:rPr>
          <w:rFonts w:ascii="Palatino Linotype" w:hAnsi="Palatino Linotype" w:cs="Times New Roman"/>
          <w:sz w:val="24"/>
          <w:szCs w:val="24"/>
        </w:rPr>
        <w:t xml:space="preserve"> trata da matéria de Extinção de Contratos entre os artigos 472 a 480 de modo que constam quatro formas básicas de extinção de contratos, sendo elas: </w:t>
      </w:r>
    </w:p>
    <w:p w:rsidR="00120544" w:rsidRDefault="00291D51" w:rsidP="00120544">
      <w:pPr>
        <w:pStyle w:val="PargrafodaLista"/>
        <w:numPr>
          <w:ilvl w:val="0"/>
          <w:numId w:val="8"/>
        </w:numPr>
        <w:jc w:val="both"/>
        <w:rPr>
          <w:rFonts w:ascii="Palatino Linotype" w:hAnsi="Palatino Linotype" w:cs="Times New Roman"/>
          <w:sz w:val="24"/>
          <w:szCs w:val="24"/>
        </w:rPr>
      </w:pPr>
      <w:r>
        <w:rPr>
          <w:rFonts w:ascii="Palatino Linotype" w:hAnsi="Palatino Linotype" w:cs="Times New Roman"/>
          <w:sz w:val="24"/>
          <w:szCs w:val="24"/>
        </w:rPr>
        <w:t>Extinção normal do contrato;</w:t>
      </w:r>
    </w:p>
    <w:p w:rsidR="00291D51" w:rsidRDefault="00291D51" w:rsidP="00120544">
      <w:pPr>
        <w:pStyle w:val="PargrafodaLista"/>
        <w:numPr>
          <w:ilvl w:val="0"/>
          <w:numId w:val="8"/>
        </w:numPr>
        <w:jc w:val="both"/>
        <w:rPr>
          <w:rFonts w:ascii="Palatino Linotype" w:hAnsi="Palatino Linotype" w:cs="Times New Roman"/>
          <w:sz w:val="24"/>
          <w:szCs w:val="24"/>
        </w:rPr>
      </w:pPr>
      <w:r>
        <w:rPr>
          <w:rFonts w:ascii="Palatino Linotype" w:hAnsi="Palatino Linotype" w:cs="Times New Roman"/>
          <w:sz w:val="24"/>
          <w:szCs w:val="24"/>
        </w:rPr>
        <w:t>Extinção por fatos anteriores à celebração;</w:t>
      </w:r>
    </w:p>
    <w:p w:rsidR="00291D51" w:rsidRDefault="00291D51" w:rsidP="00120544">
      <w:pPr>
        <w:pStyle w:val="PargrafodaLista"/>
        <w:numPr>
          <w:ilvl w:val="0"/>
          <w:numId w:val="8"/>
        </w:numPr>
        <w:jc w:val="both"/>
        <w:rPr>
          <w:rFonts w:ascii="Palatino Linotype" w:hAnsi="Palatino Linotype" w:cs="Times New Roman"/>
          <w:sz w:val="24"/>
          <w:szCs w:val="24"/>
        </w:rPr>
      </w:pPr>
      <w:r>
        <w:rPr>
          <w:rFonts w:ascii="Palatino Linotype" w:hAnsi="Palatino Linotype" w:cs="Times New Roman"/>
          <w:sz w:val="24"/>
          <w:szCs w:val="24"/>
        </w:rPr>
        <w:t>Extinção por fatos posteriores à celebração;</w:t>
      </w:r>
    </w:p>
    <w:p w:rsidR="00291D51" w:rsidRDefault="00291D51" w:rsidP="00120544">
      <w:pPr>
        <w:pStyle w:val="PargrafodaLista"/>
        <w:numPr>
          <w:ilvl w:val="0"/>
          <w:numId w:val="8"/>
        </w:numPr>
        <w:jc w:val="both"/>
        <w:rPr>
          <w:rFonts w:ascii="Palatino Linotype" w:hAnsi="Palatino Linotype" w:cs="Times New Roman"/>
          <w:sz w:val="24"/>
          <w:szCs w:val="24"/>
        </w:rPr>
      </w:pPr>
      <w:r>
        <w:rPr>
          <w:rFonts w:ascii="Palatino Linotype" w:hAnsi="Palatino Linotype" w:cs="Times New Roman"/>
          <w:sz w:val="24"/>
          <w:szCs w:val="24"/>
        </w:rPr>
        <w:t>Extinção por morte.</w:t>
      </w:r>
    </w:p>
    <w:p w:rsidR="00E3485D" w:rsidRPr="00E3485D" w:rsidRDefault="00291D51" w:rsidP="00E3485D">
      <w:pPr>
        <w:ind w:firstLine="1134"/>
        <w:jc w:val="both"/>
        <w:rPr>
          <w:rFonts w:ascii="Palatino Linotype" w:hAnsi="Palatino Linotype" w:cs="Times New Roman"/>
          <w:sz w:val="24"/>
          <w:szCs w:val="24"/>
        </w:rPr>
      </w:pPr>
      <w:r>
        <w:rPr>
          <w:rFonts w:ascii="Palatino Linotype" w:hAnsi="Palatino Linotype" w:cs="Times New Roman"/>
          <w:sz w:val="24"/>
          <w:szCs w:val="24"/>
        </w:rPr>
        <w:t>Tendo em vista que a situação de exceção trazida pela pandemia Covid-19 se adequaria como um fato posterior</w:t>
      </w:r>
      <w:r w:rsidR="00AD7983">
        <w:rPr>
          <w:rFonts w:ascii="Palatino Linotype" w:hAnsi="Palatino Linotype" w:cs="Times New Roman"/>
          <w:sz w:val="24"/>
          <w:szCs w:val="24"/>
        </w:rPr>
        <w:t xml:space="preserve"> ou superveniente</w:t>
      </w:r>
      <w:r>
        <w:rPr>
          <w:rFonts w:ascii="Palatino Linotype" w:hAnsi="Palatino Linotype" w:cs="Times New Roman"/>
          <w:sz w:val="24"/>
          <w:szCs w:val="24"/>
        </w:rPr>
        <w:t xml:space="preserve"> à celebração do contrato, é somente esta forma que será abordada a seguir.</w:t>
      </w:r>
    </w:p>
    <w:p w:rsidR="00E3485D" w:rsidRPr="00E3485D" w:rsidRDefault="00E3485D" w:rsidP="00E3485D">
      <w:pPr>
        <w:pBdr>
          <w:left w:val="single" w:sz="4" w:space="4" w:color="auto"/>
          <w:bottom w:val="single" w:sz="4" w:space="1" w:color="auto"/>
        </w:pBdr>
        <w:ind w:left="567"/>
        <w:jc w:val="both"/>
        <w:rPr>
          <w:rFonts w:ascii="Palatino Linotype" w:hAnsi="Palatino Linotype" w:cs="Times New Roman"/>
          <w:b/>
          <w:sz w:val="24"/>
          <w:szCs w:val="24"/>
        </w:rPr>
      </w:pPr>
      <w:r>
        <w:rPr>
          <w:rFonts w:ascii="Palatino Linotype" w:hAnsi="Palatino Linotype" w:cs="Times New Roman"/>
          <w:b/>
          <w:sz w:val="24"/>
          <w:szCs w:val="24"/>
        </w:rPr>
        <w:lastRenderedPageBreak/>
        <w:t>2.2.1. Rescisão Contratual</w:t>
      </w:r>
    </w:p>
    <w:p w:rsidR="00E3485D" w:rsidRDefault="00E3485D" w:rsidP="00291D51">
      <w:pPr>
        <w:ind w:firstLine="1134"/>
        <w:jc w:val="both"/>
        <w:rPr>
          <w:rFonts w:ascii="Palatino Linotype" w:hAnsi="Palatino Linotype" w:cs="Times New Roman"/>
          <w:sz w:val="24"/>
          <w:szCs w:val="24"/>
        </w:rPr>
      </w:pPr>
    </w:p>
    <w:p w:rsidR="003E1136" w:rsidRDefault="00F30B6E" w:rsidP="0035680F">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Nesse </w:t>
      </w:r>
      <w:r w:rsidR="00AD7983">
        <w:rPr>
          <w:rFonts w:ascii="Palatino Linotype" w:hAnsi="Palatino Linotype" w:cs="Times New Roman"/>
          <w:sz w:val="24"/>
          <w:szCs w:val="24"/>
        </w:rPr>
        <w:t>caso, tendo uma das partes sofrido prejuízo, fala-se em rescisão contratual, que pode ser uma resolução, na qual a ex</w:t>
      </w:r>
      <w:r w:rsidR="009E7748">
        <w:rPr>
          <w:rFonts w:ascii="Palatino Linotype" w:hAnsi="Palatino Linotype" w:cs="Times New Roman"/>
          <w:sz w:val="24"/>
          <w:szCs w:val="24"/>
        </w:rPr>
        <w:t>tinção se dá por descumprimento;</w:t>
      </w:r>
      <w:r w:rsidR="00AD7983">
        <w:rPr>
          <w:rFonts w:ascii="Palatino Linotype" w:hAnsi="Palatino Linotype" w:cs="Times New Roman"/>
          <w:sz w:val="24"/>
          <w:szCs w:val="24"/>
        </w:rPr>
        <w:t xml:space="preserve"> ou resilição, na qual a </w:t>
      </w:r>
      <w:r w:rsidR="00AD7983" w:rsidRPr="00AD7983">
        <w:rPr>
          <w:rFonts w:ascii="Palatino Linotype" w:hAnsi="Palatino Linotype" w:cs="Times New Roman"/>
          <w:sz w:val="24"/>
          <w:szCs w:val="24"/>
        </w:rPr>
        <w:t>dissolução se daria por vontade bilateral ou unilateral, quando admissível por lei</w:t>
      </w:r>
      <w:r w:rsidR="00AD7983" w:rsidRPr="00AD7983">
        <w:rPr>
          <w:rStyle w:val="Refdenotaderodap"/>
          <w:rFonts w:ascii="Palatino Linotype" w:hAnsi="Palatino Linotype" w:cs="Times New Roman"/>
          <w:sz w:val="24"/>
          <w:szCs w:val="24"/>
        </w:rPr>
        <w:footnoteReference w:id="5"/>
      </w:r>
      <w:r w:rsidR="00AD7983" w:rsidRPr="00AD7983">
        <w:rPr>
          <w:rFonts w:ascii="Palatino Linotype" w:hAnsi="Palatino Linotype" w:cs="Times New Roman"/>
          <w:sz w:val="24"/>
          <w:szCs w:val="24"/>
        </w:rPr>
        <w:t>.</w:t>
      </w:r>
      <w:r w:rsidR="0035680F">
        <w:rPr>
          <w:rFonts w:ascii="Palatino Linotype" w:hAnsi="Palatino Linotype" w:cs="Times New Roman"/>
          <w:sz w:val="24"/>
          <w:szCs w:val="24"/>
        </w:rPr>
        <w:t xml:space="preserve"> </w:t>
      </w:r>
      <w:r w:rsidR="00FF6B30">
        <w:rPr>
          <w:rFonts w:ascii="Palatino Linotype" w:hAnsi="Palatino Linotype" w:cs="Times New Roman"/>
          <w:sz w:val="24"/>
          <w:szCs w:val="24"/>
        </w:rPr>
        <w:t xml:space="preserve">Dentre as hipóteses de Resolução (descumprimento ou inadimplemento contratual), duas são as mais adequadas para a situação </w:t>
      </w:r>
      <w:r w:rsidR="009E7748">
        <w:rPr>
          <w:rFonts w:ascii="Palatino Linotype" w:hAnsi="Palatino Linotype" w:cs="Times New Roman"/>
          <w:sz w:val="24"/>
          <w:szCs w:val="24"/>
        </w:rPr>
        <w:t>de pandemia</w:t>
      </w:r>
      <w:r w:rsidR="00FF6B30">
        <w:rPr>
          <w:rFonts w:ascii="Palatino Linotype" w:hAnsi="Palatino Linotype" w:cs="Times New Roman"/>
          <w:sz w:val="24"/>
          <w:szCs w:val="24"/>
        </w:rPr>
        <w:t xml:space="preserve">, sendo elas: </w:t>
      </w:r>
      <w:r w:rsidR="00D93502">
        <w:rPr>
          <w:rFonts w:ascii="Palatino Linotype" w:hAnsi="Palatino Linotype" w:cs="Times New Roman"/>
          <w:sz w:val="24"/>
          <w:szCs w:val="24"/>
        </w:rPr>
        <w:t xml:space="preserve">Inexecução Voluntária e </w:t>
      </w:r>
      <w:r w:rsidR="0035680F">
        <w:rPr>
          <w:rFonts w:ascii="Palatino Linotype" w:hAnsi="Palatino Linotype" w:cs="Times New Roman"/>
          <w:sz w:val="24"/>
          <w:szCs w:val="24"/>
        </w:rPr>
        <w:t>Resolução por Onerosidade Excessiva.</w:t>
      </w:r>
    </w:p>
    <w:p w:rsidR="00D93502" w:rsidRDefault="00D93502" w:rsidP="00D93502">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A primeira delas, </w:t>
      </w:r>
      <w:r w:rsidR="00FF6B30" w:rsidRPr="00D93502">
        <w:rPr>
          <w:rFonts w:ascii="Palatino Linotype" w:hAnsi="Palatino Linotype" w:cs="Times New Roman"/>
          <w:sz w:val="24"/>
          <w:szCs w:val="24"/>
        </w:rPr>
        <w:t>Ine</w:t>
      </w:r>
      <w:r>
        <w:rPr>
          <w:rFonts w:ascii="Palatino Linotype" w:hAnsi="Palatino Linotype" w:cs="Times New Roman"/>
          <w:sz w:val="24"/>
          <w:szCs w:val="24"/>
        </w:rPr>
        <w:t>xecução Involuntária, acontece</w:t>
      </w:r>
      <w:r w:rsidRPr="00D93502">
        <w:rPr>
          <w:rFonts w:ascii="Palatino Linotype" w:hAnsi="Palatino Linotype" w:cs="Times New Roman"/>
          <w:sz w:val="24"/>
          <w:szCs w:val="24"/>
        </w:rPr>
        <w:t xml:space="preserve"> </w:t>
      </w:r>
      <w:r w:rsidR="00FF6B30" w:rsidRPr="00D93502">
        <w:rPr>
          <w:rFonts w:ascii="Palatino Linotype" w:hAnsi="Palatino Linotype" w:cs="Times New Roman"/>
          <w:sz w:val="24"/>
          <w:szCs w:val="24"/>
        </w:rPr>
        <w:t>quando o descumprimento ocorrer por fato alheio à vontade dos contratantes, decorrente da impossibilidade de cumprimento da obrigação por Caso Fortuito (evento totalmente imprevisível) ou de Força Maior (evento previsível, mas inevitável).</w:t>
      </w:r>
    </w:p>
    <w:p w:rsidR="00FF6B30" w:rsidRDefault="00D93502" w:rsidP="00D93502">
      <w:pPr>
        <w:ind w:firstLine="1134"/>
        <w:jc w:val="both"/>
        <w:rPr>
          <w:rFonts w:ascii="Palatino Linotype" w:hAnsi="Palatino Linotype" w:cs="Times New Roman"/>
          <w:sz w:val="24"/>
          <w:szCs w:val="24"/>
        </w:rPr>
      </w:pPr>
      <w:r w:rsidRPr="00D93502">
        <w:rPr>
          <w:rFonts w:ascii="Palatino Linotype" w:hAnsi="Palatino Linotype" w:cs="Times New Roman"/>
          <w:sz w:val="24"/>
          <w:szCs w:val="24"/>
        </w:rPr>
        <w:t>É notório</w:t>
      </w:r>
      <w:r>
        <w:rPr>
          <w:rFonts w:ascii="Palatino Linotype" w:hAnsi="Palatino Linotype" w:cs="Times New Roman"/>
          <w:sz w:val="24"/>
          <w:szCs w:val="24"/>
        </w:rPr>
        <w:t xml:space="preserve"> que</w:t>
      </w:r>
      <w:r w:rsidRPr="00D93502">
        <w:rPr>
          <w:rFonts w:ascii="Palatino Linotype" w:hAnsi="Palatino Linotype" w:cs="Times New Roman"/>
          <w:sz w:val="24"/>
          <w:szCs w:val="24"/>
        </w:rPr>
        <w:t xml:space="preserve"> </w:t>
      </w:r>
      <w:r w:rsidR="00BF78A4">
        <w:rPr>
          <w:rFonts w:ascii="Palatino Linotype" w:hAnsi="Palatino Linotype" w:cs="Times New Roman"/>
          <w:sz w:val="24"/>
          <w:szCs w:val="24"/>
        </w:rPr>
        <w:t>a presente situação</w:t>
      </w:r>
      <w:r w:rsidR="008A7F8F">
        <w:rPr>
          <w:rFonts w:ascii="Palatino Linotype" w:hAnsi="Palatino Linotype" w:cs="Times New Roman"/>
          <w:color w:val="FF0000"/>
          <w:sz w:val="24"/>
          <w:szCs w:val="24"/>
        </w:rPr>
        <w:t xml:space="preserve"> </w:t>
      </w:r>
      <w:r>
        <w:rPr>
          <w:rFonts w:ascii="Palatino Linotype" w:hAnsi="Palatino Linotype" w:cs="Times New Roman"/>
          <w:sz w:val="24"/>
          <w:szCs w:val="24"/>
        </w:rPr>
        <w:t>estabelec</w:t>
      </w:r>
      <w:r w:rsidR="00932988">
        <w:rPr>
          <w:rFonts w:ascii="Palatino Linotype" w:hAnsi="Palatino Linotype" w:cs="Times New Roman"/>
          <w:sz w:val="24"/>
          <w:szCs w:val="24"/>
        </w:rPr>
        <w:t>ida</w:t>
      </w:r>
      <w:r>
        <w:rPr>
          <w:rFonts w:ascii="Palatino Linotype" w:hAnsi="Palatino Linotype" w:cs="Times New Roman"/>
          <w:sz w:val="24"/>
          <w:szCs w:val="24"/>
        </w:rPr>
        <w:t xml:space="preserve"> no mundo </w:t>
      </w:r>
      <w:r w:rsidR="007F3D2F">
        <w:rPr>
          <w:rFonts w:ascii="Palatino Linotype" w:hAnsi="Palatino Linotype" w:cs="Times New Roman"/>
          <w:sz w:val="24"/>
          <w:szCs w:val="24"/>
        </w:rPr>
        <w:t xml:space="preserve">por consequência do novo coronavírus </w:t>
      </w:r>
      <w:r>
        <w:rPr>
          <w:rFonts w:ascii="Palatino Linotype" w:hAnsi="Palatino Linotype" w:cs="Times New Roman"/>
          <w:sz w:val="24"/>
          <w:szCs w:val="24"/>
        </w:rPr>
        <w:t xml:space="preserve">enquadra-se como Caso Fortuito, </w:t>
      </w:r>
      <w:r w:rsidR="0035680F">
        <w:rPr>
          <w:rFonts w:ascii="Palatino Linotype" w:hAnsi="Palatino Linotype" w:cs="Times New Roman"/>
          <w:sz w:val="24"/>
          <w:szCs w:val="24"/>
        </w:rPr>
        <w:t>tendo em vista que de forma alguma seria previsível que, por eventualidade de uma pandemia</w:t>
      </w:r>
      <w:r w:rsidR="009E7748">
        <w:rPr>
          <w:rFonts w:ascii="Palatino Linotype" w:hAnsi="Palatino Linotype" w:cs="Times New Roman"/>
          <w:sz w:val="24"/>
          <w:szCs w:val="24"/>
        </w:rPr>
        <w:t>,</w:t>
      </w:r>
      <w:r w:rsidR="0035680F">
        <w:rPr>
          <w:rFonts w:ascii="Palatino Linotype" w:hAnsi="Palatino Linotype" w:cs="Times New Roman"/>
          <w:sz w:val="24"/>
          <w:szCs w:val="24"/>
        </w:rPr>
        <w:t xml:space="preserve"> a sociedade brasileira se veria obrigada a par</w:t>
      </w:r>
      <w:r w:rsidR="009E7748">
        <w:rPr>
          <w:rFonts w:ascii="Palatino Linotype" w:hAnsi="Palatino Linotype" w:cs="Times New Roman"/>
          <w:sz w:val="24"/>
          <w:szCs w:val="24"/>
        </w:rPr>
        <w:t>ticipar de um isolamento social.</w:t>
      </w:r>
      <w:r w:rsidR="0035680F">
        <w:rPr>
          <w:rFonts w:ascii="Palatino Linotype" w:hAnsi="Palatino Linotype" w:cs="Times New Roman"/>
          <w:sz w:val="24"/>
          <w:szCs w:val="24"/>
        </w:rPr>
        <w:t xml:space="preserve"> </w:t>
      </w:r>
      <w:r w:rsidR="009E7748">
        <w:rPr>
          <w:rFonts w:ascii="Palatino Linotype" w:hAnsi="Palatino Linotype" w:cs="Times New Roman"/>
          <w:sz w:val="24"/>
          <w:szCs w:val="24"/>
        </w:rPr>
        <w:t xml:space="preserve">Dessa </w:t>
      </w:r>
      <w:r w:rsidR="0035680F">
        <w:rPr>
          <w:rFonts w:ascii="Palatino Linotype" w:hAnsi="Palatino Linotype" w:cs="Times New Roman"/>
          <w:sz w:val="24"/>
          <w:szCs w:val="24"/>
        </w:rPr>
        <w:t>for</w:t>
      </w:r>
      <w:r w:rsidR="009E7748">
        <w:rPr>
          <w:rFonts w:ascii="Palatino Linotype" w:hAnsi="Palatino Linotype" w:cs="Times New Roman"/>
          <w:sz w:val="24"/>
          <w:szCs w:val="24"/>
        </w:rPr>
        <w:t>ma, sendo ela obrigada a parar de trabalhar,</w:t>
      </w:r>
      <w:r w:rsidR="0035680F">
        <w:rPr>
          <w:rFonts w:ascii="Palatino Linotype" w:hAnsi="Palatino Linotype" w:cs="Times New Roman"/>
          <w:sz w:val="24"/>
          <w:szCs w:val="24"/>
        </w:rPr>
        <w:t xml:space="preserve"> </w:t>
      </w:r>
      <w:r w:rsidR="009E7748">
        <w:rPr>
          <w:rFonts w:ascii="Palatino Linotype" w:hAnsi="Palatino Linotype" w:cs="Times New Roman"/>
          <w:sz w:val="24"/>
          <w:szCs w:val="24"/>
        </w:rPr>
        <w:t xml:space="preserve">a </w:t>
      </w:r>
      <w:r w:rsidR="0035680F">
        <w:rPr>
          <w:rFonts w:ascii="Palatino Linotype" w:hAnsi="Palatino Linotype" w:cs="Times New Roman"/>
          <w:sz w:val="24"/>
          <w:szCs w:val="24"/>
        </w:rPr>
        <w:t xml:space="preserve">evitar sair de </w:t>
      </w:r>
      <w:r w:rsidR="00BF78A4">
        <w:rPr>
          <w:rFonts w:ascii="Palatino Linotype" w:hAnsi="Palatino Linotype" w:cs="Times New Roman"/>
          <w:sz w:val="24"/>
          <w:szCs w:val="24"/>
        </w:rPr>
        <w:t>c</w:t>
      </w:r>
      <w:r w:rsidR="0035680F">
        <w:rPr>
          <w:rFonts w:ascii="Palatino Linotype" w:hAnsi="Palatino Linotype" w:cs="Times New Roman"/>
          <w:sz w:val="24"/>
          <w:szCs w:val="24"/>
        </w:rPr>
        <w:t xml:space="preserve">asa por questões </w:t>
      </w:r>
      <w:r w:rsidR="00BF78A4">
        <w:rPr>
          <w:rFonts w:ascii="Palatino Linotype" w:hAnsi="Palatino Linotype" w:cs="Times New Roman"/>
          <w:sz w:val="24"/>
          <w:szCs w:val="24"/>
        </w:rPr>
        <w:t>d</w:t>
      </w:r>
      <w:r w:rsidR="0035680F">
        <w:rPr>
          <w:rFonts w:ascii="Palatino Linotype" w:hAnsi="Palatino Linotype" w:cs="Times New Roman"/>
          <w:sz w:val="24"/>
          <w:szCs w:val="24"/>
        </w:rPr>
        <w:t xml:space="preserve">e segurança sanitária e afins </w:t>
      </w:r>
      <w:r w:rsidR="009E7748">
        <w:rPr>
          <w:rFonts w:ascii="Palatino Linotype" w:hAnsi="Palatino Linotype" w:cs="Times New Roman"/>
          <w:sz w:val="24"/>
          <w:szCs w:val="24"/>
        </w:rPr>
        <w:t>(</w:t>
      </w:r>
      <w:r w:rsidR="0035680F">
        <w:rPr>
          <w:rFonts w:ascii="Palatino Linotype" w:hAnsi="Palatino Linotype" w:cs="Times New Roman"/>
          <w:sz w:val="24"/>
          <w:szCs w:val="24"/>
        </w:rPr>
        <w:t>com exceção daqueles que trabalham em serviços essenciais</w:t>
      </w:r>
      <w:r w:rsidR="009E7748">
        <w:rPr>
          <w:rFonts w:ascii="Palatino Linotype" w:hAnsi="Palatino Linotype" w:cs="Times New Roman"/>
          <w:sz w:val="24"/>
          <w:szCs w:val="24"/>
        </w:rPr>
        <w:t>)</w:t>
      </w:r>
      <w:r w:rsidR="0035680F">
        <w:rPr>
          <w:rFonts w:ascii="Palatino Linotype" w:hAnsi="Palatino Linotype" w:cs="Times New Roman"/>
          <w:sz w:val="24"/>
          <w:szCs w:val="24"/>
        </w:rPr>
        <w:t>.</w:t>
      </w:r>
    </w:p>
    <w:p w:rsidR="00403CE0" w:rsidRPr="008A7F8F" w:rsidRDefault="00403CE0" w:rsidP="00D93502">
      <w:pPr>
        <w:ind w:firstLine="1134"/>
        <w:jc w:val="both"/>
        <w:rPr>
          <w:rFonts w:ascii="Palatino Linotype" w:hAnsi="Palatino Linotype" w:cs="Times New Roman"/>
          <w:color w:val="FF0000"/>
          <w:sz w:val="24"/>
          <w:szCs w:val="24"/>
        </w:rPr>
      </w:pPr>
      <w:r>
        <w:rPr>
          <w:rFonts w:ascii="Palatino Linotype" w:hAnsi="Palatino Linotype" w:cs="Times New Roman"/>
          <w:sz w:val="24"/>
          <w:szCs w:val="24"/>
        </w:rPr>
        <w:t xml:space="preserve">A outra hipótese, Resolução por Onerosidade Excessiva, já foi previamente abordada no item </w:t>
      </w:r>
      <w:r w:rsidRPr="00403CE0">
        <w:rPr>
          <w:rFonts w:ascii="Palatino Linotype" w:hAnsi="Palatino Linotype" w:cs="Times New Roman"/>
          <w:b/>
          <w:sz w:val="24"/>
          <w:szCs w:val="24"/>
        </w:rPr>
        <w:t>2.1.</w:t>
      </w:r>
      <w:r>
        <w:rPr>
          <w:rFonts w:ascii="Palatino Linotype" w:hAnsi="Palatino Linotype" w:cs="Times New Roman"/>
          <w:sz w:val="24"/>
          <w:szCs w:val="24"/>
        </w:rPr>
        <w:t xml:space="preserve">, e reitera-se o que está disposto no artigo 478, em que a </w:t>
      </w:r>
      <w:r w:rsidR="00A15D80">
        <w:rPr>
          <w:rFonts w:ascii="Palatino Linotype" w:hAnsi="Palatino Linotype" w:cs="Times New Roman"/>
          <w:sz w:val="24"/>
          <w:szCs w:val="24"/>
        </w:rPr>
        <w:t>utilização</w:t>
      </w:r>
      <w:r>
        <w:rPr>
          <w:rFonts w:ascii="Palatino Linotype" w:hAnsi="Palatino Linotype" w:cs="Times New Roman"/>
          <w:sz w:val="24"/>
          <w:szCs w:val="24"/>
        </w:rPr>
        <w:t xml:space="preserve"> da resolução contratual por fato </w:t>
      </w:r>
      <w:r w:rsidR="00A15D80">
        <w:rPr>
          <w:rFonts w:ascii="Palatino Linotype" w:hAnsi="Palatino Linotype" w:cs="Times New Roman"/>
          <w:sz w:val="24"/>
          <w:szCs w:val="24"/>
        </w:rPr>
        <w:t xml:space="preserve">superveniente </w:t>
      </w:r>
      <w:r w:rsidR="00932988">
        <w:rPr>
          <w:rFonts w:ascii="Palatino Linotype" w:hAnsi="Palatino Linotype" w:cs="Times New Roman"/>
          <w:sz w:val="24"/>
          <w:szCs w:val="24"/>
        </w:rPr>
        <w:t xml:space="preserve">se dá </w:t>
      </w:r>
      <w:r w:rsidR="00A15D80">
        <w:rPr>
          <w:rFonts w:ascii="Palatino Linotype" w:hAnsi="Palatino Linotype" w:cs="Times New Roman"/>
          <w:sz w:val="24"/>
          <w:szCs w:val="24"/>
        </w:rPr>
        <w:t>em</w:t>
      </w:r>
      <w:r>
        <w:rPr>
          <w:rFonts w:ascii="Palatino Linotype" w:hAnsi="Palatino Linotype" w:cs="Times New Roman"/>
          <w:sz w:val="24"/>
          <w:szCs w:val="24"/>
        </w:rPr>
        <w:t xml:space="preserve"> </w:t>
      </w:r>
      <w:r w:rsidR="00A15D80">
        <w:rPr>
          <w:rFonts w:ascii="Palatino Linotype" w:hAnsi="Palatino Linotype" w:cs="Times New Roman"/>
          <w:sz w:val="24"/>
          <w:szCs w:val="24"/>
        </w:rPr>
        <w:t>decorrência</w:t>
      </w:r>
      <w:r>
        <w:rPr>
          <w:rFonts w:ascii="Palatino Linotype" w:hAnsi="Palatino Linotype" w:cs="Times New Roman"/>
          <w:sz w:val="24"/>
          <w:szCs w:val="24"/>
        </w:rPr>
        <w:t xml:space="preserve"> de uma imprevisibilidade e extraordinari</w:t>
      </w:r>
      <w:r w:rsidR="00A15D80">
        <w:rPr>
          <w:rFonts w:ascii="Palatino Linotype" w:hAnsi="Palatino Linotype" w:cs="Times New Roman"/>
          <w:sz w:val="24"/>
          <w:szCs w:val="24"/>
        </w:rPr>
        <w:t>e</w:t>
      </w:r>
      <w:r>
        <w:rPr>
          <w:rFonts w:ascii="Palatino Linotype" w:hAnsi="Palatino Linotype" w:cs="Times New Roman"/>
          <w:sz w:val="24"/>
          <w:szCs w:val="24"/>
        </w:rPr>
        <w:t>dade somadas a uma onerosidade excessiva.</w:t>
      </w:r>
      <w:r w:rsidR="008A7F8F">
        <w:rPr>
          <w:rFonts w:ascii="Palatino Linotype" w:hAnsi="Palatino Linotype" w:cs="Times New Roman"/>
          <w:color w:val="FF0000"/>
          <w:sz w:val="24"/>
          <w:szCs w:val="24"/>
        </w:rPr>
        <w:t xml:space="preserve"> </w:t>
      </w:r>
    </w:p>
    <w:p w:rsidR="00403CE0" w:rsidRPr="00932988" w:rsidRDefault="00403CE0" w:rsidP="00D93502">
      <w:pPr>
        <w:ind w:firstLine="1134"/>
        <w:jc w:val="both"/>
        <w:rPr>
          <w:rFonts w:ascii="Palatino Linotype" w:hAnsi="Palatino Linotype" w:cs="Times New Roman"/>
          <w:color w:val="000000" w:themeColor="text1"/>
          <w:sz w:val="24"/>
          <w:szCs w:val="24"/>
        </w:rPr>
      </w:pPr>
      <w:r>
        <w:rPr>
          <w:rFonts w:ascii="Palatino Linotype" w:hAnsi="Palatino Linotype" w:cs="Times New Roman"/>
          <w:sz w:val="24"/>
          <w:szCs w:val="24"/>
        </w:rPr>
        <w:t xml:space="preserve">No entanto, é importante salientar que a extinção do contrato é medida extrema, somente possível em casos de situação insustentável para uma das partes tendo em vista </w:t>
      </w:r>
      <w:r w:rsidR="00A15D80">
        <w:rPr>
          <w:rFonts w:ascii="Palatino Linotype" w:hAnsi="Palatino Linotype" w:cs="Times New Roman"/>
          <w:sz w:val="24"/>
          <w:szCs w:val="24"/>
        </w:rPr>
        <w:t xml:space="preserve">que o contrato teria força de lei, constrangendo os contraentes ao </w:t>
      </w:r>
      <w:r w:rsidR="00932988" w:rsidRPr="00932988">
        <w:rPr>
          <w:rFonts w:ascii="Palatino Linotype" w:hAnsi="Palatino Linotype" w:cs="Times New Roman"/>
          <w:color w:val="000000" w:themeColor="text1"/>
          <w:sz w:val="24"/>
          <w:szCs w:val="24"/>
        </w:rPr>
        <w:t>cum</w:t>
      </w:r>
      <w:r w:rsidR="00A15D80" w:rsidRPr="00932988">
        <w:rPr>
          <w:rFonts w:ascii="Palatino Linotype" w:hAnsi="Palatino Linotype" w:cs="Times New Roman"/>
          <w:color w:val="000000" w:themeColor="text1"/>
          <w:sz w:val="24"/>
          <w:szCs w:val="24"/>
        </w:rPr>
        <w:t xml:space="preserve">primento do conteúdo </w:t>
      </w:r>
      <w:r w:rsidR="00707B09" w:rsidRPr="00932988">
        <w:rPr>
          <w:rFonts w:ascii="Palatino Linotype" w:hAnsi="Palatino Linotype" w:cs="Times New Roman"/>
          <w:color w:val="000000" w:themeColor="text1"/>
          <w:sz w:val="24"/>
          <w:szCs w:val="24"/>
        </w:rPr>
        <w:t>completo do negócio jurídico.</w:t>
      </w:r>
    </w:p>
    <w:p w:rsidR="00707B09" w:rsidRDefault="00707B09" w:rsidP="00D93502">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Nisso se baseia o princípio da força obrigatória do contrato, </w:t>
      </w:r>
      <w:r w:rsidRPr="00873ADA">
        <w:rPr>
          <w:rFonts w:ascii="Palatino Linotype" w:hAnsi="Palatino Linotype" w:cs="Times New Roman"/>
          <w:i/>
          <w:sz w:val="24"/>
          <w:szCs w:val="24"/>
        </w:rPr>
        <w:t>pacta sunt servanda</w:t>
      </w:r>
      <w:r>
        <w:rPr>
          <w:rFonts w:ascii="Palatino Linotype" w:hAnsi="Palatino Linotype" w:cs="Times New Roman"/>
          <w:sz w:val="24"/>
          <w:szCs w:val="24"/>
        </w:rPr>
        <w:t>, no qual não poderia, sem qualquer razão plausível, ser o contrato revisto ou extinto, sob pena de acarretar insegurança jurídica ao sistema</w:t>
      </w:r>
      <w:r w:rsidR="00873ADA">
        <w:rPr>
          <w:rStyle w:val="Refdenotaderodap"/>
          <w:rFonts w:ascii="Palatino Linotype" w:hAnsi="Palatino Linotype" w:cs="Times New Roman"/>
          <w:sz w:val="24"/>
          <w:szCs w:val="24"/>
        </w:rPr>
        <w:footnoteReference w:id="6"/>
      </w:r>
      <w:r>
        <w:rPr>
          <w:rFonts w:ascii="Palatino Linotype" w:hAnsi="Palatino Linotype" w:cs="Times New Roman"/>
          <w:sz w:val="24"/>
          <w:szCs w:val="24"/>
        </w:rPr>
        <w:t>.</w:t>
      </w:r>
    </w:p>
    <w:p w:rsidR="00E3485D" w:rsidRPr="00D93502" w:rsidRDefault="00E3485D" w:rsidP="00D93502">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Por fim, é importante também citar o Enunciado n. 367 do CJF/STJ: “Em observância ao princípio da conservação do contrato, nas ações que tenham por objeto a resolução do pacto por excessiva onerosidade, pode o juiz modifica-lo equitativamente, desde que ouvida a parte autora, respeitada sua vontade e observado o contraditório”, da </w:t>
      </w:r>
      <w:r w:rsidRPr="00E3485D">
        <w:rPr>
          <w:rFonts w:ascii="Palatino Linotype" w:hAnsi="Palatino Linotype" w:cs="Times New Roman"/>
          <w:i/>
          <w:sz w:val="24"/>
          <w:szCs w:val="24"/>
        </w:rPr>
        <w:t>IV Jornada de Direito Civil</w:t>
      </w:r>
      <w:r>
        <w:rPr>
          <w:rFonts w:ascii="Palatino Linotype" w:hAnsi="Palatino Linotype" w:cs="Times New Roman"/>
          <w:sz w:val="24"/>
          <w:szCs w:val="24"/>
        </w:rPr>
        <w:t>.</w:t>
      </w:r>
    </w:p>
    <w:p w:rsidR="00873ADA" w:rsidRPr="00E3485D" w:rsidRDefault="00873ADA" w:rsidP="00873ADA">
      <w:pPr>
        <w:pBdr>
          <w:left w:val="single" w:sz="4" w:space="4" w:color="auto"/>
          <w:bottom w:val="single" w:sz="4" w:space="1" w:color="auto"/>
        </w:pBdr>
        <w:ind w:left="567"/>
        <w:jc w:val="both"/>
        <w:rPr>
          <w:rFonts w:ascii="Palatino Linotype" w:hAnsi="Palatino Linotype" w:cs="Times New Roman"/>
          <w:b/>
          <w:sz w:val="24"/>
          <w:szCs w:val="24"/>
        </w:rPr>
      </w:pPr>
      <w:r>
        <w:rPr>
          <w:rFonts w:ascii="Palatino Linotype" w:hAnsi="Palatino Linotype" w:cs="Times New Roman"/>
          <w:b/>
          <w:sz w:val="24"/>
          <w:szCs w:val="24"/>
        </w:rPr>
        <w:t>2.2.2. Resilição Contratual</w:t>
      </w:r>
    </w:p>
    <w:p w:rsidR="00873ADA" w:rsidRPr="00B51B33" w:rsidRDefault="00873ADA" w:rsidP="00AD7983">
      <w:pPr>
        <w:ind w:firstLine="1134"/>
        <w:jc w:val="both"/>
        <w:rPr>
          <w:rFonts w:ascii="Palatino Linotype" w:hAnsi="Palatino Linotype" w:cs="Times New Roman"/>
          <w:sz w:val="24"/>
          <w:szCs w:val="24"/>
        </w:rPr>
      </w:pPr>
    </w:p>
    <w:p w:rsidR="00873ADA" w:rsidRDefault="00B51B33" w:rsidP="00AD7983">
      <w:pPr>
        <w:ind w:firstLine="1134"/>
        <w:jc w:val="both"/>
        <w:rPr>
          <w:rFonts w:ascii="Palatino Linotype" w:hAnsi="Palatino Linotype" w:cs="Times New Roman"/>
          <w:sz w:val="24"/>
          <w:szCs w:val="24"/>
        </w:rPr>
      </w:pPr>
      <w:r w:rsidRPr="00B51B33">
        <w:rPr>
          <w:rFonts w:ascii="Palatino Linotype" w:hAnsi="Palatino Linotype" w:cs="Times New Roman"/>
          <w:sz w:val="24"/>
          <w:szCs w:val="24"/>
        </w:rPr>
        <w:t>A Resili</w:t>
      </w:r>
      <w:r>
        <w:rPr>
          <w:rFonts w:ascii="Palatino Linotype" w:hAnsi="Palatino Linotype" w:cs="Times New Roman"/>
          <w:sz w:val="24"/>
          <w:szCs w:val="24"/>
        </w:rPr>
        <w:t>ção é um exercício de direito potestativo</w:t>
      </w:r>
      <w:r w:rsidR="00B51B31">
        <w:rPr>
          <w:rFonts w:ascii="Palatino Linotype" w:hAnsi="Palatino Linotype" w:cs="Times New Roman"/>
          <w:sz w:val="24"/>
          <w:szCs w:val="24"/>
        </w:rPr>
        <w:t>, aquele que não admite contestações</w:t>
      </w:r>
      <w:r>
        <w:rPr>
          <w:rFonts w:ascii="Palatino Linotype" w:hAnsi="Palatino Linotype" w:cs="Times New Roman"/>
          <w:sz w:val="24"/>
          <w:szCs w:val="24"/>
        </w:rPr>
        <w:t>, presente em duas situações concretas: Resilição Bilateral ou Distrato e Resilição Unilateral.</w:t>
      </w:r>
    </w:p>
    <w:p w:rsidR="00B51B31" w:rsidRDefault="00264DDF" w:rsidP="00AD7983">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A Resilição Bilateral é efetivada mediante a celebração de novo negócio jurídico em que ambas as partes querem, de comum acordo, pôr fim ao anterior </w:t>
      </w:r>
      <w:r w:rsidR="003C799E">
        <w:rPr>
          <w:rFonts w:ascii="Palatino Linotype" w:hAnsi="Palatino Linotype" w:cs="Times New Roman"/>
          <w:sz w:val="24"/>
          <w:szCs w:val="24"/>
        </w:rPr>
        <w:t>que firmaram e deve ocorrer antes de completada a execução do contrato</w:t>
      </w:r>
      <w:r w:rsidR="005D6A75">
        <w:rPr>
          <w:rFonts w:ascii="Palatino Linotype" w:hAnsi="Palatino Linotype" w:cs="Times New Roman"/>
          <w:sz w:val="24"/>
          <w:szCs w:val="24"/>
        </w:rPr>
        <w:t>, está descrita</w:t>
      </w:r>
      <w:r w:rsidR="003C799E">
        <w:rPr>
          <w:rFonts w:ascii="Palatino Linotype" w:hAnsi="Palatino Linotype" w:cs="Times New Roman"/>
          <w:sz w:val="24"/>
          <w:szCs w:val="24"/>
        </w:rPr>
        <w:t xml:space="preserve"> no artigo 472, do Código Civil de 2002:</w:t>
      </w:r>
    </w:p>
    <w:p w:rsidR="003C799E" w:rsidRPr="003C799E" w:rsidRDefault="003C799E" w:rsidP="005D6A75">
      <w:pPr>
        <w:pBdr>
          <w:top w:val="single" w:sz="4" w:space="1" w:color="auto"/>
          <w:left w:val="single" w:sz="4" w:space="4" w:color="auto"/>
          <w:bottom w:val="single" w:sz="4" w:space="1" w:color="auto"/>
          <w:right w:val="single" w:sz="4" w:space="4" w:color="auto"/>
          <w:between w:val="single" w:sz="4" w:space="1" w:color="auto"/>
          <w:bar w:val="single" w:sz="4" w:color="auto"/>
        </w:pBdr>
        <w:ind w:left="2268"/>
        <w:jc w:val="both"/>
        <w:rPr>
          <w:rFonts w:ascii="Palatino Linotype" w:hAnsi="Palatino Linotype" w:cs="Times New Roman"/>
          <w:sz w:val="20"/>
          <w:szCs w:val="20"/>
        </w:rPr>
      </w:pPr>
      <w:r w:rsidRPr="003C799E">
        <w:rPr>
          <w:rFonts w:ascii="Palatino Linotype" w:hAnsi="Palatino Linotype" w:cs="Times New Roman"/>
          <w:b/>
          <w:sz w:val="20"/>
          <w:szCs w:val="20"/>
        </w:rPr>
        <w:t xml:space="preserve">Art. 472. </w:t>
      </w:r>
      <w:r w:rsidRPr="003C799E">
        <w:rPr>
          <w:rFonts w:ascii="Palatino Linotype" w:hAnsi="Palatino Linotype" w:cs="Times New Roman"/>
          <w:sz w:val="20"/>
          <w:szCs w:val="20"/>
        </w:rPr>
        <w:t>O distrato faz-se pela mesma forma exigida para o contrato.</w:t>
      </w:r>
    </w:p>
    <w:p w:rsidR="005D6A75" w:rsidRDefault="005D6A75" w:rsidP="00AD7983">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O distrato submete-se à mesma forma exigida para o contrato conforme previsão taxativa supramencionada. </w:t>
      </w:r>
      <w:r w:rsidR="00F57209">
        <w:rPr>
          <w:rFonts w:ascii="Palatino Linotype" w:hAnsi="Palatino Linotype" w:cs="Times New Roman"/>
          <w:sz w:val="24"/>
          <w:szCs w:val="24"/>
        </w:rPr>
        <w:t>Tendo em vista que na situação de pandemia as partes presentes na celebração do contrato podem não conseguir cumprir com suas obrigações pela mesma problemática, essa é uma forte possibilidade para extinguir o negócio jurídico.</w:t>
      </w:r>
    </w:p>
    <w:p w:rsidR="00873ADA" w:rsidRDefault="003C799E" w:rsidP="00AD7983">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Já a Resilição Unilateral está taxada no artigo posterior, o 473, do mesmo ordenamento: </w:t>
      </w:r>
    </w:p>
    <w:p w:rsidR="003C799E" w:rsidRPr="003C799E" w:rsidRDefault="003C799E" w:rsidP="005D6A75">
      <w:pPr>
        <w:pBdr>
          <w:top w:val="single" w:sz="4" w:space="1" w:color="auto"/>
          <w:left w:val="single" w:sz="4" w:space="4" w:color="auto"/>
          <w:bottom w:val="single" w:sz="4" w:space="1" w:color="auto"/>
          <w:right w:val="single" w:sz="4" w:space="4" w:color="auto"/>
          <w:bar w:val="single" w:sz="4" w:color="auto"/>
        </w:pBdr>
        <w:ind w:left="2268"/>
        <w:jc w:val="both"/>
        <w:rPr>
          <w:rFonts w:ascii="Palatino Linotype" w:hAnsi="Palatino Linotype" w:cs="Times New Roman"/>
          <w:b/>
          <w:sz w:val="20"/>
          <w:szCs w:val="20"/>
        </w:rPr>
      </w:pPr>
      <w:r w:rsidRPr="003C799E">
        <w:rPr>
          <w:rFonts w:ascii="Palatino Linotype" w:hAnsi="Palatino Linotype" w:cs="Times New Roman"/>
          <w:b/>
          <w:sz w:val="20"/>
          <w:szCs w:val="20"/>
        </w:rPr>
        <w:t xml:space="preserve">Art. 473. </w:t>
      </w:r>
      <w:r w:rsidRPr="003C799E">
        <w:rPr>
          <w:rFonts w:ascii="Palatino Linotype" w:hAnsi="Palatino Linotype" w:cs="Times New Roman"/>
          <w:sz w:val="20"/>
          <w:szCs w:val="20"/>
        </w:rPr>
        <w:t>A resilição unilateral, nos casos em que a lei expressa ou implicitamente o permita, opera mediante denúncia notificada à outra parte.</w:t>
      </w:r>
    </w:p>
    <w:p w:rsidR="003C799E" w:rsidRDefault="003C799E" w:rsidP="005D6A75">
      <w:pPr>
        <w:pBdr>
          <w:top w:val="single" w:sz="4" w:space="1" w:color="auto"/>
          <w:left w:val="single" w:sz="4" w:space="4" w:color="auto"/>
          <w:bottom w:val="single" w:sz="4" w:space="1" w:color="auto"/>
          <w:right w:val="single" w:sz="4" w:space="4" w:color="auto"/>
          <w:bar w:val="single" w:sz="4" w:color="auto"/>
        </w:pBdr>
        <w:ind w:left="2268"/>
        <w:jc w:val="both"/>
        <w:rPr>
          <w:rFonts w:ascii="Palatino Linotype" w:hAnsi="Palatino Linotype" w:cs="Times New Roman"/>
          <w:sz w:val="24"/>
          <w:szCs w:val="24"/>
        </w:rPr>
      </w:pPr>
      <w:r w:rsidRPr="003C799E">
        <w:rPr>
          <w:rFonts w:ascii="Palatino Linotype" w:hAnsi="Palatino Linotype" w:cs="Times New Roman"/>
          <w:b/>
          <w:sz w:val="20"/>
          <w:szCs w:val="20"/>
        </w:rPr>
        <w:t xml:space="preserve">Parágrafo único. </w:t>
      </w:r>
      <w:r w:rsidRPr="003C799E">
        <w:rPr>
          <w:rFonts w:ascii="Palatino Linotype" w:hAnsi="Palatino Linotype" w:cs="Times New Roman"/>
          <w:sz w:val="20"/>
          <w:szCs w:val="20"/>
        </w:rPr>
        <w:t>Se, porém, dada a natureza do contrato, uma das partes houver feito investimentos consideráveis para a sua execução, a denúncia unilateral só produzirá efeito depois de transcorrido prazo compatível com a natureza e o vulto dos investimentos.</w:t>
      </w:r>
    </w:p>
    <w:p w:rsidR="003C799E" w:rsidRDefault="003C799E" w:rsidP="00AD7983">
      <w:pPr>
        <w:ind w:firstLine="1134"/>
        <w:jc w:val="both"/>
        <w:rPr>
          <w:rFonts w:ascii="Palatino Linotype" w:hAnsi="Palatino Linotype" w:cs="Times New Roman"/>
          <w:sz w:val="24"/>
          <w:szCs w:val="24"/>
        </w:rPr>
      </w:pPr>
      <w:r>
        <w:rPr>
          <w:rFonts w:ascii="Palatino Linotype" w:hAnsi="Palatino Linotype" w:cs="Times New Roman"/>
          <w:sz w:val="24"/>
          <w:szCs w:val="24"/>
        </w:rPr>
        <w:t>Se aplica a contratos que admitem dissolução pela simples declaração d</w:t>
      </w:r>
      <w:r w:rsidR="00F57209">
        <w:rPr>
          <w:rFonts w:ascii="Palatino Linotype" w:hAnsi="Palatino Linotype" w:cs="Times New Roman"/>
          <w:sz w:val="24"/>
          <w:szCs w:val="24"/>
        </w:rPr>
        <w:t>e</w:t>
      </w:r>
      <w:r>
        <w:rPr>
          <w:rFonts w:ascii="Palatino Linotype" w:hAnsi="Palatino Linotype" w:cs="Times New Roman"/>
          <w:sz w:val="24"/>
          <w:szCs w:val="24"/>
        </w:rPr>
        <w:t xml:space="preserve"> vontade de uma das partes, desde que a lei, explícita ou implicitamente, admita essa forma de distinção. Essa forma só é prevista em hipóteses excepcionais, como na locação, na prestação de serviços, no mandato</w:t>
      </w:r>
      <w:r w:rsidR="005D6A75">
        <w:rPr>
          <w:rFonts w:ascii="Palatino Linotype" w:hAnsi="Palatino Linotype" w:cs="Times New Roman"/>
          <w:sz w:val="24"/>
          <w:szCs w:val="24"/>
        </w:rPr>
        <w:t>, no comodato, no depósito, na doação, na fiança, operando-se mediante denúncia notificada à outra parte, como afirma Tartuce</w:t>
      </w:r>
      <w:r w:rsidR="005D6A75">
        <w:rPr>
          <w:rStyle w:val="Refdenotaderodap"/>
          <w:rFonts w:ascii="Palatino Linotype" w:hAnsi="Palatino Linotype" w:cs="Times New Roman"/>
          <w:sz w:val="24"/>
          <w:szCs w:val="24"/>
        </w:rPr>
        <w:footnoteReference w:id="7"/>
      </w:r>
      <w:r w:rsidR="00F57209">
        <w:rPr>
          <w:rFonts w:ascii="Palatino Linotype" w:hAnsi="Palatino Linotype" w:cs="Times New Roman"/>
          <w:sz w:val="24"/>
          <w:szCs w:val="24"/>
        </w:rPr>
        <w:t>.</w:t>
      </w:r>
    </w:p>
    <w:p w:rsidR="003C799E" w:rsidRPr="003C799E" w:rsidRDefault="003C799E" w:rsidP="00AD7983">
      <w:pPr>
        <w:ind w:firstLine="1134"/>
        <w:jc w:val="both"/>
        <w:rPr>
          <w:rFonts w:ascii="Palatino Linotype" w:hAnsi="Palatino Linotype" w:cs="Times New Roman"/>
          <w:sz w:val="24"/>
          <w:szCs w:val="24"/>
        </w:rPr>
      </w:pPr>
    </w:p>
    <w:p w:rsidR="000D35CE" w:rsidRPr="003E1136" w:rsidRDefault="000D35CE" w:rsidP="000D35CE">
      <w:pPr>
        <w:pStyle w:val="PargrafodaLista"/>
        <w:numPr>
          <w:ilvl w:val="0"/>
          <w:numId w:val="4"/>
        </w:numPr>
        <w:pBdr>
          <w:left w:val="single" w:sz="4" w:space="4" w:color="auto"/>
          <w:bottom w:val="single" w:sz="4" w:space="1" w:color="auto"/>
        </w:pBdr>
        <w:jc w:val="both"/>
        <w:rPr>
          <w:rFonts w:ascii="Palatino Linotype" w:hAnsi="Palatino Linotype" w:cs="Times New Roman"/>
          <w:b/>
          <w:sz w:val="24"/>
          <w:szCs w:val="24"/>
        </w:rPr>
      </w:pPr>
      <w:r w:rsidRPr="003E1136">
        <w:rPr>
          <w:rFonts w:ascii="Palatino Linotype" w:hAnsi="Palatino Linotype" w:cs="Times New Roman"/>
          <w:b/>
          <w:sz w:val="24"/>
          <w:szCs w:val="24"/>
        </w:rPr>
        <w:t>Setores mais impactados</w:t>
      </w:r>
    </w:p>
    <w:p w:rsidR="007F3D2F" w:rsidRDefault="007F3D2F" w:rsidP="000416F2">
      <w:pPr>
        <w:ind w:firstLine="1134"/>
        <w:jc w:val="both"/>
        <w:rPr>
          <w:rFonts w:ascii="Palatino Linotype" w:hAnsi="Palatino Linotype" w:cs="Times New Roman"/>
          <w:b/>
          <w:sz w:val="24"/>
          <w:szCs w:val="24"/>
        </w:rPr>
      </w:pPr>
    </w:p>
    <w:p w:rsidR="007F3D2F" w:rsidRPr="007F3D2F" w:rsidRDefault="007F3D2F" w:rsidP="007F3D2F">
      <w:pPr>
        <w:ind w:firstLine="1134"/>
        <w:jc w:val="both"/>
        <w:rPr>
          <w:rFonts w:ascii="Palatino Linotype" w:hAnsi="Palatino Linotype" w:cs="Times New Roman"/>
          <w:sz w:val="24"/>
          <w:szCs w:val="24"/>
        </w:rPr>
      </w:pPr>
      <w:r w:rsidRPr="007F3D2F">
        <w:rPr>
          <w:rFonts w:ascii="Palatino Linotype" w:hAnsi="Palatino Linotype" w:cs="Times New Roman"/>
          <w:sz w:val="24"/>
          <w:szCs w:val="24"/>
        </w:rPr>
        <w:t xml:space="preserve">Os setores mais </w:t>
      </w:r>
      <w:r>
        <w:rPr>
          <w:rFonts w:ascii="Palatino Linotype" w:hAnsi="Palatino Linotype" w:cs="Times New Roman"/>
          <w:sz w:val="24"/>
          <w:szCs w:val="24"/>
        </w:rPr>
        <w:t>afetados pela pandemia do novo coronavírus são turismo, hospitalidade e aviação, de acordo com estudo da Kantar</w:t>
      </w:r>
      <w:r>
        <w:rPr>
          <w:rStyle w:val="Refdenotaderodap"/>
          <w:rFonts w:ascii="Palatino Linotype" w:hAnsi="Palatino Linotype" w:cs="Times New Roman"/>
          <w:sz w:val="24"/>
          <w:szCs w:val="24"/>
        </w:rPr>
        <w:footnoteReference w:id="8"/>
      </w:r>
      <w:r>
        <w:rPr>
          <w:rFonts w:ascii="Palatino Linotype" w:hAnsi="Palatino Linotype" w:cs="Times New Roman"/>
          <w:sz w:val="24"/>
          <w:szCs w:val="24"/>
        </w:rPr>
        <w:t xml:space="preserve">, líder global em dados, insights e consultoria. </w:t>
      </w:r>
      <w:r w:rsidR="000E0A06">
        <w:rPr>
          <w:rFonts w:ascii="Palatino Linotype" w:hAnsi="Palatino Linotype" w:cs="Times New Roman"/>
          <w:sz w:val="24"/>
          <w:szCs w:val="24"/>
        </w:rPr>
        <w:t xml:space="preserve">Além desses setores, também é possível visualizar sérios impactos econômicos nas áreas de </w:t>
      </w:r>
      <w:r w:rsidR="000416F2">
        <w:rPr>
          <w:rFonts w:ascii="Palatino Linotype" w:hAnsi="Palatino Linotype" w:cs="Times New Roman"/>
          <w:sz w:val="24"/>
          <w:szCs w:val="24"/>
        </w:rPr>
        <w:t>Varejo, Restaurantes e</w:t>
      </w:r>
      <w:r w:rsidR="000E0A06">
        <w:rPr>
          <w:rFonts w:ascii="Palatino Linotype" w:hAnsi="Palatino Linotype" w:cs="Times New Roman"/>
          <w:sz w:val="24"/>
          <w:szCs w:val="24"/>
        </w:rPr>
        <w:t xml:space="preserve"> Educação, por exemplo.</w:t>
      </w:r>
    </w:p>
    <w:p w:rsidR="007F3D2F" w:rsidRPr="009B4093" w:rsidRDefault="007F3D2F" w:rsidP="007F3D2F">
      <w:pPr>
        <w:jc w:val="both"/>
        <w:rPr>
          <w:rFonts w:ascii="Palatino Linotype" w:hAnsi="Palatino Linotype" w:cs="Times New Roman"/>
          <w:b/>
          <w:sz w:val="24"/>
          <w:szCs w:val="24"/>
        </w:rPr>
      </w:pPr>
    </w:p>
    <w:p w:rsidR="007F3D2F" w:rsidRPr="009B4093" w:rsidRDefault="000E0A06" w:rsidP="007F3D2F">
      <w:pPr>
        <w:pStyle w:val="PargrafodaLista"/>
        <w:numPr>
          <w:ilvl w:val="1"/>
          <w:numId w:val="4"/>
        </w:numPr>
        <w:pBdr>
          <w:left w:val="single" w:sz="4" w:space="4" w:color="auto"/>
          <w:bottom w:val="single" w:sz="4" w:space="1" w:color="auto"/>
        </w:pBdr>
        <w:ind w:hanging="508"/>
        <w:jc w:val="both"/>
        <w:rPr>
          <w:rFonts w:ascii="Palatino Linotype" w:hAnsi="Palatino Linotype" w:cs="Times New Roman"/>
          <w:b/>
          <w:sz w:val="24"/>
          <w:szCs w:val="24"/>
        </w:rPr>
      </w:pPr>
      <w:r>
        <w:rPr>
          <w:rFonts w:ascii="Palatino Linotype" w:hAnsi="Palatino Linotype" w:cs="Times New Roman"/>
          <w:b/>
          <w:sz w:val="24"/>
          <w:szCs w:val="24"/>
        </w:rPr>
        <w:t>Turismo, hospitalidade e aviação</w:t>
      </w:r>
    </w:p>
    <w:p w:rsidR="000E0A06" w:rsidRDefault="000E0A06" w:rsidP="007F3D2F">
      <w:pPr>
        <w:ind w:firstLine="1134"/>
        <w:jc w:val="both"/>
        <w:rPr>
          <w:rFonts w:ascii="Palatino Linotype" w:hAnsi="Palatino Linotype" w:cs="Times New Roman"/>
          <w:sz w:val="24"/>
          <w:szCs w:val="24"/>
        </w:rPr>
      </w:pPr>
    </w:p>
    <w:p w:rsidR="007F3D2F" w:rsidRDefault="000416F2" w:rsidP="00492658">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As ações dos setores de </w:t>
      </w:r>
      <w:r w:rsidR="00521B73">
        <w:rPr>
          <w:rFonts w:ascii="Palatino Linotype" w:hAnsi="Palatino Linotype" w:cs="Times New Roman"/>
          <w:sz w:val="24"/>
          <w:szCs w:val="24"/>
        </w:rPr>
        <w:t xml:space="preserve">turismo </w:t>
      </w:r>
      <w:r>
        <w:rPr>
          <w:rFonts w:ascii="Palatino Linotype" w:hAnsi="Palatino Linotype" w:cs="Times New Roman"/>
          <w:sz w:val="24"/>
          <w:szCs w:val="24"/>
        </w:rPr>
        <w:t xml:space="preserve">e </w:t>
      </w:r>
      <w:r w:rsidRPr="00932988">
        <w:rPr>
          <w:rFonts w:ascii="Palatino Linotype" w:hAnsi="Palatino Linotype" w:cs="Times New Roman"/>
          <w:color w:val="000000" w:themeColor="text1"/>
          <w:sz w:val="24"/>
          <w:szCs w:val="24"/>
        </w:rPr>
        <w:t xml:space="preserve">hospitalidade teriam caído cerca </w:t>
      </w:r>
      <w:r>
        <w:rPr>
          <w:rFonts w:ascii="Palatino Linotype" w:hAnsi="Palatino Linotype" w:cs="Times New Roman"/>
          <w:sz w:val="24"/>
          <w:szCs w:val="24"/>
        </w:rPr>
        <w:t>de 70%</w:t>
      </w:r>
      <w:r w:rsidR="00492658">
        <w:rPr>
          <w:rFonts w:ascii="Palatino Linotype" w:hAnsi="Palatino Linotype" w:cs="Times New Roman"/>
          <w:sz w:val="24"/>
          <w:szCs w:val="24"/>
        </w:rPr>
        <w:t xml:space="preserve"> em fevereiro</w:t>
      </w:r>
      <w:r>
        <w:rPr>
          <w:rFonts w:ascii="Palatino Linotype" w:hAnsi="Palatino Linotype" w:cs="Times New Roman"/>
          <w:sz w:val="24"/>
          <w:szCs w:val="24"/>
        </w:rPr>
        <w:t xml:space="preserve">, tendo em vista o fechamento de fronteira entres os países, a interdição de pontos turísticos, as recomendações para que não sejam feitas </w:t>
      </w:r>
      <w:r w:rsidR="00492658">
        <w:rPr>
          <w:rFonts w:ascii="Palatino Linotype" w:hAnsi="Palatino Linotype" w:cs="Times New Roman"/>
          <w:sz w:val="24"/>
          <w:szCs w:val="24"/>
        </w:rPr>
        <w:t>viagens durante a pandemia.</w:t>
      </w:r>
      <w:r>
        <w:rPr>
          <w:rFonts w:ascii="Palatino Linotype" w:hAnsi="Palatino Linotype" w:cs="Times New Roman"/>
          <w:sz w:val="24"/>
          <w:szCs w:val="24"/>
        </w:rPr>
        <w:t xml:space="preserve"> </w:t>
      </w:r>
      <w:r w:rsidR="00492658">
        <w:rPr>
          <w:rFonts w:ascii="Palatino Linotype" w:hAnsi="Palatino Linotype" w:cs="Times New Roman"/>
          <w:sz w:val="24"/>
          <w:szCs w:val="24"/>
        </w:rPr>
        <w:t xml:space="preserve">Já </w:t>
      </w:r>
      <w:r>
        <w:rPr>
          <w:rFonts w:ascii="Palatino Linotype" w:hAnsi="Palatino Linotype" w:cs="Times New Roman"/>
          <w:sz w:val="24"/>
          <w:szCs w:val="24"/>
        </w:rPr>
        <w:t xml:space="preserve">as </w:t>
      </w:r>
      <w:r w:rsidR="00492658">
        <w:rPr>
          <w:rFonts w:ascii="Palatino Linotype" w:hAnsi="Palatino Linotype" w:cs="Times New Roman"/>
          <w:sz w:val="24"/>
          <w:szCs w:val="24"/>
        </w:rPr>
        <w:t xml:space="preserve">ações </w:t>
      </w:r>
      <w:r>
        <w:rPr>
          <w:rFonts w:ascii="Palatino Linotype" w:hAnsi="Palatino Linotype" w:cs="Times New Roman"/>
          <w:sz w:val="24"/>
          <w:szCs w:val="24"/>
        </w:rPr>
        <w:t xml:space="preserve">de aviação </w:t>
      </w:r>
      <w:r w:rsidR="00492658">
        <w:rPr>
          <w:rFonts w:ascii="Palatino Linotype" w:hAnsi="Palatino Linotype" w:cs="Times New Roman"/>
          <w:sz w:val="24"/>
          <w:szCs w:val="24"/>
        </w:rPr>
        <w:t xml:space="preserve">na Ibovespa caíram </w:t>
      </w:r>
      <w:r>
        <w:rPr>
          <w:rFonts w:ascii="Palatino Linotype" w:hAnsi="Palatino Linotype" w:cs="Times New Roman"/>
          <w:sz w:val="24"/>
          <w:szCs w:val="24"/>
        </w:rPr>
        <w:t>em média 78%</w:t>
      </w:r>
      <w:r w:rsidR="00492658">
        <w:rPr>
          <w:rFonts w:ascii="Palatino Linotype" w:hAnsi="Palatino Linotype" w:cs="Times New Roman"/>
          <w:sz w:val="24"/>
          <w:szCs w:val="24"/>
        </w:rPr>
        <w:t>, também pelos motivos mencionados</w:t>
      </w:r>
      <w:r w:rsidR="00932988">
        <w:rPr>
          <w:rStyle w:val="Refdenotaderodap"/>
          <w:rFonts w:ascii="Palatino Linotype" w:hAnsi="Palatino Linotype" w:cs="Times New Roman"/>
          <w:sz w:val="24"/>
          <w:szCs w:val="24"/>
        </w:rPr>
        <w:footnoteReference w:id="9"/>
      </w:r>
      <w:r w:rsidR="00492658">
        <w:rPr>
          <w:rFonts w:ascii="Palatino Linotype" w:hAnsi="Palatino Linotype" w:cs="Times New Roman"/>
          <w:sz w:val="24"/>
          <w:szCs w:val="24"/>
        </w:rPr>
        <w:t>.</w:t>
      </w:r>
    </w:p>
    <w:p w:rsidR="00521B73" w:rsidRDefault="00521B73" w:rsidP="00492658">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Nesse cenário de crise, algumas empresas de turismo estão apostando em </w:t>
      </w:r>
      <w:proofErr w:type="spellStart"/>
      <w:r w:rsidRPr="00A1758C">
        <w:rPr>
          <w:rFonts w:ascii="Palatino Linotype" w:hAnsi="Palatino Linotype" w:cs="Times New Roman"/>
          <w:i/>
          <w:sz w:val="24"/>
          <w:szCs w:val="24"/>
        </w:rPr>
        <w:t>lives</w:t>
      </w:r>
      <w:proofErr w:type="spellEnd"/>
      <w:r>
        <w:rPr>
          <w:rFonts w:ascii="Palatino Linotype" w:hAnsi="Palatino Linotype" w:cs="Times New Roman"/>
          <w:sz w:val="24"/>
          <w:szCs w:val="24"/>
        </w:rPr>
        <w:t xml:space="preserve">, </w:t>
      </w:r>
      <w:proofErr w:type="spellStart"/>
      <w:r w:rsidRPr="00A1758C">
        <w:rPr>
          <w:rFonts w:ascii="Palatino Linotype" w:hAnsi="Palatino Linotype" w:cs="Times New Roman"/>
          <w:i/>
          <w:sz w:val="24"/>
          <w:szCs w:val="24"/>
        </w:rPr>
        <w:t>webinares</w:t>
      </w:r>
      <w:proofErr w:type="spellEnd"/>
      <w:r>
        <w:rPr>
          <w:rFonts w:ascii="Palatino Linotype" w:hAnsi="Palatino Linotype" w:cs="Times New Roman"/>
          <w:sz w:val="24"/>
          <w:szCs w:val="24"/>
        </w:rPr>
        <w:t>, operadoras, etc. de modo a continuar conectadas com agentes de viagem e viajantes em geral, levando conhecimento, novidades e perspectivas do mercado</w:t>
      </w:r>
      <w:r w:rsidR="00A1758C">
        <w:rPr>
          <w:rFonts w:ascii="Palatino Linotype" w:hAnsi="Palatino Linotype" w:cs="Times New Roman"/>
          <w:sz w:val="24"/>
          <w:szCs w:val="24"/>
        </w:rPr>
        <w:t>, como o Clube Amigo Agente CVC</w:t>
      </w:r>
      <w:r w:rsidR="00A1758C">
        <w:rPr>
          <w:rStyle w:val="Refdenotaderodap"/>
          <w:rFonts w:ascii="Palatino Linotype" w:hAnsi="Palatino Linotype" w:cs="Times New Roman"/>
          <w:sz w:val="24"/>
          <w:szCs w:val="24"/>
        </w:rPr>
        <w:footnoteReference w:id="10"/>
      </w:r>
      <w:r w:rsidR="00A1758C">
        <w:rPr>
          <w:rFonts w:ascii="Palatino Linotype" w:hAnsi="Palatino Linotype" w:cs="Times New Roman"/>
          <w:sz w:val="24"/>
          <w:szCs w:val="24"/>
        </w:rPr>
        <w:t>.</w:t>
      </w:r>
    </w:p>
    <w:p w:rsidR="00492658" w:rsidRDefault="00A1758C" w:rsidP="00492658">
      <w:pPr>
        <w:ind w:firstLine="1134"/>
        <w:jc w:val="both"/>
        <w:rPr>
          <w:rFonts w:ascii="Palatino Linotype" w:hAnsi="Palatino Linotype" w:cs="Times New Roman"/>
          <w:sz w:val="24"/>
          <w:szCs w:val="24"/>
        </w:rPr>
      </w:pPr>
      <w:r>
        <w:rPr>
          <w:rFonts w:ascii="Palatino Linotype" w:hAnsi="Palatino Linotype" w:cs="Times New Roman"/>
          <w:sz w:val="24"/>
          <w:szCs w:val="24"/>
        </w:rPr>
        <w:t>Já na aviação, e</w:t>
      </w:r>
      <w:r w:rsidR="00492658" w:rsidRPr="00492658">
        <w:rPr>
          <w:rFonts w:ascii="Palatino Linotype" w:hAnsi="Palatino Linotype" w:cs="Times New Roman"/>
          <w:sz w:val="24"/>
          <w:szCs w:val="24"/>
        </w:rPr>
        <w:t xml:space="preserve">m memorando aos funcionários, o diretor executivo da British Airways, Alex Cruz, descreveu a situação como uma "crise de proporções globais como jamais vimos": "Alguns de nós trabalhávamos na aviação durante a crise financeira global, o surto de SARS e o 11 de setembro. O que acontece neste momento, em decorrência da </w:t>
      </w:r>
      <w:r w:rsidRPr="00492658">
        <w:rPr>
          <w:rFonts w:ascii="Palatino Linotype" w:hAnsi="Palatino Linotype" w:cs="Times New Roman"/>
          <w:sz w:val="24"/>
          <w:szCs w:val="24"/>
        </w:rPr>
        <w:t>Covid</w:t>
      </w:r>
      <w:r w:rsidR="00492658" w:rsidRPr="00492658">
        <w:rPr>
          <w:rFonts w:ascii="Palatino Linotype" w:hAnsi="Palatino Linotype" w:cs="Times New Roman"/>
          <w:sz w:val="24"/>
          <w:szCs w:val="24"/>
        </w:rPr>
        <w:t>-19, é mais sério do q</w:t>
      </w:r>
      <w:r w:rsidR="00492658">
        <w:rPr>
          <w:rFonts w:ascii="Palatino Linotype" w:hAnsi="Palatino Linotype" w:cs="Times New Roman"/>
          <w:sz w:val="24"/>
          <w:szCs w:val="24"/>
        </w:rPr>
        <w:t>ue qualquer um desses eventos"</w:t>
      </w:r>
      <w:r w:rsidR="00492658">
        <w:rPr>
          <w:rStyle w:val="Refdenotaderodap"/>
          <w:rFonts w:ascii="Palatino Linotype" w:hAnsi="Palatino Linotype" w:cs="Times New Roman"/>
          <w:sz w:val="24"/>
          <w:szCs w:val="24"/>
        </w:rPr>
        <w:footnoteReference w:id="11"/>
      </w:r>
      <w:r w:rsidR="00492658">
        <w:rPr>
          <w:rFonts w:ascii="Palatino Linotype" w:hAnsi="Palatino Linotype" w:cs="Times New Roman"/>
          <w:sz w:val="24"/>
          <w:szCs w:val="24"/>
        </w:rPr>
        <w:t>.</w:t>
      </w:r>
    </w:p>
    <w:p w:rsidR="00DB3A9E" w:rsidRDefault="00DB3A9E" w:rsidP="00492658">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Diversas companhias aéreas </w:t>
      </w:r>
      <w:r w:rsidR="00E11908">
        <w:rPr>
          <w:rFonts w:ascii="Palatino Linotype" w:hAnsi="Palatino Linotype" w:cs="Times New Roman"/>
          <w:sz w:val="24"/>
          <w:szCs w:val="24"/>
        </w:rPr>
        <w:t xml:space="preserve">têm adotado diferentes formas de lidar com cancelamentos de voos, além das tentativas dos consumidores de adiar ou cancelar e pedir o reembolso das respectivas passagens aéreas. Esse tema está sendo considerado polêmico pois empresas como a TAP Portugal, por exemplo, tem </w:t>
      </w:r>
      <w:r w:rsidR="00BC321F">
        <w:rPr>
          <w:rFonts w:ascii="Palatino Linotype" w:hAnsi="Palatino Linotype" w:cs="Times New Roman"/>
          <w:sz w:val="24"/>
          <w:szCs w:val="24"/>
        </w:rPr>
        <w:t>dificultado que se realize o tanto o cancelamento</w:t>
      </w:r>
      <w:r w:rsidR="00E11908">
        <w:rPr>
          <w:rFonts w:ascii="Palatino Linotype" w:hAnsi="Palatino Linotype" w:cs="Times New Roman"/>
          <w:sz w:val="24"/>
          <w:szCs w:val="24"/>
        </w:rPr>
        <w:t xml:space="preserve"> </w:t>
      </w:r>
      <w:r w:rsidR="00BC321F">
        <w:rPr>
          <w:rFonts w:ascii="Palatino Linotype" w:hAnsi="Palatino Linotype" w:cs="Times New Roman"/>
          <w:sz w:val="24"/>
          <w:szCs w:val="24"/>
        </w:rPr>
        <w:t>quanto o reembolso</w:t>
      </w:r>
      <w:r w:rsidR="00E11908">
        <w:rPr>
          <w:rFonts w:ascii="Palatino Linotype" w:hAnsi="Palatino Linotype" w:cs="Times New Roman"/>
          <w:sz w:val="24"/>
          <w:szCs w:val="24"/>
        </w:rPr>
        <w:t>.</w:t>
      </w:r>
    </w:p>
    <w:p w:rsidR="00E11908" w:rsidRDefault="00BC321F" w:rsidP="00BC321F">
      <w:pPr>
        <w:ind w:firstLine="1134"/>
        <w:jc w:val="both"/>
        <w:rPr>
          <w:rFonts w:ascii="Palatino Linotype" w:hAnsi="Palatino Linotype" w:cs="Times New Roman"/>
          <w:sz w:val="24"/>
          <w:szCs w:val="24"/>
        </w:rPr>
      </w:pPr>
      <w:r>
        <w:rPr>
          <w:rFonts w:ascii="Palatino Linotype" w:hAnsi="Palatino Linotype" w:cs="Times New Roman"/>
          <w:sz w:val="24"/>
          <w:szCs w:val="24"/>
        </w:rPr>
        <w:t>Nos casos em que as operações para o destino e os voos forem cancelados, nos que as operações para o destino se mantêm, mas o voo específico tenha sido cancelado e na situação de querer alterar ou</w:t>
      </w:r>
      <w:r w:rsidRPr="00932988">
        <w:rPr>
          <w:rFonts w:ascii="Palatino Linotype" w:hAnsi="Palatino Linotype" w:cs="Times New Roman"/>
          <w:color w:val="000000" w:themeColor="text1"/>
          <w:sz w:val="24"/>
          <w:szCs w:val="24"/>
        </w:rPr>
        <w:t xml:space="preserve"> </w:t>
      </w:r>
      <w:r w:rsidR="00932988" w:rsidRPr="00932988">
        <w:rPr>
          <w:rFonts w:ascii="Palatino Linotype" w:hAnsi="Palatino Linotype" w:cs="Times New Roman"/>
          <w:color w:val="000000" w:themeColor="text1"/>
          <w:sz w:val="24"/>
          <w:szCs w:val="24"/>
        </w:rPr>
        <w:t>desistir</w:t>
      </w:r>
      <w:r w:rsidRPr="00932988">
        <w:rPr>
          <w:rFonts w:ascii="Palatino Linotype" w:hAnsi="Palatino Linotype" w:cs="Times New Roman"/>
          <w:color w:val="000000" w:themeColor="text1"/>
          <w:sz w:val="24"/>
          <w:szCs w:val="24"/>
        </w:rPr>
        <w:t xml:space="preserve"> </w:t>
      </w:r>
      <w:r>
        <w:rPr>
          <w:rFonts w:ascii="Palatino Linotype" w:hAnsi="Palatino Linotype" w:cs="Times New Roman"/>
          <w:sz w:val="24"/>
          <w:szCs w:val="24"/>
        </w:rPr>
        <w:t>da viagem, a companhia permite apenas a emissão de um voucher no valor correspondente pago</w:t>
      </w:r>
      <w:r>
        <w:rPr>
          <w:rStyle w:val="Refdenotaderodap"/>
          <w:rFonts w:ascii="Palatino Linotype" w:hAnsi="Palatino Linotype" w:cs="Times New Roman"/>
          <w:sz w:val="24"/>
          <w:szCs w:val="24"/>
        </w:rPr>
        <w:footnoteReference w:id="12"/>
      </w:r>
      <w:r>
        <w:rPr>
          <w:rFonts w:ascii="Palatino Linotype" w:hAnsi="Palatino Linotype" w:cs="Times New Roman"/>
          <w:sz w:val="24"/>
          <w:szCs w:val="24"/>
        </w:rPr>
        <w:t>.</w:t>
      </w:r>
    </w:p>
    <w:p w:rsidR="000416F2" w:rsidRDefault="000416F2" w:rsidP="007F3D2F">
      <w:pPr>
        <w:ind w:firstLine="1134"/>
        <w:jc w:val="both"/>
        <w:rPr>
          <w:rFonts w:ascii="Palatino Linotype" w:hAnsi="Palatino Linotype" w:cs="Times New Roman"/>
          <w:sz w:val="24"/>
          <w:szCs w:val="24"/>
        </w:rPr>
      </w:pPr>
    </w:p>
    <w:p w:rsidR="000E0A06" w:rsidRPr="009B4093" w:rsidRDefault="000416F2" w:rsidP="000E0A06">
      <w:pPr>
        <w:pStyle w:val="PargrafodaLista"/>
        <w:numPr>
          <w:ilvl w:val="1"/>
          <w:numId w:val="4"/>
        </w:numPr>
        <w:pBdr>
          <w:left w:val="single" w:sz="4" w:space="4" w:color="auto"/>
          <w:bottom w:val="single" w:sz="4" w:space="1" w:color="auto"/>
        </w:pBdr>
        <w:ind w:hanging="508"/>
        <w:jc w:val="both"/>
        <w:rPr>
          <w:rFonts w:ascii="Palatino Linotype" w:hAnsi="Palatino Linotype" w:cs="Times New Roman"/>
          <w:b/>
          <w:sz w:val="24"/>
          <w:szCs w:val="24"/>
        </w:rPr>
      </w:pPr>
      <w:r>
        <w:rPr>
          <w:rFonts w:ascii="Palatino Linotype" w:hAnsi="Palatino Linotype" w:cs="Times New Roman"/>
          <w:b/>
          <w:sz w:val="24"/>
          <w:szCs w:val="24"/>
        </w:rPr>
        <w:t>Varejo</w:t>
      </w:r>
      <w:r w:rsidR="000F3792">
        <w:rPr>
          <w:rFonts w:ascii="Palatino Linotype" w:hAnsi="Palatino Linotype" w:cs="Times New Roman"/>
          <w:b/>
          <w:sz w:val="24"/>
          <w:szCs w:val="24"/>
        </w:rPr>
        <w:t xml:space="preserve"> e Restaurantes</w:t>
      </w:r>
    </w:p>
    <w:p w:rsidR="000E0A06" w:rsidRPr="00320766" w:rsidRDefault="000E0A06" w:rsidP="000416F2">
      <w:pPr>
        <w:jc w:val="both"/>
        <w:rPr>
          <w:rFonts w:ascii="Palatino Linotype" w:hAnsi="Palatino Linotype" w:cs="Times New Roman"/>
          <w:b/>
          <w:sz w:val="24"/>
          <w:szCs w:val="24"/>
        </w:rPr>
      </w:pPr>
    </w:p>
    <w:p w:rsidR="006501E8" w:rsidRDefault="00D46AC6" w:rsidP="00CA449C">
      <w:pPr>
        <w:ind w:firstLine="1134"/>
        <w:jc w:val="both"/>
        <w:rPr>
          <w:rFonts w:ascii="Palatino Linotype" w:hAnsi="Palatino Linotype" w:cs="Times New Roman"/>
          <w:sz w:val="24"/>
          <w:szCs w:val="24"/>
        </w:rPr>
      </w:pPr>
      <w:r w:rsidRPr="00320766">
        <w:rPr>
          <w:rFonts w:ascii="Palatino Linotype" w:hAnsi="Palatino Linotype" w:cs="Times New Roman"/>
          <w:sz w:val="24"/>
          <w:szCs w:val="24"/>
        </w:rPr>
        <w:t>Com o fechamento de shoppings e lojas, além de menor circulação dos consumidores, as vendas no varejo tendem a ter dificuldades</w:t>
      </w:r>
      <w:r w:rsidR="00A1758C">
        <w:rPr>
          <w:rFonts w:ascii="Palatino Linotype" w:hAnsi="Palatino Linotype" w:cs="Times New Roman"/>
          <w:sz w:val="24"/>
          <w:szCs w:val="24"/>
        </w:rPr>
        <w:t>.</w:t>
      </w:r>
      <w:r w:rsidRPr="00320766">
        <w:rPr>
          <w:rFonts w:ascii="Palatino Linotype" w:hAnsi="Palatino Linotype" w:cs="Times New Roman"/>
          <w:sz w:val="24"/>
          <w:szCs w:val="24"/>
        </w:rPr>
        <w:t xml:space="preserve"> </w:t>
      </w:r>
      <w:r w:rsidR="00A1758C" w:rsidRPr="00320766">
        <w:rPr>
          <w:rFonts w:ascii="Palatino Linotype" w:hAnsi="Palatino Linotype" w:cs="Times New Roman"/>
          <w:sz w:val="24"/>
          <w:szCs w:val="24"/>
        </w:rPr>
        <w:t xml:space="preserve">No </w:t>
      </w:r>
      <w:r w:rsidRPr="00320766">
        <w:rPr>
          <w:rFonts w:ascii="Palatino Linotype" w:hAnsi="Palatino Linotype" w:cs="Times New Roman"/>
          <w:sz w:val="24"/>
          <w:szCs w:val="24"/>
        </w:rPr>
        <w:t xml:space="preserve">entanto, abrem-se mais </w:t>
      </w:r>
      <w:r w:rsidRPr="00320766">
        <w:rPr>
          <w:rFonts w:ascii="Palatino Linotype" w:hAnsi="Palatino Linotype" w:cs="Times New Roman"/>
          <w:sz w:val="24"/>
          <w:szCs w:val="24"/>
        </w:rPr>
        <w:lastRenderedPageBreak/>
        <w:t xml:space="preserve">oportunidades à possibilidade do varejo </w:t>
      </w:r>
      <w:r w:rsidRPr="00320766">
        <w:rPr>
          <w:rFonts w:ascii="Palatino Linotype" w:hAnsi="Palatino Linotype" w:cs="Times New Roman"/>
          <w:i/>
          <w:sz w:val="24"/>
          <w:szCs w:val="24"/>
        </w:rPr>
        <w:t>online</w:t>
      </w:r>
      <w:r w:rsidR="006501E8">
        <w:rPr>
          <w:rFonts w:ascii="Palatino Linotype" w:hAnsi="Palatino Linotype" w:cs="Times New Roman"/>
          <w:sz w:val="24"/>
          <w:szCs w:val="24"/>
        </w:rPr>
        <w:t xml:space="preserve">, assim como a proibição de manter-se abertos restaurantes, podendo estes funcionar apenas como </w:t>
      </w:r>
      <w:r w:rsidR="006501E8" w:rsidRPr="006501E8">
        <w:rPr>
          <w:rFonts w:ascii="Palatino Linotype" w:hAnsi="Palatino Linotype" w:cs="Times New Roman"/>
          <w:i/>
          <w:sz w:val="24"/>
          <w:szCs w:val="24"/>
        </w:rPr>
        <w:t>delivery</w:t>
      </w:r>
      <w:r w:rsidR="006501E8">
        <w:rPr>
          <w:rFonts w:ascii="Palatino Linotype" w:hAnsi="Palatino Linotype" w:cs="Times New Roman"/>
          <w:sz w:val="24"/>
          <w:szCs w:val="24"/>
        </w:rPr>
        <w:t>.</w:t>
      </w:r>
    </w:p>
    <w:p w:rsidR="000E0A06" w:rsidRDefault="00320766" w:rsidP="00CA449C">
      <w:pPr>
        <w:ind w:firstLine="1134"/>
        <w:jc w:val="both"/>
        <w:rPr>
          <w:rFonts w:ascii="Palatino Linotype" w:hAnsi="Palatino Linotype" w:cs="Times New Roman"/>
          <w:sz w:val="24"/>
          <w:szCs w:val="24"/>
        </w:rPr>
      </w:pPr>
      <w:r w:rsidRPr="00320766">
        <w:rPr>
          <w:rFonts w:ascii="Palatino Linotype" w:hAnsi="Palatino Linotype" w:cs="Times New Roman"/>
          <w:sz w:val="24"/>
          <w:szCs w:val="24"/>
        </w:rPr>
        <w:t>O presi</w:t>
      </w:r>
      <w:r>
        <w:rPr>
          <w:rFonts w:ascii="Palatino Linotype" w:hAnsi="Palatino Linotype" w:cs="Times New Roman"/>
          <w:sz w:val="24"/>
          <w:szCs w:val="24"/>
        </w:rPr>
        <w:t>dente da Confederação Nacional dos Diretores Lojistas (CNDL), José César da Costa</w:t>
      </w:r>
      <w:r w:rsidR="00C13E12">
        <w:rPr>
          <w:rStyle w:val="Refdenotaderodap"/>
          <w:rFonts w:ascii="Palatino Linotype" w:hAnsi="Palatino Linotype" w:cs="Times New Roman"/>
          <w:sz w:val="24"/>
          <w:szCs w:val="24"/>
        </w:rPr>
        <w:footnoteReference w:id="13"/>
      </w:r>
      <w:r>
        <w:rPr>
          <w:rFonts w:ascii="Palatino Linotype" w:hAnsi="Palatino Linotype" w:cs="Times New Roman"/>
          <w:sz w:val="24"/>
          <w:szCs w:val="24"/>
        </w:rPr>
        <w:t xml:space="preserve">, </w:t>
      </w:r>
      <w:r w:rsidR="00C13E12">
        <w:rPr>
          <w:rFonts w:ascii="Palatino Linotype" w:hAnsi="Palatino Linotype" w:cs="Times New Roman"/>
          <w:sz w:val="24"/>
          <w:szCs w:val="24"/>
        </w:rPr>
        <w:t>estima que o setor de comércio e serviços seja impactado negat</w:t>
      </w:r>
      <w:r w:rsidR="006501E8">
        <w:rPr>
          <w:rFonts w:ascii="Palatino Linotype" w:hAnsi="Palatino Linotype" w:cs="Times New Roman"/>
          <w:sz w:val="24"/>
          <w:szCs w:val="24"/>
        </w:rPr>
        <w:t>ivamente em mais de R</w:t>
      </w:r>
      <w:r w:rsidR="00C13E12">
        <w:rPr>
          <w:rFonts w:ascii="Palatino Linotype" w:hAnsi="Palatino Linotype" w:cs="Times New Roman"/>
          <w:sz w:val="24"/>
          <w:szCs w:val="24"/>
        </w:rPr>
        <w:t>$ 100 bilhões nos próximos meses, tendo como premissa a normalização das atividades a partir de maio.</w:t>
      </w:r>
    </w:p>
    <w:p w:rsidR="00C13E12" w:rsidRDefault="00C13E12" w:rsidP="00CA449C">
      <w:pPr>
        <w:ind w:firstLine="1134"/>
        <w:jc w:val="both"/>
        <w:rPr>
          <w:rFonts w:ascii="Palatino Linotype" w:hAnsi="Palatino Linotype" w:cs="Times New Roman"/>
          <w:sz w:val="24"/>
          <w:szCs w:val="24"/>
        </w:rPr>
      </w:pPr>
      <w:r>
        <w:rPr>
          <w:rFonts w:ascii="Palatino Linotype" w:hAnsi="Palatino Linotype" w:cs="Times New Roman"/>
          <w:sz w:val="24"/>
          <w:szCs w:val="24"/>
        </w:rPr>
        <w:t>A Medida Provisória de nº 927/2020 traz adaptações às regras trabalhistas para o enfrentamento dos efeitos da pandemia, atendendo às solicitações levadas pelo setor de com</w:t>
      </w:r>
      <w:r w:rsidRPr="007954DB">
        <w:rPr>
          <w:rFonts w:ascii="Palatino Linotype" w:hAnsi="Palatino Linotype" w:cs="Times New Roman"/>
          <w:sz w:val="24"/>
          <w:szCs w:val="24"/>
        </w:rPr>
        <w:t>ércio e serviços para viabilizar a manutenção de empresas e de postos de trabalho.</w:t>
      </w:r>
      <w:r w:rsidR="006501E8">
        <w:rPr>
          <w:rFonts w:ascii="Palatino Linotype" w:hAnsi="Palatino Linotype" w:cs="Times New Roman"/>
          <w:sz w:val="24"/>
          <w:szCs w:val="24"/>
        </w:rPr>
        <w:t xml:space="preserve"> Segundo levantamento da Associação Nacional de Restaurantes</w:t>
      </w:r>
      <w:r w:rsidR="00A1758C">
        <w:rPr>
          <w:rFonts w:ascii="Palatino Linotype" w:hAnsi="Palatino Linotype" w:cs="Times New Roman"/>
          <w:sz w:val="24"/>
          <w:szCs w:val="24"/>
        </w:rPr>
        <w:t xml:space="preserve"> (ANR)</w:t>
      </w:r>
      <w:r w:rsidR="006501E8">
        <w:rPr>
          <w:rFonts w:ascii="Palatino Linotype" w:hAnsi="Palatino Linotype" w:cs="Times New Roman"/>
          <w:sz w:val="24"/>
          <w:szCs w:val="24"/>
        </w:rPr>
        <w:t>, 21,43% das empresas consultadas não devem reabrir após a pandemia, além de estimar q</w:t>
      </w:r>
      <w:r w:rsidR="001A5338">
        <w:rPr>
          <w:rFonts w:ascii="Palatino Linotype" w:hAnsi="Palatino Linotype" w:cs="Times New Roman"/>
          <w:sz w:val="24"/>
          <w:szCs w:val="24"/>
        </w:rPr>
        <w:t>u</w:t>
      </w:r>
      <w:r w:rsidR="006501E8">
        <w:rPr>
          <w:rFonts w:ascii="Palatino Linotype" w:hAnsi="Palatino Linotype" w:cs="Times New Roman"/>
          <w:sz w:val="24"/>
          <w:szCs w:val="24"/>
        </w:rPr>
        <w:t>e o setor de alimentação já demitiu cerca de 1 milhão de pessoas, desde o início da crise desencadeada pelo novo coronavírus</w:t>
      </w:r>
      <w:r w:rsidR="006501E8">
        <w:rPr>
          <w:rStyle w:val="Refdenotaderodap"/>
          <w:rFonts w:ascii="Palatino Linotype" w:hAnsi="Palatino Linotype" w:cs="Times New Roman"/>
          <w:sz w:val="24"/>
          <w:szCs w:val="24"/>
        </w:rPr>
        <w:footnoteReference w:id="14"/>
      </w:r>
      <w:r w:rsidR="006501E8">
        <w:rPr>
          <w:rFonts w:ascii="Palatino Linotype" w:hAnsi="Palatino Linotype" w:cs="Times New Roman"/>
          <w:sz w:val="24"/>
          <w:szCs w:val="24"/>
        </w:rPr>
        <w:t>.</w:t>
      </w:r>
    </w:p>
    <w:p w:rsidR="001A5338" w:rsidRPr="007954DB" w:rsidRDefault="001A5338" w:rsidP="001A5338">
      <w:pPr>
        <w:ind w:firstLine="1134"/>
        <w:jc w:val="both"/>
        <w:rPr>
          <w:rFonts w:ascii="Palatino Linotype" w:hAnsi="Palatino Linotype" w:cs="Times New Roman"/>
          <w:sz w:val="24"/>
          <w:szCs w:val="24"/>
        </w:rPr>
      </w:pPr>
      <w:r w:rsidRPr="001A5338">
        <w:rPr>
          <w:rFonts w:ascii="Palatino Linotype" w:hAnsi="Palatino Linotype" w:cs="Times New Roman"/>
          <w:sz w:val="24"/>
          <w:szCs w:val="24"/>
        </w:rPr>
        <w:t>Para Cristiano Melles, presidente da ANR, as medidas tomadas pelo governo para ajudar as em</w:t>
      </w:r>
      <w:r>
        <w:rPr>
          <w:rFonts w:ascii="Palatino Linotype" w:hAnsi="Palatino Linotype" w:cs="Times New Roman"/>
          <w:sz w:val="24"/>
          <w:szCs w:val="24"/>
        </w:rPr>
        <w:t xml:space="preserve">presas ainda são insuficientes. </w:t>
      </w:r>
      <w:r w:rsidRPr="001A5338">
        <w:rPr>
          <w:rFonts w:ascii="Palatino Linotype" w:hAnsi="Palatino Linotype" w:cs="Times New Roman"/>
          <w:sz w:val="24"/>
          <w:szCs w:val="24"/>
        </w:rPr>
        <w:t>“Neste momento estamos empenhados em convencer deputados e senadores, e também o Ministério da Economia, a ampliar os prazos da MP dos Salários”, afirmou, em comunicado. A ANR propõe aumentar de 60 para 120 dias o prazo para suspensão de contratos de trabalho e de 90 para 150 dias o prazo para redução de jornada</w:t>
      </w:r>
      <w:r>
        <w:rPr>
          <w:rStyle w:val="Refdenotaderodap"/>
          <w:rFonts w:ascii="Palatino Linotype" w:hAnsi="Palatino Linotype" w:cs="Times New Roman"/>
          <w:sz w:val="24"/>
          <w:szCs w:val="24"/>
        </w:rPr>
        <w:footnoteReference w:id="15"/>
      </w:r>
      <w:r w:rsidRPr="001A5338">
        <w:rPr>
          <w:rFonts w:ascii="Palatino Linotype" w:hAnsi="Palatino Linotype" w:cs="Times New Roman"/>
          <w:sz w:val="24"/>
          <w:szCs w:val="24"/>
        </w:rPr>
        <w:t>.</w:t>
      </w:r>
    </w:p>
    <w:p w:rsidR="00C13E12" w:rsidRPr="007954DB" w:rsidRDefault="00C13E12" w:rsidP="00CA449C">
      <w:pPr>
        <w:ind w:firstLine="1134"/>
        <w:jc w:val="both"/>
        <w:rPr>
          <w:rFonts w:ascii="Palatino Linotype" w:hAnsi="Palatino Linotype" w:cs="Times New Roman"/>
          <w:sz w:val="24"/>
          <w:szCs w:val="24"/>
        </w:rPr>
      </w:pPr>
      <w:r w:rsidRPr="007954DB">
        <w:rPr>
          <w:rFonts w:ascii="Palatino Linotype" w:hAnsi="Palatino Linotype" w:cs="Times New Roman"/>
          <w:sz w:val="24"/>
          <w:szCs w:val="24"/>
        </w:rPr>
        <w:t xml:space="preserve">Além disso, na esfera privada, também é possível observar tentativas de diminuir o grande impacto que </w:t>
      </w:r>
      <w:r w:rsidR="00253605" w:rsidRPr="007954DB">
        <w:rPr>
          <w:rFonts w:ascii="Palatino Linotype" w:hAnsi="Palatino Linotype" w:cs="Times New Roman"/>
          <w:sz w:val="24"/>
          <w:szCs w:val="24"/>
        </w:rPr>
        <w:t xml:space="preserve">o fechamento das lojas físicas têm causado. </w:t>
      </w:r>
      <w:r w:rsidR="00932988" w:rsidRPr="00932988">
        <w:rPr>
          <w:rFonts w:ascii="Palatino Linotype" w:hAnsi="Palatino Linotype" w:cs="Times New Roman"/>
          <w:color w:val="000000" w:themeColor="text1"/>
          <w:sz w:val="24"/>
          <w:szCs w:val="24"/>
        </w:rPr>
        <w:t>U</w:t>
      </w:r>
      <w:r w:rsidR="00253605" w:rsidRPr="00932988">
        <w:rPr>
          <w:rFonts w:ascii="Palatino Linotype" w:hAnsi="Palatino Linotype" w:cs="Times New Roman"/>
          <w:color w:val="000000" w:themeColor="text1"/>
          <w:sz w:val="24"/>
          <w:szCs w:val="24"/>
        </w:rPr>
        <w:t>m exemplo é o observado pela rede Iguatemi, dona de participação de 16 shoppi</w:t>
      </w:r>
      <w:r w:rsidR="00253605" w:rsidRPr="007954DB">
        <w:rPr>
          <w:rFonts w:ascii="Palatino Linotype" w:hAnsi="Palatino Linotype" w:cs="Times New Roman"/>
          <w:sz w:val="24"/>
          <w:szCs w:val="24"/>
        </w:rPr>
        <w:t>ngs no país, que suspendeu a cobrança de aluguel dos seus lojistas no mês de m</w:t>
      </w:r>
      <w:r w:rsidR="00A1758C">
        <w:rPr>
          <w:rFonts w:ascii="Palatino Linotype" w:hAnsi="Palatino Linotype" w:cs="Times New Roman"/>
          <w:sz w:val="24"/>
          <w:szCs w:val="24"/>
        </w:rPr>
        <w:t>arço, devido à pandemia</w:t>
      </w:r>
      <w:r w:rsidR="00253605" w:rsidRPr="007954DB">
        <w:rPr>
          <w:rFonts w:ascii="Palatino Linotype" w:hAnsi="Palatino Linotype" w:cs="Times New Roman"/>
          <w:sz w:val="24"/>
          <w:szCs w:val="24"/>
        </w:rPr>
        <w:t>.</w:t>
      </w:r>
    </w:p>
    <w:p w:rsidR="00751943" w:rsidRPr="007954DB" w:rsidRDefault="00253605" w:rsidP="00CA449C">
      <w:pPr>
        <w:ind w:firstLine="1134"/>
        <w:jc w:val="both"/>
        <w:rPr>
          <w:rFonts w:ascii="Palatino Linotype" w:hAnsi="Palatino Linotype" w:cs="Times New Roman"/>
          <w:sz w:val="24"/>
          <w:szCs w:val="24"/>
        </w:rPr>
      </w:pPr>
      <w:r w:rsidRPr="007954DB">
        <w:rPr>
          <w:rFonts w:ascii="Palatino Linotype" w:hAnsi="Palatino Linotype" w:cs="Times New Roman"/>
          <w:sz w:val="24"/>
          <w:szCs w:val="24"/>
        </w:rPr>
        <w:t xml:space="preserve">A vice-presidente Financeira e de </w:t>
      </w:r>
      <w:r w:rsidRPr="008B4251">
        <w:rPr>
          <w:rFonts w:ascii="Palatino Linotype" w:hAnsi="Palatino Linotype" w:cs="Times New Roman"/>
          <w:color w:val="000000" w:themeColor="text1"/>
          <w:sz w:val="24"/>
          <w:szCs w:val="24"/>
        </w:rPr>
        <w:t xml:space="preserve">Relações </w:t>
      </w:r>
      <w:r w:rsidR="008B4251" w:rsidRPr="008B4251">
        <w:rPr>
          <w:rFonts w:ascii="Palatino Linotype" w:hAnsi="Palatino Linotype" w:cs="Times New Roman"/>
          <w:color w:val="000000" w:themeColor="text1"/>
          <w:sz w:val="24"/>
          <w:szCs w:val="24"/>
        </w:rPr>
        <w:t>c</w:t>
      </w:r>
      <w:r w:rsidRPr="008B4251">
        <w:rPr>
          <w:rFonts w:ascii="Palatino Linotype" w:hAnsi="Palatino Linotype" w:cs="Times New Roman"/>
          <w:color w:val="000000" w:themeColor="text1"/>
          <w:sz w:val="24"/>
          <w:szCs w:val="24"/>
        </w:rPr>
        <w:t xml:space="preserve">om </w:t>
      </w:r>
      <w:r w:rsidRPr="007954DB">
        <w:rPr>
          <w:rFonts w:ascii="Palatino Linotype" w:hAnsi="Palatino Linotype" w:cs="Times New Roman"/>
          <w:sz w:val="24"/>
          <w:szCs w:val="24"/>
        </w:rPr>
        <w:t xml:space="preserve">Investidores da Iguatemi, Cristina </w:t>
      </w:r>
      <w:proofErr w:type="spellStart"/>
      <w:r w:rsidRPr="007954DB">
        <w:rPr>
          <w:rFonts w:ascii="Palatino Linotype" w:hAnsi="Palatino Linotype" w:cs="Times New Roman"/>
          <w:sz w:val="24"/>
          <w:szCs w:val="24"/>
        </w:rPr>
        <w:t>Betts</w:t>
      </w:r>
      <w:proofErr w:type="spellEnd"/>
      <w:r w:rsidRPr="007954DB">
        <w:rPr>
          <w:rFonts w:ascii="Palatino Linotype" w:hAnsi="Palatino Linotype" w:cs="Times New Roman"/>
          <w:sz w:val="24"/>
          <w:szCs w:val="24"/>
        </w:rPr>
        <w:t xml:space="preserve">, afirma, sobre essa </w:t>
      </w:r>
      <w:r w:rsidRPr="00A1758C">
        <w:rPr>
          <w:rFonts w:ascii="Palatino Linotype" w:hAnsi="Palatino Linotype" w:cs="Times New Roman"/>
          <w:sz w:val="24"/>
          <w:szCs w:val="24"/>
        </w:rPr>
        <w:t>modificação momentânea nos contratos</w:t>
      </w:r>
      <w:r w:rsidRPr="007954DB">
        <w:rPr>
          <w:rFonts w:ascii="Palatino Linotype" w:hAnsi="Palatino Linotype" w:cs="Times New Roman"/>
          <w:sz w:val="24"/>
          <w:szCs w:val="24"/>
        </w:rPr>
        <w:t xml:space="preserve"> de aluguel: “Quando se fala em suspensão do aluguel, estamos abrindo mão do pagamento agora e jogando para frente. Não é momento de discutir com 3.000 lojas o que faremos em cada caso. Suspendemos a cobrança e entendemos que essa discussão ficará para depois", explicou Cristina. "Aluguel é o que paga as contas da Iguatemi (como </w:t>
      </w:r>
      <w:r w:rsidRPr="008B4251">
        <w:rPr>
          <w:rFonts w:ascii="Palatino Linotype" w:hAnsi="Palatino Linotype" w:cs="Times New Roman"/>
          <w:i/>
          <w:color w:val="000000" w:themeColor="text1"/>
          <w:sz w:val="24"/>
          <w:szCs w:val="24"/>
        </w:rPr>
        <w:t>holding</w:t>
      </w:r>
      <w:r w:rsidRPr="008B4251">
        <w:rPr>
          <w:rFonts w:ascii="Palatino Linotype" w:hAnsi="Palatino Linotype" w:cs="Times New Roman"/>
          <w:color w:val="000000" w:themeColor="text1"/>
          <w:sz w:val="24"/>
          <w:szCs w:val="24"/>
        </w:rPr>
        <w:t xml:space="preserve">). </w:t>
      </w:r>
      <w:r w:rsidRPr="007954DB">
        <w:rPr>
          <w:rFonts w:ascii="Palatino Linotype" w:hAnsi="Palatino Linotype" w:cs="Times New Roman"/>
          <w:sz w:val="24"/>
          <w:szCs w:val="24"/>
        </w:rPr>
        <w:t>Suspender o aluguel é a nossa contribuição no momento. Entendemos que o momento é de preservar a liquidez (dos lojistas)", completou</w:t>
      </w:r>
      <w:r w:rsidR="00751943" w:rsidRPr="007954DB">
        <w:rPr>
          <w:rStyle w:val="Refdenotaderodap"/>
          <w:rFonts w:ascii="Palatino Linotype" w:hAnsi="Palatino Linotype" w:cs="Times New Roman"/>
          <w:sz w:val="24"/>
          <w:szCs w:val="24"/>
        </w:rPr>
        <w:footnoteReference w:id="16"/>
      </w:r>
      <w:r w:rsidRPr="007954DB">
        <w:rPr>
          <w:rFonts w:ascii="Palatino Linotype" w:hAnsi="Palatino Linotype" w:cs="Times New Roman"/>
          <w:sz w:val="24"/>
          <w:szCs w:val="24"/>
        </w:rPr>
        <w:t xml:space="preserve">. </w:t>
      </w:r>
    </w:p>
    <w:p w:rsidR="00253605" w:rsidRPr="007954DB" w:rsidRDefault="00751943" w:rsidP="00CA449C">
      <w:pPr>
        <w:ind w:firstLine="1134"/>
        <w:jc w:val="both"/>
        <w:rPr>
          <w:rFonts w:ascii="Palatino Linotype" w:hAnsi="Palatino Linotype" w:cs="Times New Roman"/>
          <w:sz w:val="24"/>
          <w:szCs w:val="24"/>
        </w:rPr>
      </w:pPr>
      <w:r w:rsidRPr="007954DB">
        <w:rPr>
          <w:rFonts w:ascii="Palatino Linotype" w:hAnsi="Palatino Linotype" w:cs="Times New Roman"/>
          <w:sz w:val="24"/>
          <w:szCs w:val="24"/>
        </w:rPr>
        <w:t>“A executiva disse que</w:t>
      </w:r>
      <w:r w:rsidRPr="007954DB">
        <w:rPr>
          <w:rFonts w:ascii="Palatino Linotype" w:hAnsi="Palatino Linotype"/>
        </w:rPr>
        <w:t xml:space="preserve"> </w:t>
      </w:r>
      <w:r w:rsidRPr="007954DB">
        <w:rPr>
          <w:rFonts w:ascii="Palatino Linotype" w:hAnsi="Palatino Linotype" w:cs="Times New Roman"/>
          <w:sz w:val="24"/>
          <w:szCs w:val="24"/>
        </w:rPr>
        <w:t xml:space="preserve">a companhia está se esforçando para reduzir mais os custos condominiais, mas que esses valores não deixarão de ser cobrados dos lojistas. Ela </w:t>
      </w:r>
      <w:r w:rsidRPr="007954DB">
        <w:rPr>
          <w:rFonts w:ascii="Palatino Linotype" w:hAnsi="Palatino Linotype" w:cs="Times New Roman"/>
          <w:sz w:val="24"/>
          <w:szCs w:val="24"/>
        </w:rPr>
        <w:lastRenderedPageBreak/>
        <w:t>argumentou que é preciso manter rateio de despesas para a limpeza, manutenção e segurança dos empreendimentos, de forma a garantir que estejam prontos para a reabertura”</w:t>
      </w:r>
      <w:r w:rsidRPr="007954DB">
        <w:rPr>
          <w:rStyle w:val="Refdenotaderodap"/>
          <w:rFonts w:ascii="Palatino Linotype" w:hAnsi="Palatino Linotype" w:cs="Times New Roman"/>
          <w:sz w:val="24"/>
          <w:szCs w:val="24"/>
        </w:rPr>
        <w:footnoteReference w:id="17"/>
      </w:r>
      <w:r w:rsidRPr="007954DB">
        <w:rPr>
          <w:rFonts w:ascii="Palatino Linotype" w:hAnsi="Palatino Linotype" w:cs="Times New Roman"/>
          <w:sz w:val="24"/>
          <w:szCs w:val="24"/>
        </w:rPr>
        <w:t>.</w:t>
      </w:r>
    </w:p>
    <w:p w:rsidR="007954DB" w:rsidRPr="007954DB" w:rsidRDefault="007954DB" w:rsidP="007954DB">
      <w:pPr>
        <w:ind w:firstLine="1134"/>
        <w:jc w:val="both"/>
        <w:rPr>
          <w:rFonts w:ascii="Palatino Linotype" w:hAnsi="Palatino Linotype" w:cs="Times New Roman"/>
          <w:sz w:val="24"/>
          <w:szCs w:val="24"/>
        </w:rPr>
      </w:pPr>
    </w:p>
    <w:p w:rsidR="000E0A06" w:rsidRPr="007954DB" w:rsidRDefault="000416F2" w:rsidP="000E0A06">
      <w:pPr>
        <w:pStyle w:val="PargrafodaLista"/>
        <w:numPr>
          <w:ilvl w:val="1"/>
          <w:numId w:val="4"/>
        </w:numPr>
        <w:pBdr>
          <w:left w:val="single" w:sz="4" w:space="4" w:color="auto"/>
          <w:bottom w:val="single" w:sz="4" w:space="1" w:color="auto"/>
        </w:pBdr>
        <w:ind w:hanging="508"/>
        <w:jc w:val="both"/>
        <w:rPr>
          <w:rFonts w:ascii="Palatino Linotype" w:hAnsi="Palatino Linotype" w:cs="Times New Roman"/>
          <w:b/>
          <w:sz w:val="24"/>
          <w:szCs w:val="24"/>
        </w:rPr>
      </w:pPr>
      <w:r w:rsidRPr="007954DB">
        <w:rPr>
          <w:rFonts w:ascii="Palatino Linotype" w:hAnsi="Palatino Linotype" w:cs="Times New Roman"/>
          <w:b/>
          <w:sz w:val="24"/>
          <w:szCs w:val="24"/>
        </w:rPr>
        <w:t>Educação</w:t>
      </w:r>
    </w:p>
    <w:p w:rsidR="00320766" w:rsidRPr="007954DB" w:rsidRDefault="00320766" w:rsidP="007954DB">
      <w:pPr>
        <w:jc w:val="both"/>
        <w:rPr>
          <w:rFonts w:ascii="Palatino Linotype" w:hAnsi="Palatino Linotype" w:cs="Times New Roman"/>
          <w:b/>
          <w:sz w:val="24"/>
          <w:szCs w:val="24"/>
        </w:rPr>
      </w:pPr>
    </w:p>
    <w:p w:rsidR="00320766" w:rsidRDefault="001A5338" w:rsidP="00320766">
      <w:pPr>
        <w:ind w:firstLine="1134"/>
        <w:jc w:val="both"/>
        <w:rPr>
          <w:rFonts w:ascii="Palatino Linotype" w:hAnsi="Palatino Linotype" w:cs="Times New Roman"/>
          <w:sz w:val="24"/>
          <w:szCs w:val="24"/>
        </w:rPr>
      </w:pPr>
      <w:r>
        <w:rPr>
          <w:rFonts w:ascii="Palatino Linotype" w:hAnsi="Palatino Linotype" w:cs="Times New Roman"/>
          <w:sz w:val="24"/>
          <w:szCs w:val="24"/>
        </w:rPr>
        <w:t>Lidar com o setor de Educação traz diversos desafios na presente situação, principalmente pelo fato de não se poder arranjar uma só solução para todos os seus ramos. A realidade das escolas de base é completamente diferente das de Ensino Fundamental e Médio, que também se difere das instituições de Ensino Superior.</w:t>
      </w:r>
    </w:p>
    <w:p w:rsidR="001A5338" w:rsidRDefault="009E0205" w:rsidP="00320766">
      <w:pPr>
        <w:ind w:firstLine="1134"/>
        <w:jc w:val="both"/>
        <w:rPr>
          <w:rFonts w:ascii="Palatino Linotype" w:hAnsi="Palatino Linotype"/>
          <w:sz w:val="24"/>
          <w:szCs w:val="24"/>
        </w:rPr>
      </w:pPr>
      <w:r>
        <w:rPr>
          <w:rFonts w:ascii="Palatino Linotype" w:hAnsi="Palatino Linotype" w:cs="Times New Roman"/>
          <w:sz w:val="24"/>
          <w:szCs w:val="24"/>
        </w:rPr>
        <w:t>A Medida Provisória nº 934</w:t>
      </w:r>
      <w:r w:rsidR="00735A57">
        <w:rPr>
          <w:rStyle w:val="Refdenotaderodap"/>
          <w:rFonts w:ascii="Palatino Linotype" w:hAnsi="Palatino Linotype" w:cs="Times New Roman"/>
          <w:sz w:val="24"/>
          <w:szCs w:val="24"/>
        </w:rPr>
        <w:footnoteReference w:id="18"/>
      </w:r>
      <w:r>
        <w:rPr>
          <w:rFonts w:ascii="Palatino Linotype" w:hAnsi="Palatino Linotype" w:cs="Times New Roman"/>
          <w:sz w:val="24"/>
          <w:szCs w:val="24"/>
        </w:rPr>
        <w:t xml:space="preserve"> “estabelece normais excepcionais sobre o ano letivo da educação básica e do </w:t>
      </w:r>
      <w:r w:rsidRPr="009E0205">
        <w:rPr>
          <w:rFonts w:ascii="Palatino Linotype" w:hAnsi="Palatino Linotype" w:cs="Times New Roman"/>
          <w:sz w:val="24"/>
          <w:szCs w:val="24"/>
        </w:rPr>
        <w:t xml:space="preserve">ensino superior”, sendo a principal delas: </w:t>
      </w:r>
      <w:r w:rsidRPr="009E0205">
        <w:rPr>
          <w:rFonts w:ascii="Palatino Linotype" w:hAnsi="Palatino Linotype"/>
          <w:sz w:val="24"/>
          <w:szCs w:val="24"/>
        </w:rPr>
        <w:t>“o estabelecimento de ensino de educação básica fica dispensado, em caráter excepcional, da obrigatoriedade de observância ao mínimo de dias de efetivo trabalho escolar (...), desde que cumprida a carga horária mínima anual estabelec</w:t>
      </w:r>
      <w:r>
        <w:rPr>
          <w:rFonts w:ascii="Palatino Linotype" w:hAnsi="Palatino Linotype"/>
          <w:sz w:val="24"/>
          <w:szCs w:val="24"/>
        </w:rPr>
        <w:t>ida nos referidos dispositivos”.</w:t>
      </w:r>
    </w:p>
    <w:p w:rsidR="009E0205" w:rsidRDefault="009E0205" w:rsidP="00320766">
      <w:pPr>
        <w:ind w:firstLine="1134"/>
        <w:jc w:val="both"/>
        <w:rPr>
          <w:rFonts w:ascii="Palatino Linotype" w:hAnsi="Palatino Linotype" w:cs="Times New Roman"/>
          <w:sz w:val="24"/>
          <w:szCs w:val="24"/>
        </w:rPr>
      </w:pPr>
      <w:r w:rsidRPr="009E0205">
        <w:rPr>
          <w:rFonts w:ascii="Palatino Linotype" w:hAnsi="Palatino Linotype" w:cs="Times New Roman"/>
          <w:sz w:val="24"/>
          <w:szCs w:val="24"/>
        </w:rPr>
        <w:t xml:space="preserve">No caso das aulas em faculdades e universidades, a MP estabelece que “as instituições de educação superior ficam dispensadas, em caráter excepcional, da obrigatoriedade de observância ao mínimo de dias de efetivo trabalho acadêmico (...) observadas as normas a serem editadas pelos </w:t>
      </w:r>
      <w:r>
        <w:rPr>
          <w:rFonts w:ascii="Palatino Linotype" w:hAnsi="Palatino Linotype" w:cs="Times New Roman"/>
          <w:sz w:val="24"/>
          <w:szCs w:val="24"/>
        </w:rPr>
        <w:t>respectivos sistemas de ensino”.</w:t>
      </w:r>
    </w:p>
    <w:p w:rsidR="009E0205" w:rsidRDefault="0098588C" w:rsidP="00320766">
      <w:pPr>
        <w:ind w:firstLine="1134"/>
        <w:jc w:val="both"/>
        <w:rPr>
          <w:rFonts w:ascii="Palatino Linotype" w:hAnsi="Palatino Linotype" w:cs="Times New Roman"/>
          <w:sz w:val="24"/>
          <w:szCs w:val="24"/>
        </w:rPr>
      </w:pPr>
      <w:r>
        <w:rPr>
          <w:rFonts w:ascii="Palatino Linotype" w:hAnsi="Palatino Linotype" w:cs="Times New Roman"/>
          <w:sz w:val="24"/>
          <w:szCs w:val="24"/>
        </w:rPr>
        <w:t>A Lei de Diretrizes e Bases da Educação (LDB)</w:t>
      </w:r>
      <w:r w:rsidR="00735A57">
        <w:rPr>
          <w:rStyle w:val="Refdenotaderodap"/>
          <w:rFonts w:ascii="Palatino Linotype" w:hAnsi="Palatino Linotype" w:cs="Times New Roman"/>
          <w:sz w:val="24"/>
          <w:szCs w:val="24"/>
        </w:rPr>
        <w:footnoteReference w:id="19"/>
      </w:r>
      <w:r w:rsidR="00735A57">
        <w:rPr>
          <w:rFonts w:ascii="Palatino Linotype" w:hAnsi="Palatino Linotype" w:cs="Times New Roman"/>
          <w:sz w:val="24"/>
          <w:szCs w:val="24"/>
        </w:rPr>
        <w:t>, Lei nº 9.394/1996,</w:t>
      </w:r>
      <w:r>
        <w:rPr>
          <w:rFonts w:ascii="Palatino Linotype" w:hAnsi="Palatino Linotype" w:cs="Times New Roman"/>
          <w:sz w:val="24"/>
          <w:szCs w:val="24"/>
        </w:rPr>
        <w:t xml:space="preserve"> determina que a carga horária mínima anual tanto para o Ensino Fundamental e Médio quanto para o Ensino Superior seja de 200 dias letivos, excluído o tempo reservado a exames finais.</w:t>
      </w:r>
    </w:p>
    <w:p w:rsidR="0098588C" w:rsidRDefault="00735A57" w:rsidP="00320766">
      <w:pPr>
        <w:ind w:firstLine="1134"/>
        <w:jc w:val="both"/>
        <w:rPr>
          <w:rFonts w:ascii="Palatino Linotype" w:hAnsi="Palatino Linotype" w:cs="Times New Roman"/>
          <w:sz w:val="24"/>
          <w:szCs w:val="24"/>
        </w:rPr>
      </w:pPr>
      <w:r>
        <w:rPr>
          <w:rFonts w:ascii="Palatino Linotype" w:hAnsi="Palatino Linotype" w:cs="Times New Roman"/>
          <w:sz w:val="24"/>
          <w:szCs w:val="24"/>
        </w:rPr>
        <w:t>Algumas das referidas instituições de Ensino, aquelas que não suspenderam as aulas, adotaram o sistema de Ensino à Distância (</w:t>
      </w:r>
      <w:proofErr w:type="spellStart"/>
      <w:r>
        <w:rPr>
          <w:rFonts w:ascii="Palatino Linotype" w:hAnsi="Palatino Linotype" w:cs="Times New Roman"/>
          <w:sz w:val="24"/>
          <w:szCs w:val="24"/>
        </w:rPr>
        <w:t>EaD</w:t>
      </w:r>
      <w:proofErr w:type="spellEnd"/>
      <w:r>
        <w:rPr>
          <w:rFonts w:ascii="Palatino Linotype" w:hAnsi="Palatino Linotype" w:cs="Times New Roman"/>
          <w:sz w:val="24"/>
          <w:szCs w:val="24"/>
        </w:rPr>
        <w:t xml:space="preserve">), no entanto é necessário observar que, nas instituições particulares, não foi esse o serviço contratado e, em situações normais, a mensalidade do </w:t>
      </w:r>
      <w:proofErr w:type="spellStart"/>
      <w:r>
        <w:rPr>
          <w:rFonts w:ascii="Palatino Linotype" w:hAnsi="Palatino Linotype" w:cs="Times New Roman"/>
          <w:sz w:val="24"/>
          <w:szCs w:val="24"/>
        </w:rPr>
        <w:t>EaD</w:t>
      </w:r>
      <w:proofErr w:type="spellEnd"/>
      <w:r>
        <w:rPr>
          <w:rFonts w:ascii="Palatino Linotype" w:hAnsi="Palatino Linotype" w:cs="Times New Roman"/>
          <w:sz w:val="24"/>
          <w:szCs w:val="24"/>
        </w:rPr>
        <w:t xml:space="preserve"> é bem inferior.</w:t>
      </w:r>
    </w:p>
    <w:p w:rsidR="00735A57" w:rsidRDefault="00735A57" w:rsidP="00320766">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Logo, é possível se discutir os termos contratuais, tendo em vista que as obrigações firmadas à época da </w:t>
      </w:r>
      <w:r w:rsidRPr="008B4251">
        <w:rPr>
          <w:rFonts w:ascii="Palatino Linotype" w:hAnsi="Palatino Linotype" w:cs="Times New Roman"/>
          <w:color w:val="000000" w:themeColor="text1"/>
          <w:sz w:val="24"/>
          <w:szCs w:val="24"/>
        </w:rPr>
        <w:t xml:space="preserve">celebração não estão podendo ser mantidas pela </w:t>
      </w:r>
      <w:r>
        <w:rPr>
          <w:rFonts w:ascii="Palatino Linotype" w:hAnsi="Palatino Linotype" w:cs="Times New Roman"/>
          <w:sz w:val="24"/>
          <w:szCs w:val="24"/>
        </w:rPr>
        <w:t>instituição de ensino e, possivelmente, pela outra parte, que talvez não esteja trabalhando como anteriormente, recebendo seu salário integral, em decorrência do isolamento social provocado pela pandemia do novo coronavírus.</w:t>
      </w:r>
    </w:p>
    <w:p w:rsidR="00A332FF" w:rsidRDefault="00A332FF" w:rsidP="00320766">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Uma medida que poderia ser tomada é que essas escolas e universidades apresentassem planilhas de custos, de gastos com esse novo formato, comparando com o </w:t>
      </w:r>
      <w:r>
        <w:rPr>
          <w:rFonts w:ascii="Palatino Linotype" w:hAnsi="Palatino Linotype" w:cs="Times New Roman"/>
          <w:sz w:val="24"/>
          <w:szCs w:val="24"/>
        </w:rPr>
        <w:lastRenderedPageBreak/>
        <w:t>anterior e, assim, se chegasse a possíveis descontos, sem, no entanto, ninguém sair prejudicado do novo formato do negócio jurídico.</w:t>
      </w:r>
    </w:p>
    <w:p w:rsidR="007954DB" w:rsidRDefault="0049066B" w:rsidP="00320766">
      <w:pPr>
        <w:ind w:firstLine="1134"/>
        <w:jc w:val="both"/>
        <w:rPr>
          <w:rFonts w:ascii="Palatino Linotype" w:hAnsi="Palatino Linotype" w:cs="Times New Roman"/>
          <w:sz w:val="24"/>
          <w:szCs w:val="24"/>
        </w:rPr>
      </w:pPr>
      <w:r>
        <w:rPr>
          <w:rFonts w:ascii="Palatino Linotype" w:hAnsi="Palatino Linotype" w:cs="Times New Roman"/>
          <w:sz w:val="24"/>
          <w:szCs w:val="24"/>
        </w:rPr>
        <w:t xml:space="preserve">Para os estudantes de creche, porém, não é possível transformar o Ensino Presencial em </w:t>
      </w:r>
      <w:proofErr w:type="spellStart"/>
      <w:r>
        <w:rPr>
          <w:rFonts w:ascii="Palatino Linotype" w:hAnsi="Palatino Linotype" w:cs="Times New Roman"/>
          <w:sz w:val="24"/>
          <w:szCs w:val="24"/>
        </w:rPr>
        <w:t>EaD</w:t>
      </w:r>
      <w:proofErr w:type="spellEnd"/>
      <w:r>
        <w:rPr>
          <w:rFonts w:ascii="Palatino Linotype" w:hAnsi="Palatino Linotype" w:cs="Times New Roman"/>
          <w:sz w:val="24"/>
          <w:szCs w:val="24"/>
        </w:rPr>
        <w:t>, tornando inexistente, nesse momento, o vínculo da criança com a instituição. Nesses casos específicos, as escolas poderiam fazer um balanço dos custos, já que nesse momento não estão tendo gastos como água, luz, comida, mas que continuam com responsabilidades como salários dos professores, aluguel do espaço e manutenção, de modo a diminuir o máximo possível</w:t>
      </w:r>
      <w:r w:rsidR="008C51DA">
        <w:rPr>
          <w:rFonts w:ascii="Palatino Linotype" w:hAnsi="Palatino Linotype" w:cs="Times New Roman"/>
          <w:sz w:val="24"/>
          <w:szCs w:val="24"/>
        </w:rPr>
        <w:t xml:space="preserve"> dessas mensalidades</w:t>
      </w:r>
      <w:r>
        <w:rPr>
          <w:rFonts w:ascii="Palatino Linotype" w:hAnsi="Palatino Linotype" w:cs="Times New Roman"/>
          <w:sz w:val="24"/>
          <w:szCs w:val="24"/>
        </w:rPr>
        <w:t>.</w:t>
      </w:r>
    </w:p>
    <w:p w:rsidR="0049066B" w:rsidRPr="003C799E" w:rsidRDefault="0049066B" w:rsidP="00320766">
      <w:pPr>
        <w:ind w:firstLine="1134"/>
        <w:jc w:val="both"/>
        <w:rPr>
          <w:rFonts w:ascii="Palatino Linotype" w:hAnsi="Palatino Linotype" w:cs="Times New Roman"/>
          <w:sz w:val="24"/>
          <w:szCs w:val="24"/>
        </w:rPr>
      </w:pPr>
    </w:p>
    <w:p w:rsidR="00320766" w:rsidRPr="003E1136" w:rsidRDefault="00320766" w:rsidP="00320766">
      <w:pPr>
        <w:pStyle w:val="PargrafodaLista"/>
        <w:numPr>
          <w:ilvl w:val="0"/>
          <w:numId w:val="4"/>
        </w:numPr>
        <w:pBdr>
          <w:left w:val="single" w:sz="4" w:space="4" w:color="auto"/>
          <w:bottom w:val="single" w:sz="4" w:space="1" w:color="auto"/>
        </w:pBdr>
        <w:jc w:val="both"/>
        <w:rPr>
          <w:rFonts w:ascii="Palatino Linotype" w:hAnsi="Palatino Linotype" w:cs="Times New Roman"/>
          <w:b/>
          <w:sz w:val="24"/>
          <w:szCs w:val="24"/>
        </w:rPr>
      </w:pPr>
      <w:r>
        <w:rPr>
          <w:rFonts w:ascii="Palatino Linotype" w:hAnsi="Palatino Linotype" w:cs="Times New Roman"/>
          <w:b/>
          <w:sz w:val="24"/>
          <w:szCs w:val="24"/>
        </w:rPr>
        <w:t>Conclusão</w:t>
      </w:r>
    </w:p>
    <w:p w:rsidR="00320766" w:rsidRDefault="00320766" w:rsidP="00CE0C3A">
      <w:pPr>
        <w:ind w:firstLine="1134"/>
        <w:jc w:val="both"/>
        <w:rPr>
          <w:rFonts w:ascii="Times New Roman" w:hAnsi="Times New Roman" w:cs="Times New Roman"/>
          <w:b/>
          <w:sz w:val="24"/>
          <w:szCs w:val="24"/>
        </w:rPr>
      </w:pPr>
    </w:p>
    <w:p w:rsidR="00CE0C3A" w:rsidRDefault="00875125" w:rsidP="00CE0C3A">
      <w:pPr>
        <w:ind w:firstLine="1134"/>
        <w:jc w:val="both"/>
        <w:rPr>
          <w:rFonts w:ascii="Palatino Linotype" w:hAnsi="Palatino Linotype" w:cs="Times New Roman"/>
          <w:sz w:val="24"/>
          <w:szCs w:val="24"/>
        </w:rPr>
      </w:pPr>
      <w:r>
        <w:rPr>
          <w:rFonts w:ascii="Palatino Linotype" w:hAnsi="Palatino Linotype" w:cs="Times New Roman"/>
          <w:sz w:val="24"/>
          <w:szCs w:val="24"/>
        </w:rPr>
        <w:t>É notório que ninguém estava preparado para o acontecimento de uma pandemia que obrigasse o mundo a se manter em isolamento por questões de segurança sanitária, e que mudasse as relações de emprego, de convivência, de forma tão abrupta. Por isso, também é necessária certa dinamicidade para lidar com a presente situação.</w:t>
      </w:r>
    </w:p>
    <w:p w:rsidR="00875125" w:rsidRDefault="00875125" w:rsidP="00CE0C3A">
      <w:pPr>
        <w:ind w:firstLine="1134"/>
        <w:jc w:val="both"/>
        <w:rPr>
          <w:rFonts w:ascii="Palatino Linotype" w:hAnsi="Palatino Linotype" w:cs="Times New Roman"/>
          <w:sz w:val="24"/>
          <w:szCs w:val="24"/>
        </w:rPr>
      </w:pPr>
      <w:r>
        <w:rPr>
          <w:rFonts w:ascii="Palatino Linotype" w:hAnsi="Palatino Linotype" w:cs="Times New Roman"/>
          <w:sz w:val="24"/>
          <w:szCs w:val="24"/>
        </w:rPr>
        <w:t>Diante disso, compreender que a realidade das relações jurídicas não é a mesma de quando os negócios jurídicos foram firmados é crucial para que haja modificações necessárias de forma a trazer o mínimo de prejuízo possível, t</w:t>
      </w:r>
      <w:r w:rsidR="005D1A6B">
        <w:rPr>
          <w:rFonts w:ascii="Palatino Linotype" w:hAnsi="Palatino Linotype" w:cs="Times New Roman"/>
          <w:sz w:val="24"/>
          <w:szCs w:val="24"/>
        </w:rPr>
        <w:t>endo em vista a crise iminente</w:t>
      </w:r>
      <w:r>
        <w:rPr>
          <w:rFonts w:ascii="Palatino Linotype" w:hAnsi="Palatino Linotype" w:cs="Times New Roman"/>
          <w:sz w:val="24"/>
          <w:szCs w:val="24"/>
        </w:rPr>
        <w:t xml:space="preserve"> </w:t>
      </w:r>
      <w:r w:rsidR="005D1A6B">
        <w:rPr>
          <w:rFonts w:ascii="Palatino Linotype" w:hAnsi="Palatino Linotype" w:cs="Times New Roman"/>
          <w:sz w:val="24"/>
          <w:szCs w:val="24"/>
        </w:rPr>
        <w:t>que possui</w:t>
      </w:r>
      <w:r w:rsidR="00240CC4">
        <w:rPr>
          <w:rFonts w:ascii="Palatino Linotype" w:hAnsi="Palatino Linotype" w:cs="Times New Roman"/>
          <w:sz w:val="24"/>
          <w:szCs w:val="24"/>
        </w:rPr>
        <w:t xml:space="preserve"> tendência a ser duradoura.</w:t>
      </w:r>
    </w:p>
    <w:p w:rsidR="00240CC4" w:rsidRPr="008C51DA" w:rsidRDefault="005D1A6B" w:rsidP="00CE0C3A">
      <w:pPr>
        <w:ind w:firstLine="1134"/>
        <w:jc w:val="both"/>
        <w:rPr>
          <w:rFonts w:ascii="Palatino Linotype" w:hAnsi="Palatino Linotype" w:cs="Times New Roman"/>
          <w:sz w:val="24"/>
          <w:szCs w:val="24"/>
        </w:rPr>
      </w:pPr>
      <w:r>
        <w:rPr>
          <w:rFonts w:ascii="Palatino Linotype" w:hAnsi="Palatino Linotype" w:cs="Times New Roman"/>
          <w:sz w:val="24"/>
          <w:szCs w:val="24"/>
        </w:rPr>
        <w:t>Por fim</w:t>
      </w:r>
      <w:r w:rsidR="00DD251F">
        <w:rPr>
          <w:rFonts w:ascii="Palatino Linotype" w:hAnsi="Palatino Linotype" w:cs="Times New Roman"/>
          <w:sz w:val="24"/>
          <w:szCs w:val="24"/>
        </w:rPr>
        <w:t xml:space="preserve">, </w:t>
      </w:r>
      <w:r>
        <w:rPr>
          <w:rFonts w:ascii="Palatino Linotype" w:hAnsi="Palatino Linotype" w:cs="Times New Roman"/>
          <w:sz w:val="24"/>
          <w:szCs w:val="24"/>
        </w:rPr>
        <w:t xml:space="preserve">é perceptível que </w:t>
      </w:r>
      <w:r w:rsidR="00DD251F">
        <w:rPr>
          <w:rFonts w:ascii="Palatino Linotype" w:hAnsi="Palatino Linotype" w:cs="Times New Roman"/>
          <w:sz w:val="24"/>
          <w:szCs w:val="24"/>
        </w:rPr>
        <w:t>s</w:t>
      </w:r>
      <w:r w:rsidR="00240CC4">
        <w:rPr>
          <w:rFonts w:ascii="Palatino Linotype" w:hAnsi="Palatino Linotype" w:cs="Times New Roman"/>
          <w:sz w:val="24"/>
          <w:szCs w:val="24"/>
        </w:rPr>
        <w:t xml:space="preserve">erão </w:t>
      </w:r>
      <w:r w:rsidR="00426B1F">
        <w:rPr>
          <w:rFonts w:ascii="Palatino Linotype" w:hAnsi="Palatino Linotype" w:cs="Times New Roman"/>
          <w:sz w:val="24"/>
          <w:szCs w:val="24"/>
        </w:rPr>
        <w:t>necessários diversos acordos e modificações nos contratos firmados</w:t>
      </w:r>
      <w:r w:rsidR="00DD251F">
        <w:rPr>
          <w:rFonts w:ascii="Palatino Linotype" w:hAnsi="Palatino Linotype" w:cs="Times New Roman"/>
          <w:sz w:val="24"/>
          <w:szCs w:val="24"/>
        </w:rPr>
        <w:t xml:space="preserve">, sejam revisões ou extinções contratuais, o que for o mais adequado na situação concreta, seguindo o ordenamento jurídico já existente e as novas Medidas Provisórias e leis que porventura se </w:t>
      </w:r>
      <w:r w:rsidR="00DD251F" w:rsidRPr="008B4251">
        <w:rPr>
          <w:rFonts w:ascii="Palatino Linotype" w:hAnsi="Palatino Linotype" w:cs="Times New Roman"/>
          <w:color w:val="000000" w:themeColor="text1"/>
          <w:sz w:val="24"/>
          <w:szCs w:val="24"/>
        </w:rPr>
        <w:t xml:space="preserve">adequem </w:t>
      </w:r>
      <w:r w:rsidR="008B4251" w:rsidRPr="008B4251">
        <w:rPr>
          <w:rFonts w:ascii="Palatino Linotype" w:hAnsi="Palatino Linotype" w:cs="Times New Roman"/>
          <w:color w:val="000000" w:themeColor="text1"/>
          <w:sz w:val="24"/>
          <w:szCs w:val="24"/>
        </w:rPr>
        <w:t>a</w:t>
      </w:r>
      <w:r w:rsidR="00DD251F" w:rsidRPr="008B4251">
        <w:rPr>
          <w:rFonts w:ascii="Palatino Linotype" w:hAnsi="Palatino Linotype" w:cs="Times New Roman"/>
          <w:color w:val="000000" w:themeColor="text1"/>
          <w:sz w:val="24"/>
          <w:szCs w:val="24"/>
        </w:rPr>
        <w:t xml:space="preserve"> essa </w:t>
      </w:r>
      <w:r w:rsidR="00DD251F">
        <w:rPr>
          <w:rFonts w:ascii="Palatino Linotype" w:hAnsi="Palatino Linotype" w:cs="Times New Roman"/>
          <w:sz w:val="24"/>
          <w:szCs w:val="24"/>
        </w:rPr>
        <w:t xml:space="preserve">situação de exceção, que exige medidas excepcionais. </w:t>
      </w:r>
      <w:bookmarkStart w:id="0" w:name="_GoBack"/>
      <w:bookmarkEnd w:id="0"/>
    </w:p>
    <w:sectPr w:rsidR="00240CC4" w:rsidRPr="008C51DA" w:rsidSect="006F2BD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729" w:rsidRDefault="005F3729" w:rsidP="003E3FCA">
      <w:pPr>
        <w:spacing w:after="0" w:line="240" w:lineRule="auto"/>
      </w:pPr>
      <w:r>
        <w:separator/>
      </w:r>
    </w:p>
  </w:endnote>
  <w:endnote w:type="continuationSeparator" w:id="0">
    <w:p w:rsidR="005F3729" w:rsidRDefault="005F3729" w:rsidP="003E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729" w:rsidRDefault="005F3729" w:rsidP="003E3FCA">
      <w:pPr>
        <w:spacing w:after="0" w:line="240" w:lineRule="auto"/>
      </w:pPr>
      <w:r>
        <w:separator/>
      </w:r>
    </w:p>
  </w:footnote>
  <w:footnote w:type="continuationSeparator" w:id="0">
    <w:p w:rsidR="005F3729" w:rsidRDefault="005F3729" w:rsidP="003E3FCA">
      <w:pPr>
        <w:spacing w:after="0" w:line="240" w:lineRule="auto"/>
      </w:pPr>
      <w:r>
        <w:continuationSeparator/>
      </w:r>
    </w:p>
  </w:footnote>
  <w:footnote w:id="1">
    <w:p w:rsidR="003E3FCA" w:rsidRPr="003E3FCA" w:rsidRDefault="003E3FCA" w:rsidP="00C23B4C">
      <w:pPr>
        <w:pStyle w:val="Textodenotaderodap"/>
        <w:jc w:val="both"/>
        <w:rPr>
          <w:rFonts w:ascii="Palatino Linotype" w:hAnsi="Palatino Linotype"/>
        </w:rPr>
      </w:pPr>
      <w:r w:rsidRPr="003E3FCA">
        <w:rPr>
          <w:rStyle w:val="Refdenotaderodap"/>
          <w:rFonts w:ascii="Palatino Linotype" w:hAnsi="Palatino Linotype"/>
        </w:rPr>
        <w:footnoteRef/>
      </w:r>
      <w:r w:rsidRPr="003E3FCA">
        <w:rPr>
          <w:rFonts w:ascii="Palatino Linotype" w:hAnsi="Palatino Linotype"/>
        </w:rPr>
        <w:t xml:space="preserve"> </w:t>
      </w:r>
      <w:r>
        <w:rPr>
          <w:rFonts w:ascii="Palatino Linotype" w:hAnsi="Palatino Linotype"/>
        </w:rPr>
        <w:t xml:space="preserve">TARTUCE, Flávio. </w:t>
      </w:r>
      <w:r w:rsidRPr="003E3FCA">
        <w:rPr>
          <w:rFonts w:ascii="Palatino Linotype" w:hAnsi="Palatino Linotype"/>
          <w:i/>
        </w:rPr>
        <w:t>Manual de Direito Civil</w:t>
      </w:r>
      <w:r>
        <w:rPr>
          <w:rFonts w:ascii="Palatino Linotype" w:hAnsi="Palatino Linotype"/>
        </w:rPr>
        <w:t>. 8ª Ed. Editora Método, 2018, p</w:t>
      </w:r>
      <w:r w:rsidR="000423CE">
        <w:rPr>
          <w:rFonts w:ascii="Palatino Linotype" w:hAnsi="Palatino Linotype"/>
        </w:rPr>
        <w:t>ág</w:t>
      </w:r>
      <w:r>
        <w:rPr>
          <w:rFonts w:ascii="Palatino Linotype" w:hAnsi="Palatino Linotype"/>
        </w:rPr>
        <w:t>. 704.</w:t>
      </w:r>
    </w:p>
  </w:footnote>
  <w:footnote w:id="2">
    <w:p w:rsidR="00C23B4C" w:rsidRDefault="00C23B4C" w:rsidP="00C23B4C">
      <w:pPr>
        <w:pStyle w:val="Textodenotaderodap"/>
        <w:jc w:val="both"/>
      </w:pPr>
      <w:r w:rsidRPr="00862D20">
        <w:rPr>
          <w:rStyle w:val="Refdenotaderodap"/>
          <w:rFonts w:ascii="Palatino Linotype" w:hAnsi="Palatino Linotype"/>
        </w:rPr>
        <w:footnoteRef/>
      </w:r>
      <w:r w:rsidRPr="00862D20">
        <w:rPr>
          <w:rFonts w:ascii="Palatino Linotype" w:hAnsi="Palatino Linotype"/>
        </w:rPr>
        <w:t xml:space="preserve"> TARTUCE</w:t>
      </w:r>
      <w:r>
        <w:rPr>
          <w:rFonts w:ascii="Palatino Linotype" w:hAnsi="Palatino Linotype"/>
        </w:rPr>
        <w:t xml:space="preserve">, Flávio. </w:t>
      </w:r>
      <w:r w:rsidRPr="003E3FCA">
        <w:rPr>
          <w:rFonts w:ascii="Palatino Linotype" w:hAnsi="Palatino Linotype"/>
          <w:i/>
        </w:rPr>
        <w:t>Manual de Direito Civil</w:t>
      </w:r>
      <w:r>
        <w:rPr>
          <w:rFonts w:ascii="Palatino Linotype" w:hAnsi="Palatino Linotype"/>
        </w:rPr>
        <w:t xml:space="preserve">. 8ª Ed. Editora Método, 2018, </w:t>
      </w:r>
      <w:r w:rsidR="000423CE">
        <w:rPr>
          <w:rFonts w:ascii="Palatino Linotype" w:hAnsi="Palatino Linotype"/>
        </w:rPr>
        <w:t>págs.</w:t>
      </w:r>
      <w:r>
        <w:rPr>
          <w:rFonts w:ascii="Palatino Linotype" w:hAnsi="Palatino Linotype"/>
        </w:rPr>
        <w:t xml:space="preserve"> 705/707.</w:t>
      </w:r>
    </w:p>
  </w:footnote>
  <w:footnote w:id="3">
    <w:p w:rsidR="00862D20" w:rsidRPr="00767369" w:rsidRDefault="00862D20" w:rsidP="00767369">
      <w:pPr>
        <w:pStyle w:val="Textodenotaderodap"/>
        <w:jc w:val="both"/>
        <w:rPr>
          <w:rFonts w:ascii="Palatino Linotype" w:hAnsi="Palatino Linotype"/>
        </w:rPr>
      </w:pPr>
      <w:r w:rsidRPr="00767369">
        <w:rPr>
          <w:rStyle w:val="Refdenotaderodap"/>
          <w:rFonts w:ascii="Palatino Linotype" w:hAnsi="Palatino Linotype"/>
        </w:rPr>
        <w:footnoteRef/>
      </w:r>
      <w:r w:rsidRPr="00767369">
        <w:rPr>
          <w:rFonts w:ascii="Palatino Linotype" w:hAnsi="Palatino Linotype"/>
        </w:rPr>
        <w:t xml:space="preserve"> </w:t>
      </w:r>
      <w:r w:rsidR="00767369">
        <w:rPr>
          <w:rFonts w:ascii="Palatino Linotype" w:hAnsi="Palatino Linotype"/>
        </w:rPr>
        <w:t>AZEVEDO, Álvaro Villaça. O novo Código Civil brasileiro: tramitação, função social do con</w:t>
      </w:r>
      <w:r w:rsidR="003E1136">
        <w:rPr>
          <w:rFonts w:ascii="Palatino Linotype" w:hAnsi="Palatino Linotype"/>
        </w:rPr>
        <w:t>t</w:t>
      </w:r>
      <w:r w:rsidR="00767369">
        <w:rPr>
          <w:rFonts w:ascii="Palatino Linotype" w:hAnsi="Palatino Linotype"/>
        </w:rPr>
        <w:t xml:space="preserve">rato; boa-fé objetiva; teoria da imprevisão e, em especial, onerosidade excessiva – </w:t>
      </w:r>
      <w:r w:rsidR="00767369" w:rsidRPr="003E1136">
        <w:rPr>
          <w:rFonts w:ascii="Palatino Linotype" w:hAnsi="Palatino Linotype"/>
          <w:i/>
        </w:rPr>
        <w:t>“</w:t>
      </w:r>
      <w:proofErr w:type="spellStart"/>
      <w:r w:rsidR="00767369" w:rsidRPr="003E1136">
        <w:rPr>
          <w:rFonts w:ascii="Palatino Linotype" w:hAnsi="Palatino Linotype"/>
          <w:i/>
        </w:rPr>
        <w:t>Laesio</w:t>
      </w:r>
      <w:proofErr w:type="spellEnd"/>
      <w:r w:rsidR="00767369" w:rsidRPr="003E1136">
        <w:rPr>
          <w:rFonts w:ascii="Palatino Linotype" w:hAnsi="Palatino Linotype"/>
          <w:i/>
        </w:rPr>
        <w:t xml:space="preserve"> </w:t>
      </w:r>
      <w:proofErr w:type="spellStart"/>
      <w:r w:rsidR="00767369" w:rsidRPr="003E1136">
        <w:rPr>
          <w:rFonts w:ascii="Palatino Linotype" w:hAnsi="Palatino Linotype"/>
          <w:i/>
        </w:rPr>
        <w:t>enormis</w:t>
      </w:r>
      <w:proofErr w:type="spellEnd"/>
      <w:r w:rsidR="00767369" w:rsidRPr="003E1136">
        <w:rPr>
          <w:rFonts w:ascii="Palatino Linotype" w:hAnsi="Palatino Linotype"/>
          <w:i/>
        </w:rPr>
        <w:t>”</w:t>
      </w:r>
      <w:r w:rsidR="00767369">
        <w:rPr>
          <w:rFonts w:ascii="Palatino Linotype" w:hAnsi="Palatino Linotype"/>
        </w:rPr>
        <w:t xml:space="preserve">. In: DELGADO, Mário Luiz; ALVES, Jones Figueiredo. </w:t>
      </w:r>
      <w:r w:rsidR="00767369" w:rsidRPr="003E1136">
        <w:rPr>
          <w:rFonts w:ascii="Palatino Linotype" w:hAnsi="Palatino Linotype"/>
          <w:i/>
        </w:rPr>
        <w:t xml:space="preserve">Questões </w:t>
      </w:r>
      <w:r w:rsidR="003E1136" w:rsidRPr="003E1136">
        <w:rPr>
          <w:rFonts w:ascii="Palatino Linotype" w:hAnsi="Palatino Linotype"/>
          <w:i/>
        </w:rPr>
        <w:t>c</w:t>
      </w:r>
      <w:r w:rsidR="00767369" w:rsidRPr="003E1136">
        <w:rPr>
          <w:rFonts w:ascii="Palatino Linotype" w:hAnsi="Palatino Linotype"/>
          <w:i/>
        </w:rPr>
        <w:t>ontrovertidas no novo Código Civil.</w:t>
      </w:r>
      <w:r w:rsidR="00767369">
        <w:rPr>
          <w:rFonts w:ascii="Palatino Linotype" w:hAnsi="Palatino Linotype"/>
        </w:rPr>
        <w:t xml:space="preserve"> Editora Método, 2004. V. 2.</w:t>
      </w:r>
    </w:p>
  </w:footnote>
  <w:footnote w:id="4">
    <w:p w:rsidR="00C768A2" w:rsidRPr="00C768A2" w:rsidRDefault="00C768A2">
      <w:pPr>
        <w:pStyle w:val="Textodenotaderodap"/>
        <w:rPr>
          <w:rFonts w:ascii="Palatino Linotype" w:hAnsi="Palatino Linotype"/>
        </w:rPr>
      </w:pPr>
      <w:r w:rsidRPr="00C768A2">
        <w:rPr>
          <w:rStyle w:val="Refdenotaderodap"/>
          <w:rFonts w:ascii="Palatino Linotype" w:hAnsi="Palatino Linotype"/>
        </w:rPr>
        <w:footnoteRef/>
      </w:r>
      <w:r w:rsidRPr="00C768A2">
        <w:rPr>
          <w:rFonts w:ascii="Palatino Linotype" w:hAnsi="Palatino Linotype"/>
        </w:rPr>
        <w:t xml:space="preserve"> </w:t>
      </w:r>
      <w:r>
        <w:rPr>
          <w:rFonts w:ascii="Palatino Linotype" w:hAnsi="Palatino Linotype"/>
        </w:rPr>
        <w:t xml:space="preserve">LARENZ, Karl. </w:t>
      </w:r>
      <w:r w:rsidRPr="00C768A2">
        <w:rPr>
          <w:rFonts w:ascii="Palatino Linotype" w:hAnsi="Palatino Linotype"/>
          <w:i/>
        </w:rPr>
        <w:t>Base del negocio jurídico y cumplimiento de los contratos</w:t>
      </w:r>
      <w:r>
        <w:rPr>
          <w:rFonts w:ascii="Palatino Linotype" w:hAnsi="Palatino Linotype"/>
        </w:rPr>
        <w:t>. Trad. Carlos Fernandez Rodríguez. Granada: Comares, 2002.</w:t>
      </w:r>
    </w:p>
  </w:footnote>
  <w:footnote w:id="5">
    <w:p w:rsidR="00AD7983" w:rsidRPr="00AD7983" w:rsidRDefault="00AD7983">
      <w:pPr>
        <w:pStyle w:val="Textodenotaderodap"/>
        <w:rPr>
          <w:rFonts w:ascii="Palatino Linotype" w:hAnsi="Palatino Linotype"/>
        </w:rPr>
      </w:pPr>
      <w:r w:rsidRPr="00AD7983">
        <w:rPr>
          <w:rStyle w:val="Refdenotaderodap"/>
          <w:rFonts w:ascii="Palatino Linotype" w:hAnsi="Palatino Linotype"/>
        </w:rPr>
        <w:footnoteRef/>
      </w:r>
      <w:r w:rsidRPr="00AD7983">
        <w:rPr>
          <w:rFonts w:ascii="Palatino Linotype" w:hAnsi="Palatino Linotype"/>
        </w:rPr>
        <w:t xml:space="preserve"> </w:t>
      </w:r>
      <w:r w:rsidRPr="00862D20">
        <w:rPr>
          <w:rFonts w:ascii="Palatino Linotype" w:hAnsi="Palatino Linotype"/>
        </w:rPr>
        <w:t>TARTUCE</w:t>
      </w:r>
      <w:r>
        <w:rPr>
          <w:rFonts w:ascii="Palatino Linotype" w:hAnsi="Palatino Linotype"/>
        </w:rPr>
        <w:t xml:space="preserve">, Flávio. </w:t>
      </w:r>
      <w:r w:rsidRPr="003E3FCA">
        <w:rPr>
          <w:rFonts w:ascii="Palatino Linotype" w:hAnsi="Palatino Linotype"/>
          <w:i/>
        </w:rPr>
        <w:t>Manual de Direito Civil</w:t>
      </w:r>
      <w:r>
        <w:rPr>
          <w:rFonts w:ascii="Palatino Linotype" w:hAnsi="Palatino Linotype"/>
        </w:rPr>
        <w:t>. 8ª Ed. Editora Método, 2018, págs. 737/738.</w:t>
      </w:r>
    </w:p>
  </w:footnote>
  <w:footnote w:id="6">
    <w:p w:rsidR="00873ADA" w:rsidRPr="00873ADA" w:rsidRDefault="00873ADA">
      <w:pPr>
        <w:pStyle w:val="Textodenotaderodap"/>
        <w:rPr>
          <w:rFonts w:ascii="Palatino Linotype" w:hAnsi="Palatino Linotype"/>
        </w:rPr>
      </w:pPr>
      <w:r w:rsidRPr="00873ADA">
        <w:rPr>
          <w:rStyle w:val="Refdenotaderodap"/>
          <w:rFonts w:ascii="Palatino Linotype" w:hAnsi="Palatino Linotype"/>
        </w:rPr>
        <w:footnoteRef/>
      </w:r>
      <w:r w:rsidRPr="00873ADA">
        <w:rPr>
          <w:rFonts w:ascii="Palatino Linotype" w:hAnsi="Palatino Linotype"/>
        </w:rPr>
        <w:t xml:space="preserve"> </w:t>
      </w:r>
      <w:r w:rsidRPr="00873ADA">
        <w:rPr>
          <w:rFonts w:ascii="Palatino Linotype" w:hAnsi="Palatino Linotype"/>
          <w:i/>
        </w:rPr>
        <w:t>Idem</w:t>
      </w:r>
      <w:r>
        <w:rPr>
          <w:rFonts w:ascii="Palatino Linotype" w:hAnsi="Palatino Linotype"/>
        </w:rPr>
        <w:t>, págs. 666/667.</w:t>
      </w:r>
    </w:p>
  </w:footnote>
  <w:footnote w:id="7">
    <w:p w:rsidR="005D6A75" w:rsidRPr="005D6A75" w:rsidRDefault="005D6A75">
      <w:pPr>
        <w:pStyle w:val="Textodenotaderodap"/>
        <w:rPr>
          <w:rFonts w:ascii="Palatino Linotype" w:hAnsi="Palatino Linotype"/>
        </w:rPr>
      </w:pPr>
      <w:r w:rsidRPr="005D6A75">
        <w:rPr>
          <w:rStyle w:val="Refdenotaderodap"/>
          <w:rFonts w:ascii="Palatino Linotype" w:hAnsi="Palatino Linotype"/>
        </w:rPr>
        <w:footnoteRef/>
      </w:r>
      <w:r w:rsidRPr="005D6A75">
        <w:rPr>
          <w:rFonts w:ascii="Palatino Linotype" w:hAnsi="Palatino Linotype"/>
        </w:rPr>
        <w:t xml:space="preserve"> </w:t>
      </w:r>
      <w:r w:rsidRPr="00862D20">
        <w:rPr>
          <w:rFonts w:ascii="Palatino Linotype" w:hAnsi="Palatino Linotype"/>
        </w:rPr>
        <w:t>TARTUCE</w:t>
      </w:r>
      <w:r>
        <w:rPr>
          <w:rFonts w:ascii="Palatino Linotype" w:hAnsi="Palatino Linotype"/>
        </w:rPr>
        <w:t xml:space="preserve">, Flávio. </w:t>
      </w:r>
      <w:r w:rsidRPr="003E3FCA">
        <w:rPr>
          <w:rFonts w:ascii="Palatino Linotype" w:hAnsi="Palatino Linotype"/>
          <w:i/>
        </w:rPr>
        <w:t>Manual de Direito Civil</w:t>
      </w:r>
      <w:r>
        <w:rPr>
          <w:rFonts w:ascii="Palatino Linotype" w:hAnsi="Palatino Linotype"/>
        </w:rPr>
        <w:t>. 8ª Ed. Editora Método, 2018, pág. 749.</w:t>
      </w:r>
    </w:p>
  </w:footnote>
  <w:footnote w:id="8">
    <w:p w:rsidR="007F3D2F" w:rsidRPr="000416F2" w:rsidRDefault="007F3D2F">
      <w:pPr>
        <w:pStyle w:val="Textodenotaderodap"/>
        <w:rPr>
          <w:rFonts w:ascii="Palatino Linotype" w:hAnsi="Palatino Linotype"/>
        </w:rPr>
      </w:pPr>
      <w:r w:rsidRPr="000416F2">
        <w:rPr>
          <w:rStyle w:val="Refdenotaderodap"/>
          <w:rFonts w:ascii="Palatino Linotype" w:hAnsi="Palatino Linotype"/>
        </w:rPr>
        <w:footnoteRef/>
      </w:r>
      <w:r w:rsidRPr="000416F2">
        <w:rPr>
          <w:rFonts w:ascii="Palatino Linotype" w:hAnsi="Palatino Linotype"/>
        </w:rPr>
        <w:t xml:space="preserve"> </w:t>
      </w:r>
      <w:r w:rsidR="000416F2" w:rsidRPr="000416F2">
        <w:rPr>
          <w:rFonts w:ascii="Palatino Linotype" w:hAnsi="Palatino Linotype"/>
        </w:rPr>
        <w:t>https://br.kantar.com/mercado-e-pol%C3%ADtica/sa%C3%BAde-e-esporte/2020/thermometer_ed1/</w:t>
      </w:r>
    </w:p>
  </w:footnote>
  <w:footnote w:id="9">
    <w:p w:rsidR="00932988" w:rsidRPr="00932988" w:rsidRDefault="00932988">
      <w:pPr>
        <w:pStyle w:val="Textodenotaderodap"/>
        <w:rPr>
          <w:rFonts w:ascii="Palatino Linotype" w:hAnsi="Palatino Linotype"/>
          <w:i/>
        </w:rPr>
      </w:pPr>
      <w:r w:rsidRPr="00932988">
        <w:rPr>
          <w:rStyle w:val="Refdenotaderodap"/>
          <w:rFonts w:ascii="Palatino Linotype" w:hAnsi="Palatino Linotype"/>
          <w:i/>
        </w:rPr>
        <w:footnoteRef/>
      </w:r>
      <w:r w:rsidRPr="00932988">
        <w:rPr>
          <w:rFonts w:ascii="Palatino Linotype" w:hAnsi="Palatino Linotype"/>
          <w:i/>
        </w:rPr>
        <w:t xml:space="preserve"> Idem.</w:t>
      </w:r>
    </w:p>
  </w:footnote>
  <w:footnote w:id="10">
    <w:p w:rsidR="00A1758C" w:rsidRPr="00A1758C" w:rsidRDefault="00A1758C">
      <w:pPr>
        <w:pStyle w:val="Textodenotaderodap"/>
        <w:rPr>
          <w:rFonts w:ascii="Palatino Linotype" w:hAnsi="Palatino Linotype"/>
        </w:rPr>
      </w:pPr>
      <w:r w:rsidRPr="00A1758C">
        <w:rPr>
          <w:rStyle w:val="Refdenotaderodap"/>
          <w:rFonts w:ascii="Palatino Linotype" w:hAnsi="Palatino Linotype"/>
        </w:rPr>
        <w:footnoteRef/>
      </w:r>
      <w:r w:rsidRPr="00A1758C">
        <w:rPr>
          <w:rFonts w:ascii="Palatino Linotype" w:hAnsi="Palatino Linotype"/>
        </w:rPr>
        <w:t xml:space="preserve"> https://www.panrotas.com.br/mercado/operadoras/2020/03/clube-amigo-agente-cvc-tera-capacitacoes-online-na-proxima-semana_172340.html</w:t>
      </w:r>
    </w:p>
  </w:footnote>
  <w:footnote w:id="11">
    <w:p w:rsidR="00492658" w:rsidRPr="00492658" w:rsidRDefault="00492658">
      <w:pPr>
        <w:pStyle w:val="Textodenotaderodap"/>
        <w:rPr>
          <w:rFonts w:ascii="Palatino Linotype" w:hAnsi="Palatino Linotype"/>
        </w:rPr>
      </w:pPr>
      <w:r w:rsidRPr="00492658">
        <w:rPr>
          <w:rStyle w:val="Refdenotaderodap"/>
          <w:rFonts w:ascii="Palatino Linotype" w:hAnsi="Palatino Linotype"/>
        </w:rPr>
        <w:footnoteRef/>
      </w:r>
      <w:r w:rsidRPr="00492658">
        <w:rPr>
          <w:rFonts w:ascii="Palatino Linotype" w:hAnsi="Palatino Linotype"/>
        </w:rPr>
        <w:t xml:space="preserve"> https://economia.uol.com.br/noticias/redacao/2020/03/18/o-que-e-pior-para-a-economia-coronavirus-ou-crise-global-de-2008.htm?cmpid=copiaecola</w:t>
      </w:r>
    </w:p>
  </w:footnote>
  <w:footnote w:id="12">
    <w:p w:rsidR="00BC321F" w:rsidRPr="00BC321F" w:rsidRDefault="00BC321F">
      <w:pPr>
        <w:pStyle w:val="Textodenotaderodap"/>
        <w:rPr>
          <w:rFonts w:ascii="Palatino Linotype" w:hAnsi="Palatino Linotype"/>
        </w:rPr>
      </w:pPr>
      <w:r w:rsidRPr="00BC321F">
        <w:rPr>
          <w:rStyle w:val="Refdenotaderodap"/>
          <w:rFonts w:ascii="Palatino Linotype" w:hAnsi="Palatino Linotype"/>
        </w:rPr>
        <w:footnoteRef/>
      </w:r>
      <w:r w:rsidRPr="00BC321F">
        <w:rPr>
          <w:rFonts w:ascii="Palatino Linotype" w:hAnsi="Palatino Linotype"/>
        </w:rPr>
        <w:t xml:space="preserve"> https://www.flytap.com/pt-br/ultimas-atualizacoes?v=m</w:t>
      </w:r>
    </w:p>
  </w:footnote>
  <w:footnote w:id="13">
    <w:p w:rsidR="00C13E12" w:rsidRPr="00C13E12" w:rsidRDefault="00C13E12">
      <w:pPr>
        <w:pStyle w:val="Textodenotaderodap"/>
        <w:rPr>
          <w:rFonts w:ascii="Palatino Linotype" w:hAnsi="Palatino Linotype"/>
        </w:rPr>
      </w:pPr>
      <w:r w:rsidRPr="00C13E12">
        <w:rPr>
          <w:rStyle w:val="Refdenotaderodap"/>
          <w:rFonts w:ascii="Palatino Linotype" w:hAnsi="Palatino Linotype"/>
        </w:rPr>
        <w:footnoteRef/>
      </w:r>
      <w:r w:rsidRPr="00C13E12">
        <w:rPr>
          <w:rFonts w:ascii="Palatino Linotype" w:hAnsi="Palatino Linotype"/>
        </w:rPr>
        <w:t xml:space="preserve"> https://politica.estadao.com.br/blogs/fausto-macedo/coronavirus-e-o-varejo-no-brasil/</w:t>
      </w:r>
    </w:p>
  </w:footnote>
  <w:footnote w:id="14">
    <w:p w:rsidR="006501E8" w:rsidRPr="006501E8" w:rsidRDefault="006501E8">
      <w:pPr>
        <w:pStyle w:val="Textodenotaderodap"/>
        <w:rPr>
          <w:rFonts w:ascii="Palatino Linotype" w:hAnsi="Palatino Linotype"/>
        </w:rPr>
      </w:pPr>
      <w:r w:rsidRPr="006501E8">
        <w:rPr>
          <w:rStyle w:val="Refdenotaderodap"/>
          <w:rFonts w:ascii="Palatino Linotype" w:hAnsi="Palatino Linotype"/>
        </w:rPr>
        <w:footnoteRef/>
      </w:r>
      <w:r w:rsidRPr="006501E8">
        <w:rPr>
          <w:rFonts w:ascii="Palatino Linotype" w:hAnsi="Palatino Linotype"/>
        </w:rPr>
        <w:t xml:space="preserve"> http://sbvc.com.br/restaurantes-demitem-1-milhao/</w:t>
      </w:r>
    </w:p>
  </w:footnote>
  <w:footnote w:id="15">
    <w:p w:rsidR="001A5338" w:rsidRPr="001A5338" w:rsidRDefault="001A5338">
      <w:pPr>
        <w:pStyle w:val="Textodenotaderodap"/>
        <w:rPr>
          <w:rFonts w:ascii="Palatino Linotype" w:hAnsi="Palatino Linotype"/>
        </w:rPr>
      </w:pPr>
      <w:r w:rsidRPr="001A5338">
        <w:rPr>
          <w:rStyle w:val="Refdenotaderodap"/>
          <w:rFonts w:ascii="Palatino Linotype" w:hAnsi="Palatino Linotype"/>
        </w:rPr>
        <w:footnoteRef/>
      </w:r>
      <w:r w:rsidRPr="001A5338">
        <w:rPr>
          <w:rFonts w:ascii="Palatino Linotype" w:hAnsi="Palatino Linotype"/>
        </w:rPr>
        <w:t xml:space="preserve"> https://valor.globo.com/empresas/noticia/2020/04/17/restaurantes-demitem-1-milhao-desde-inicio-da-crise-da-covid-19-diz-associacao.ghtml</w:t>
      </w:r>
    </w:p>
  </w:footnote>
  <w:footnote w:id="16">
    <w:p w:rsidR="00751943" w:rsidRPr="00751943" w:rsidRDefault="00751943">
      <w:pPr>
        <w:pStyle w:val="Textodenotaderodap"/>
        <w:rPr>
          <w:rFonts w:ascii="Palatino Linotype" w:hAnsi="Palatino Linotype"/>
        </w:rPr>
      </w:pPr>
      <w:r w:rsidRPr="00751943">
        <w:rPr>
          <w:rStyle w:val="Refdenotaderodap"/>
          <w:rFonts w:ascii="Palatino Linotype" w:hAnsi="Palatino Linotype"/>
        </w:rPr>
        <w:footnoteRef/>
      </w:r>
      <w:r w:rsidRPr="00751943">
        <w:rPr>
          <w:rFonts w:ascii="Palatino Linotype" w:hAnsi="Palatino Linotype"/>
        </w:rPr>
        <w:t xml:space="preserve"> https://economia.uol.com.br/noticias/estadao-conteudo/2020/03/25/iguatemi-suspende-aluguel-de-marco-para-todos-os-lojistas.htm</w:t>
      </w:r>
    </w:p>
  </w:footnote>
  <w:footnote w:id="17">
    <w:p w:rsidR="00751943" w:rsidRPr="00751943" w:rsidRDefault="00751943">
      <w:pPr>
        <w:pStyle w:val="Textodenotaderodap"/>
        <w:rPr>
          <w:i/>
        </w:rPr>
      </w:pPr>
      <w:r w:rsidRPr="00751943">
        <w:rPr>
          <w:rStyle w:val="Refdenotaderodap"/>
          <w:rFonts w:ascii="Palatino Linotype" w:hAnsi="Palatino Linotype"/>
          <w:i/>
        </w:rPr>
        <w:footnoteRef/>
      </w:r>
      <w:r w:rsidRPr="00751943">
        <w:rPr>
          <w:rFonts w:ascii="Palatino Linotype" w:hAnsi="Palatino Linotype"/>
          <w:i/>
        </w:rPr>
        <w:t xml:space="preserve"> Idem.</w:t>
      </w:r>
    </w:p>
  </w:footnote>
  <w:footnote w:id="18">
    <w:p w:rsidR="00735A57" w:rsidRPr="00735A57" w:rsidRDefault="00735A57">
      <w:pPr>
        <w:pStyle w:val="Textodenotaderodap"/>
        <w:rPr>
          <w:rFonts w:ascii="Palatino Linotype" w:hAnsi="Palatino Linotype"/>
        </w:rPr>
      </w:pPr>
      <w:r w:rsidRPr="00735A57">
        <w:rPr>
          <w:rStyle w:val="Refdenotaderodap"/>
          <w:rFonts w:ascii="Palatino Linotype" w:hAnsi="Palatino Linotype"/>
        </w:rPr>
        <w:footnoteRef/>
      </w:r>
      <w:r w:rsidRPr="00735A57">
        <w:rPr>
          <w:rFonts w:ascii="Palatino Linotype" w:hAnsi="Palatino Linotype"/>
        </w:rPr>
        <w:t xml:space="preserve"> http://www.in.gov.br/en/web/dou/-/medida-provisoria-n-934-de-1-de-abril-de-2020-250710591</w:t>
      </w:r>
    </w:p>
  </w:footnote>
  <w:footnote w:id="19">
    <w:p w:rsidR="00735A57" w:rsidRPr="00735A57" w:rsidRDefault="00735A57">
      <w:pPr>
        <w:pStyle w:val="Textodenotaderodap"/>
        <w:rPr>
          <w:rFonts w:ascii="Palatino Linotype" w:hAnsi="Palatino Linotype"/>
        </w:rPr>
      </w:pPr>
      <w:r w:rsidRPr="00735A57">
        <w:rPr>
          <w:rStyle w:val="Refdenotaderodap"/>
          <w:rFonts w:ascii="Palatino Linotype" w:hAnsi="Palatino Linotype"/>
        </w:rPr>
        <w:footnoteRef/>
      </w:r>
      <w:r w:rsidRPr="00735A57">
        <w:rPr>
          <w:rFonts w:ascii="Palatino Linotype" w:hAnsi="Palatino Linotype"/>
        </w:rPr>
        <w:t xml:space="preserve"> http://www.planalto.gov.br/ccivil_03/leis/l9394.htm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240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217C93"/>
    <w:multiLevelType w:val="hybridMultilevel"/>
    <w:tmpl w:val="A4805A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FF542A"/>
    <w:multiLevelType w:val="hybridMultilevel"/>
    <w:tmpl w:val="401CE61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28B309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F85E05"/>
    <w:multiLevelType w:val="hybridMultilevel"/>
    <w:tmpl w:val="4FE6A8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566326"/>
    <w:multiLevelType w:val="hybridMultilevel"/>
    <w:tmpl w:val="EDA0ADE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3CEB47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A71D9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2E4709"/>
    <w:multiLevelType w:val="hybridMultilevel"/>
    <w:tmpl w:val="BDC0F3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78256AC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7"/>
  </w:num>
  <w:num w:numId="4">
    <w:abstractNumId w:val="9"/>
  </w:num>
  <w:num w:numId="5">
    <w:abstractNumId w:val="0"/>
  </w:num>
  <w:num w:numId="6">
    <w:abstractNumId w:val="5"/>
  </w:num>
  <w:num w:numId="7">
    <w:abstractNumId w:val="6"/>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FF"/>
    <w:rsid w:val="000416F2"/>
    <w:rsid w:val="000423CE"/>
    <w:rsid w:val="000D35CE"/>
    <w:rsid w:val="000E0A06"/>
    <w:rsid w:val="000F3792"/>
    <w:rsid w:val="00120544"/>
    <w:rsid w:val="001A5338"/>
    <w:rsid w:val="00240CC4"/>
    <w:rsid w:val="00241610"/>
    <w:rsid w:val="00253605"/>
    <w:rsid w:val="00264DDF"/>
    <w:rsid w:val="00267325"/>
    <w:rsid w:val="00291245"/>
    <w:rsid w:val="00291D51"/>
    <w:rsid w:val="002A5D5D"/>
    <w:rsid w:val="00320766"/>
    <w:rsid w:val="00321609"/>
    <w:rsid w:val="003236B2"/>
    <w:rsid w:val="0035680F"/>
    <w:rsid w:val="003760C7"/>
    <w:rsid w:val="003C799E"/>
    <w:rsid w:val="003E1136"/>
    <w:rsid w:val="003E2087"/>
    <w:rsid w:val="003E3B04"/>
    <w:rsid w:val="003E3FCA"/>
    <w:rsid w:val="00403CE0"/>
    <w:rsid w:val="00426B1F"/>
    <w:rsid w:val="00455258"/>
    <w:rsid w:val="0049066B"/>
    <w:rsid w:val="00492658"/>
    <w:rsid w:val="004B3951"/>
    <w:rsid w:val="00521B73"/>
    <w:rsid w:val="00522774"/>
    <w:rsid w:val="00584A65"/>
    <w:rsid w:val="005909FB"/>
    <w:rsid w:val="005A34FF"/>
    <w:rsid w:val="005C3A21"/>
    <w:rsid w:val="005D1A6B"/>
    <w:rsid w:val="005D6A75"/>
    <w:rsid w:val="005F3729"/>
    <w:rsid w:val="006501E8"/>
    <w:rsid w:val="006834DD"/>
    <w:rsid w:val="006F2BD1"/>
    <w:rsid w:val="00704CD9"/>
    <w:rsid w:val="00707B09"/>
    <w:rsid w:val="00735A57"/>
    <w:rsid w:val="00751943"/>
    <w:rsid w:val="00767369"/>
    <w:rsid w:val="007954DB"/>
    <w:rsid w:val="007F3D2F"/>
    <w:rsid w:val="00845FE2"/>
    <w:rsid w:val="008615D1"/>
    <w:rsid w:val="00862D20"/>
    <w:rsid w:val="008647B8"/>
    <w:rsid w:val="00873ADA"/>
    <w:rsid w:val="00875125"/>
    <w:rsid w:val="008A7F8F"/>
    <w:rsid w:val="008B4251"/>
    <w:rsid w:val="008C51DA"/>
    <w:rsid w:val="008D74B3"/>
    <w:rsid w:val="008F133B"/>
    <w:rsid w:val="009117C4"/>
    <w:rsid w:val="00932988"/>
    <w:rsid w:val="009540CB"/>
    <w:rsid w:val="0096787D"/>
    <w:rsid w:val="0098588C"/>
    <w:rsid w:val="009B4093"/>
    <w:rsid w:val="009D28A7"/>
    <w:rsid w:val="009E0205"/>
    <w:rsid w:val="009E7748"/>
    <w:rsid w:val="00A15D80"/>
    <w:rsid w:val="00A1758C"/>
    <w:rsid w:val="00A25473"/>
    <w:rsid w:val="00A332FF"/>
    <w:rsid w:val="00A63FEF"/>
    <w:rsid w:val="00AD7983"/>
    <w:rsid w:val="00AE34C8"/>
    <w:rsid w:val="00B51B31"/>
    <w:rsid w:val="00B51B33"/>
    <w:rsid w:val="00BC321F"/>
    <w:rsid w:val="00BE6D2C"/>
    <w:rsid w:val="00BF78A4"/>
    <w:rsid w:val="00C13E12"/>
    <w:rsid w:val="00C23B4C"/>
    <w:rsid w:val="00C768A2"/>
    <w:rsid w:val="00CA449C"/>
    <w:rsid w:val="00CE0C3A"/>
    <w:rsid w:val="00D46AC6"/>
    <w:rsid w:val="00D93502"/>
    <w:rsid w:val="00DB3A9E"/>
    <w:rsid w:val="00DD251F"/>
    <w:rsid w:val="00E11908"/>
    <w:rsid w:val="00E3341D"/>
    <w:rsid w:val="00E3485D"/>
    <w:rsid w:val="00E44804"/>
    <w:rsid w:val="00EC307A"/>
    <w:rsid w:val="00F30B6E"/>
    <w:rsid w:val="00F57209"/>
    <w:rsid w:val="00FF6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7482"/>
  <w15:docId w15:val="{B2246BEA-064C-4684-9D89-28B3E22C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9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A34FF"/>
    <w:pPr>
      <w:ind w:left="720"/>
      <w:contextualSpacing/>
    </w:pPr>
  </w:style>
  <w:style w:type="paragraph" w:styleId="Textodenotaderodap">
    <w:name w:val="footnote text"/>
    <w:basedOn w:val="Normal"/>
    <w:link w:val="TextodenotaderodapChar"/>
    <w:uiPriority w:val="99"/>
    <w:semiHidden/>
    <w:unhideWhenUsed/>
    <w:rsid w:val="003E3F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3FCA"/>
    <w:rPr>
      <w:sz w:val="20"/>
      <w:szCs w:val="20"/>
    </w:rPr>
  </w:style>
  <w:style w:type="character" w:styleId="Refdenotaderodap">
    <w:name w:val="footnote reference"/>
    <w:basedOn w:val="Fontepargpadro"/>
    <w:uiPriority w:val="99"/>
    <w:semiHidden/>
    <w:unhideWhenUsed/>
    <w:rsid w:val="003E3FCA"/>
    <w:rPr>
      <w:vertAlign w:val="superscript"/>
    </w:rPr>
  </w:style>
  <w:style w:type="character" w:styleId="Hyperlink">
    <w:name w:val="Hyperlink"/>
    <w:basedOn w:val="Fontepargpadro"/>
    <w:uiPriority w:val="99"/>
    <w:semiHidden/>
    <w:unhideWhenUsed/>
    <w:rsid w:val="009E0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941780">
      <w:bodyDiv w:val="1"/>
      <w:marLeft w:val="0"/>
      <w:marRight w:val="0"/>
      <w:marTop w:val="0"/>
      <w:marBottom w:val="0"/>
      <w:divBdr>
        <w:top w:val="none" w:sz="0" w:space="0" w:color="auto"/>
        <w:left w:val="none" w:sz="0" w:space="0" w:color="auto"/>
        <w:bottom w:val="none" w:sz="0" w:space="0" w:color="auto"/>
        <w:right w:val="none" w:sz="0" w:space="0" w:color="auto"/>
      </w:divBdr>
      <w:divsChild>
        <w:div w:id="176325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95DE-C71D-479A-B13B-9EDE81E3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2946</Words>
  <Characters>15910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Usuarios</dc:creator>
  <cp:lastModifiedBy>Usuarios</cp:lastModifiedBy>
  <cp:revision>2</cp:revision>
  <dcterms:created xsi:type="dcterms:W3CDTF">2020-04-23T03:44:00Z</dcterms:created>
  <dcterms:modified xsi:type="dcterms:W3CDTF">2020-04-23T03:44:00Z</dcterms:modified>
</cp:coreProperties>
</file>