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D6C" w:rsidRPr="00EF6DA3" w:rsidRDefault="00EF6DA3" w:rsidP="00EF6DA3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EF6DA3">
        <w:rPr>
          <w:rFonts w:ascii="Times New Roman" w:hAnsi="Times New Roman" w:cs="Times New Roman"/>
          <w:b/>
          <w:sz w:val="24"/>
          <w:szCs w:val="24"/>
        </w:rPr>
        <w:t>UMA ANÁLISE ACERCA DAS ALTERAÇÕES ENVOLVENDO A TUTELA CAUTELAR NO ÂMBITO DOS RECURSOS PÓS-CPC/2015:</w:t>
      </w:r>
      <w:r>
        <w:rPr>
          <w:rFonts w:ascii="Times New Roman" w:hAnsi="Times New Roman" w:cs="Times New Roman"/>
          <w:sz w:val="24"/>
          <w:szCs w:val="24"/>
        </w:rPr>
        <w:t xml:space="preserve"> a concessão de efeito suspensivo nos recursos extraordinários</w:t>
      </w:r>
      <w:r w:rsidR="00127DE3" w:rsidRPr="00EF6DA3">
        <w:rPr>
          <w:rFonts w:ascii="Times New Roman" w:hAnsi="Times New Roman" w:cs="Times New Roman"/>
          <w:sz w:val="24"/>
          <w:szCs w:val="24"/>
        </w:rPr>
        <w:t xml:space="preserve">. </w:t>
      </w:r>
      <w:r w:rsidR="00BF6ACD" w:rsidRPr="008A08AC">
        <w:rPr>
          <w:rStyle w:val="Refdenotaderodap"/>
          <w:rFonts w:ascii="Times New Roman" w:hAnsi="Times New Roman" w:cs="Times New Roman"/>
          <w:b/>
          <w:bCs/>
        </w:rPr>
        <w:footnoteReference w:id="1"/>
      </w:r>
    </w:p>
    <w:p w:rsidR="005C2FAE" w:rsidRPr="00D73F25" w:rsidRDefault="005C2FAE" w:rsidP="0019601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F6ACD" w:rsidRPr="00D242EA" w:rsidRDefault="002C46B6" w:rsidP="00BF6ACD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242EA">
        <w:rPr>
          <w:rFonts w:ascii="Times New Roman" w:hAnsi="Times New Roman" w:cs="Times New Roman"/>
          <w:bCs/>
          <w:sz w:val="20"/>
          <w:szCs w:val="20"/>
        </w:rPr>
        <w:t>Kassio Andriny F. Taveira</w:t>
      </w:r>
    </w:p>
    <w:p w:rsidR="002C46B6" w:rsidRPr="00D242EA" w:rsidRDefault="002C46B6" w:rsidP="00BF6ACD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D242EA">
        <w:rPr>
          <w:rFonts w:ascii="Times New Roman" w:hAnsi="Times New Roman" w:cs="Times New Roman"/>
          <w:bCs/>
          <w:sz w:val="20"/>
          <w:szCs w:val="20"/>
        </w:rPr>
        <w:t>Thainara</w:t>
      </w:r>
      <w:proofErr w:type="spellEnd"/>
      <w:r w:rsidRPr="00D242EA">
        <w:rPr>
          <w:rFonts w:ascii="Times New Roman" w:hAnsi="Times New Roman" w:cs="Times New Roman"/>
          <w:bCs/>
          <w:sz w:val="20"/>
          <w:szCs w:val="20"/>
        </w:rPr>
        <w:t xml:space="preserve"> Marques Santos</w:t>
      </w:r>
      <w:r w:rsidRPr="00D242EA">
        <w:rPr>
          <w:rStyle w:val="Refdenotaderodap"/>
          <w:rFonts w:ascii="Times New Roman" w:hAnsi="Times New Roman" w:cs="Times New Roman"/>
          <w:bCs/>
          <w:sz w:val="20"/>
          <w:szCs w:val="20"/>
        </w:rPr>
        <w:footnoteReference w:id="2"/>
      </w:r>
    </w:p>
    <w:p w:rsidR="00BF6ACD" w:rsidRPr="00D242EA" w:rsidRDefault="00EF6DA3" w:rsidP="00BF6ACD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242EA">
        <w:rPr>
          <w:rFonts w:ascii="Times New Roman" w:hAnsi="Times New Roman" w:cs="Times New Roman"/>
          <w:bCs/>
          <w:sz w:val="20"/>
          <w:szCs w:val="20"/>
        </w:rPr>
        <w:t xml:space="preserve">Gustavo </w:t>
      </w:r>
      <w:proofErr w:type="spellStart"/>
      <w:r w:rsidRPr="00D242EA">
        <w:rPr>
          <w:rFonts w:ascii="Times New Roman" w:hAnsi="Times New Roman" w:cs="Times New Roman"/>
          <w:bCs/>
          <w:sz w:val="20"/>
          <w:szCs w:val="20"/>
        </w:rPr>
        <w:t>Fonteles</w:t>
      </w:r>
      <w:proofErr w:type="spellEnd"/>
      <w:r w:rsidRPr="00D242EA">
        <w:rPr>
          <w:rFonts w:ascii="Times New Roman" w:hAnsi="Times New Roman" w:cs="Times New Roman"/>
          <w:bCs/>
          <w:sz w:val="20"/>
          <w:szCs w:val="20"/>
        </w:rPr>
        <w:t xml:space="preserve"> Carvalho Pereira</w:t>
      </w:r>
      <w:r w:rsidR="00BF6ACD" w:rsidRPr="00D242EA">
        <w:rPr>
          <w:rStyle w:val="Refdenotaderodap"/>
          <w:rFonts w:ascii="Times New Roman" w:hAnsi="Times New Roman" w:cs="Times New Roman"/>
          <w:bCs/>
          <w:sz w:val="20"/>
          <w:szCs w:val="20"/>
        </w:rPr>
        <w:footnoteReference w:id="3"/>
      </w:r>
    </w:p>
    <w:p w:rsidR="000F45D1" w:rsidRDefault="000F45D1" w:rsidP="008442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42FD" w:rsidRPr="003F5F79" w:rsidRDefault="008442FD" w:rsidP="008442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F79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:rsidR="00C9032A" w:rsidRPr="00610DEC" w:rsidRDefault="00BF0E09" w:rsidP="00BF0E09">
      <w:pPr>
        <w:pStyle w:val="PargrafodaLista"/>
        <w:ind w:left="0" w:firstLine="1134"/>
        <w:rPr>
          <w:rFonts w:ascii="Times New Roman" w:hAnsi="Times New Roman" w:cs="Times New Roman"/>
          <w:bCs/>
          <w:sz w:val="24"/>
          <w:szCs w:val="24"/>
        </w:rPr>
      </w:pPr>
      <w:r w:rsidRPr="00610DEC">
        <w:rPr>
          <w:rFonts w:ascii="Times New Roman" w:hAnsi="Times New Roman" w:cs="Times New Roman"/>
          <w:sz w:val="24"/>
          <w:szCs w:val="24"/>
        </w:rPr>
        <w:t>O Código de Processo Civil, consubstanciado na fundamental previsão constante do art. 5º da Constituição Federal, inciso XXXV</w:t>
      </w:r>
      <w:r w:rsidR="00610DEC">
        <w:rPr>
          <w:rFonts w:ascii="Times New Roman" w:hAnsi="Times New Roman" w:cs="Times New Roman"/>
          <w:sz w:val="24"/>
          <w:szCs w:val="24"/>
        </w:rPr>
        <w:t>, instituiu previsão de</w:t>
      </w:r>
      <w:r w:rsidRPr="00610DEC">
        <w:rPr>
          <w:rFonts w:ascii="Times New Roman" w:hAnsi="Times New Roman" w:cs="Times New Roman"/>
          <w:sz w:val="24"/>
          <w:szCs w:val="24"/>
        </w:rPr>
        <w:t xml:space="preserve"> técnica apropriada, que visa resguardar direitos com iminente risco de injustiças ou danos</w:t>
      </w:r>
      <w:r w:rsidR="00610DEC">
        <w:rPr>
          <w:rFonts w:ascii="Times New Roman" w:hAnsi="Times New Roman" w:cs="Times New Roman"/>
          <w:sz w:val="24"/>
          <w:szCs w:val="24"/>
        </w:rPr>
        <w:t>,</w:t>
      </w:r>
      <w:r w:rsidRPr="00610DEC">
        <w:rPr>
          <w:rFonts w:ascii="Times New Roman" w:hAnsi="Times New Roman" w:cs="Times New Roman"/>
          <w:sz w:val="24"/>
          <w:szCs w:val="24"/>
        </w:rPr>
        <w:t xml:space="preserve"> caso aguarde-se toda a conclusão da instrumentalização processual. No plano recursal, tais danos ainda são passíveis de ocorrer, </w:t>
      </w:r>
      <w:r w:rsidR="00DC707D" w:rsidRPr="00610DEC">
        <w:rPr>
          <w:rFonts w:ascii="Times New Roman" w:hAnsi="Times New Roman" w:cs="Times New Roman"/>
          <w:sz w:val="24"/>
          <w:szCs w:val="24"/>
        </w:rPr>
        <w:t>e a possibilidade de suspender-se a produção de tais efeitos pode exsurgir em decorrência da própria lei ou de decisão judicial</w:t>
      </w:r>
      <w:r w:rsidR="00610DEC">
        <w:rPr>
          <w:rFonts w:ascii="Times New Roman" w:hAnsi="Times New Roman" w:cs="Times New Roman"/>
          <w:sz w:val="24"/>
          <w:szCs w:val="24"/>
        </w:rPr>
        <w:t>, cuja forma de atribuição passa por importantes mudanças.</w:t>
      </w:r>
      <w:r w:rsidR="00DC707D" w:rsidRPr="00610DEC">
        <w:rPr>
          <w:rFonts w:ascii="Times New Roman" w:hAnsi="Times New Roman" w:cs="Times New Roman"/>
          <w:sz w:val="24"/>
          <w:szCs w:val="24"/>
        </w:rPr>
        <w:t xml:space="preserve"> </w:t>
      </w:r>
      <w:r w:rsidRPr="00610DEC">
        <w:rPr>
          <w:rFonts w:ascii="Times New Roman" w:hAnsi="Times New Roman" w:cs="Times New Roman"/>
          <w:sz w:val="24"/>
          <w:szCs w:val="24"/>
        </w:rPr>
        <w:t xml:space="preserve">Com a reforma </w:t>
      </w:r>
      <w:r w:rsidR="00610DEC">
        <w:rPr>
          <w:rFonts w:ascii="Times New Roman" w:hAnsi="Times New Roman" w:cs="Times New Roman"/>
          <w:sz w:val="24"/>
          <w:szCs w:val="24"/>
        </w:rPr>
        <w:t>do</w:t>
      </w:r>
      <w:r w:rsidRPr="00610DEC">
        <w:rPr>
          <w:rFonts w:ascii="Times New Roman" w:hAnsi="Times New Roman" w:cs="Times New Roman"/>
          <w:sz w:val="24"/>
          <w:szCs w:val="24"/>
        </w:rPr>
        <w:t xml:space="preserve"> estatuto processual</w:t>
      </w:r>
      <w:r w:rsidR="00610DEC">
        <w:rPr>
          <w:rFonts w:ascii="Times New Roman" w:hAnsi="Times New Roman" w:cs="Times New Roman"/>
          <w:sz w:val="24"/>
          <w:szCs w:val="24"/>
        </w:rPr>
        <w:t xml:space="preserve"> vigente em nosso ordenamento pátrio, e manutenção da situação fática que permitiu a existência da técnica em apreço</w:t>
      </w:r>
      <w:r w:rsidRPr="00610DEC">
        <w:rPr>
          <w:rFonts w:ascii="Times New Roman" w:hAnsi="Times New Roman" w:cs="Times New Roman"/>
          <w:sz w:val="24"/>
          <w:szCs w:val="24"/>
        </w:rPr>
        <w:t xml:space="preserve">, se </w:t>
      </w:r>
      <w:r w:rsidR="00610DEC">
        <w:rPr>
          <w:rFonts w:ascii="Times New Roman" w:hAnsi="Times New Roman" w:cs="Times New Roman"/>
          <w:sz w:val="24"/>
          <w:szCs w:val="24"/>
        </w:rPr>
        <w:t xml:space="preserve">questiona: existe ainda a possibilidade de formulação de ação cautelar, no âmbito dos recursos extraordinários, a fim de produzir efeito suspensivo </w:t>
      </w:r>
      <w:proofErr w:type="spellStart"/>
      <w:r w:rsidR="00610DEC" w:rsidRPr="00D242EA">
        <w:rPr>
          <w:rFonts w:ascii="Times New Roman" w:hAnsi="Times New Roman" w:cs="Times New Roman"/>
          <w:i/>
          <w:sz w:val="24"/>
          <w:szCs w:val="24"/>
        </w:rPr>
        <w:t>ope</w:t>
      </w:r>
      <w:proofErr w:type="spellEnd"/>
      <w:r w:rsidR="00610DEC" w:rsidRPr="00D242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0DEC" w:rsidRPr="00D242EA">
        <w:rPr>
          <w:rFonts w:ascii="Times New Roman" w:hAnsi="Times New Roman" w:cs="Times New Roman"/>
          <w:i/>
          <w:sz w:val="24"/>
          <w:szCs w:val="24"/>
        </w:rPr>
        <w:t>iudices</w:t>
      </w:r>
      <w:proofErr w:type="spellEnd"/>
      <w:r w:rsidR="00610DEC" w:rsidRPr="00D242EA">
        <w:rPr>
          <w:rFonts w:ascii="Times New Roman" w:hAnsi="Times New Roman" w:cs="Times New Roman"/>
          <w:sz w:val="24"/>
          <w:szCs w:val="24"/>
        </w:rPr>
        <w:t>?</w:t>
      </w:r>
      <w:r w:rsidR="00610DEC">
        <w:rPr>
          <w:rFonts w:ascii="Times New Roman" w:hAnsi="Times New Roman" w:cs="Times New Roman"/>
          <w:sz w:val="24"/>
          <w:szCs w:val="24"/>
        </w:rPr>
        <w:t xml:space="preserve"> Em caso de seu descabimento, qual a nova técnica processual adequada? </w:t>
      </w:r>
    </w:p>
    <w:p w:rsidR="008A08AC" w:rsidRPr="00610DEC" w:rsidRDefault="008A08AC" w:rsidP="00D73F25">
      <w:pPr>
        <w:pStyle w:val="PargrafodaLista"/>
        <w:ind w:left="0" w:firstLine="1134"/>
        <w:rPr>
          <w:rFonts w:ascii="Times New Roman" w:hAnsi="Times New Roman" w:cs="Times New Roman"/>
          <w:bCs/>
          <w:sz w:val="24"/>
          <w:szCs w:val="24"/>
        </w:rPr>
      </w:pPr>
    </w:p>
    <w:p w:rsidR="00D15C45" w:rsidRDefault="00ED6FCD" w:rsidP="00D73F25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10DEC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="00610DEC" w:rsidRPr="00D242EA">
        <w:rPr>
          <w:rFonts w:ascii="Times New Roman" w:hAnsi="Times New Roman" w:cs="Times New Roman"/>
          <w:bCs/>
          <w:sz w:val="24"/>
          <w:szCs w:val="24"/>
        </w:rPr>
        <w:t>Instrumentalização processual. Plano Recursal. Efeito suspensivo.</w:t>
      </w:r>
      <w:r w:rsidR="00610D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0C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73F25" w:rsidRDefault="00D73F25" w:rsidP="00D73F25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E0435F" w:rsidRPr="003F5F79" w:rsidRDefault="00E0435F" w:rsidP="00D15C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F5F79">
        <w:rPr>
          <w:rFonts w:ascii="Times New Roman" w:hAnsi="Times New Roman" w:cs="Times New Roman"/>
          <w:b/>
          <w:bCs/>
          <w:sz w:val="24"/>
          <w:szCs w:val="24"/>
        </w:rPr>
        <w:t>UMÁRIO</w:t>
      </w:r>
    </w:p>
    <w:p w:rsidR="00E0435F" w:rsidRPr="003F5F79" w:rsidRDefault="00E0435F" w:rsidP="00E043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3CED" w:rsidRPr="00D242EA" w:rsidRDefault="00D242EA" w:rsidP="000F45D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5F79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F5F79">
        <w:rPr>
          <w:rFonts w:ascii="Times New Roman" w:hAnsi="Times New Roman" w:cs="Times New Roman"/>
          <w:b/>
          <w:bCs/>
          <w:sz w:val="24"/>
          <w:szCs w:val="24"/>
        </w:rPr>
        <w:t xml:space="preserve"> INTRODUÇÃO</w:t>
      </w:r>
    </w:p>
    <w:p w:rsidR="000F45D1" w:rsidRDefault="00D242EA" w:rsidP="000F45D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4322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368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AS </w:t>
      </w:r>
      <w:r w:rsidRPr="00D36871">
        <w:rPr>
          <w:rFonts w:ascii="Times New Roman" w:hAnsi="Times New Roman" w:cs="Times New Roman"/>
          <w:b/>
          <w:sz w:val="24"/>
          <w:szCs w:val="24"/>
        </w:rPr>
        <w:t>AÇÕES CAUTELARES NO ÂMBITO DO CÓDIGO DE PROCESSO CIVIL DE 1973</w:t>
      </w:r>
    </w:p>
    <w:p w:rsidR="000F45D1" w:rsidRPr="00D36871" w:rsidRDefault="00D242EA" w:rsidP="000F45D1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 REQUISITOS APLICÁVEIS: TUTELA PROVISÓRIA SATISFATIVA X TUTELA PROVISÓRIA CAUTELAR</w:t>
      </w:r>
    </w:p>
    <w:p w:rsidR="000F45D1" w:rsidRDefault="00D242EA" w:rsidP="000F45D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.TUTELA PROVISÓRIA CAUTELAR E O EFEITO SUSPENSIVO </w:t>
      </w:r>
      <w:r w:rsidRPr="002C193F">
        <w:rPr>
          <w:rFonts w:ascii="Times New Roman" w:hAnsi="Times New Roman" w:cs="Times New Roman"/>
          <w:b/>
          <w:i/>
          <w:sz w:val="24"/>
          <w:szCs w:val="24"/>
        </w:rPr>
        <w:t>OPE IUDICES</w:t>
      </w:r>
      <w:r>
        <w:rPr>
          <w:rFonts w:ascii="Times New Roman" w:hAnsi="Times New Roman" w:cs="Times New Roman"/>
          <w:b/>
          <w:sz w:val="24"/>
          <w:szCs w:val="24"/>
        </w:rPr>
        <w:t xml:space="preserve"> NOS RECURSOS EXTRAORDINÁRIOS </w:t>
      </w:r>
    </w:p>
    <w:p w:rsidR="00E0435F" w:rsidRPr="003F5F79" w:rsidRDefault="00D242EA" w:rsidP="000F45D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3F5F79">
        <w:rPr>
          <w:rFonts w:ascii="Times New Roman" w:hAnsi="Times New Roman" w:cs="Times New Roman"/>
          <w:b/>
          <w:bCs/>
          <w:sz w:val="24"/>
          <w:szCs w:val="24"/>
        </w:rPr>
        <w:t>CONCLUSÃO</w:t>
      </w:r>
    </w:p>
    <w:p w:rsidR="00EB42C3" w:rsidRDefault="00D242EA" w:rsidP="000F45D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5F79">
        <w:rPr>
          <w:rFonts w:ascii="Times New Roman" w:hAnsi="Times New Roman" w:cs="Times New Roman"/>
          <w:b/>
          <w:bCs/>
          <w:sz w:val="24"/>
          <w:szCs w:val="24"/>
        </w:rPr>
        <w:t xml:space="preserve">   REFERÊNCIAS</w:t>
      </w:r>
    </w:p>
    <w:p w:rsidR="00E86CF1" w:rsidRDefault="00D242EA" w:rsidP="00E86C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EB42C3">
        <w:rPr>
          <w:rFonts w:ascii="Times New Roman" w:hAnsi="Times New Roman" w:cs="Times New Roman"/>
          <w:b/>
          <w:sz w:val="24"/>
          <w:szCs w:val="24"/>
        </w:rPr>
        <w:lastRenderedPageBreak/>
        <w:t>1 INTRODUÇÃO</w:t>
      </w:r>
    </w:p>
    <w:p w:rsidR="00224A5A" w:rsidRDefault="00224A5A" w:rsidP="00E86CF1">
      <w:pPr>
        <w:rPr>
          <w:rFonts w:ascii="Times New Roman" w:hAnsi="Times New Roman" w:cs="Times New Roman"/>
          <w:b/>
          <w:sz w:val="24"/>
          <w:szCs w:val="24"/>
        </w:rPr>
      </w:pPr>
    </w:p>
    <w:p w:rsidR="00D242EA" w:rsidRDefault="00D242EA" w:rsidP="00D242EA">
      <w:pPr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instituto da tu</w:t>
      </w:r>
      <w:r w:rsidRPr="00DA75DF">
        <w:rPr>
          <w:rFonts w:ascii="Times New Roman" w:hAnsi="Times New Roman" w:cs="Times New Roman"/>
          <w:sz w:val="24"/>
          <w:szCs w:val="24"/>
        </w:rPr>
        <w:t xml:space="preserve">tela </w:t>
      </w:r>
      <w:r>
        <w:rPr>
          <w:rFonts w:ascii="Times New Roman" w:hAnsi="Times New Roman" w:cs="Times New Roman"/>
          <w:sz w:val="24"/>
          <w:szCs w:val="24"/>
        </w:rPr>
        <w:t>cautelar é parte fundamental da previsão constante d</w:t>
      </w:r>
      <w:r w:rsidRPr="00DA75DF">
        <w:rPr>
          <w:rFonts w:ascii="Times New Roman" w:hAnsi="Times New Roman" w:cs="Times New Roman"/>
          <w:sz w:val="24"/>
          <w:szCs w:val="24"/>
        </w:rPr>
        <w:t>o art</w:t>
      </w:r>
      <w:r w:rsidR="008C6B2A">
        <w:rPr>
          <w:rFonts w:ascii="Times New Roman" w:hAnsi="Times New Roman" w:cs="Times New Roman"/>
          <w:sz w:val="24"/>
          <w:szCs w:val="24"/>
        </w:rPr>
        <w:t>igo</w:t>
      </w:r>
      <w:r w:rsidRPr="00DA75DF">
        <w:rPr>
          <w:rFonts w:ascii="Times New Roman" w:hAnsi="Times New Roman" w:cs="Times New Roman"/>
          <w:sz w:val="24"/>
          <w:szCs w:val="24"/>
        </w:rPr>
        <w:t xml:space="preserve"> 5º da Constituição Federal, </w:t>
      </w:r>
      <w:r>
        <w:rPr>
          <w:rFonts w:ascii="Times New Roman" w:hAnsi="Times New Roman" w:cs="Times New Roman"/>
          <w:sz w:val="24"/>
          <w:szCs w:val="24"/>
        </w:rPr>
        <w:t xml:space="preserve">inciso XXX, onde se estabelece que </w:t>
      </w:r>
      <w:r w:rsidRPr="00DA75DF">
        <w:rPr>
          <w:rFonts w:ascii="Times New Roman" w:hAnsi="Times New Roman" w:cs="Times New Roman"/>
          <w:sz w:val="24"/>
          <w:szCs w:val="24"/>
        </w:rPr>
        <w:t>nenhuma lesão ou ameaça a direito será subtraída à apreciação do P</w:t>
      </w:r>
      <w:r>
        <w:rPr>
          <w:rFonts w:ascii="Times New Roman" w:hAnsi="Times New Roman" w:cs="Times New Roman"/>
          <w:sz w:val="24"/>
          <w:szCs w:val="24"/>
        </w:rPr>
        <w:t>oder Judiciário (BRASIL, 1988). É, portanto, implícita,</w:t>
      </w:r>
      <w:r w:rsidRPr="00DA75DF">
        <w:rPr>
          <w:rFonts w:ascii="Times New Roman" w:hAnsi="Times New Roman" w:cs="Times New Roman"/>
          <w:sz w:val="24"/>
          <w:szCs w:val="24"/>
        </w:rPr>
        <w:t xml:space="preserve"> pois o que a Constituição origina</w:t>
      </w:r>
      <w:r>
        <w:rPr>
          <w:rFonts w:ascii="Times New Roman" w:hAnsi="Times New Roman" w:cs="Times New Roman"/>
          <w:sz w:val="24"/>
          <w:szCs w:val="24"/>
        </w:rPr>
        <w:t xml:space="preserve"> é a t</w:t>
      </w:r>
      <w:r w:rsidRPr="00DA75DF">
        <w:rPr>
          <w:rFonts w:ascii="Times New Roman" w:hAnsi="Times New Roman" w:cs="Times New Roman"/>
          <w:sz w:val="24"/>
          <w:szCs w:val="24"/>
        </w:rPr>
        <w:t>utela ao direito material, e isso nada mais é que a pr</w:t>
      </w:r>
      <w:r>
        <w:rPr>
          <w:rFonts w:ascii="Times New Roman" w:hAnsi="Times New Roman" w:cs="Times New Roman"/>
          <w:sz w:val="24"/>
          <w:szCs w:val="24"/>
        </w:rPr>
        <w:t>estação jurisdicional, como aduz</w:t>
      </w:r>
      <w:r w:rsidRPr="00DA75DF">
        <w:rPr>
          <w:rFonts w:ascii="Times New Roman" w:hAnsi="Times New Roman" w:cs="Times New Roman"/>
          <w:sz w:val="24"/>
          <w:szCs w:val="24"/>
        </w:rPr>
        <w:t xml:space="preserve"> Theodoro Júnior (2016). O Código de Processo Ci</w:t>
      </w:r>
      <w:r>
        <w:rPr>
          <w:rFonts w:ascii="Times New Roman" w:hAnsi="Times New Roman" w:cs="Times New Roman"/>
          <w:sz w:val="24"/>
          <w:szCs w:val="24"/>
        </w:rPr>
        <w:t xml:space="preserve">vil </w:t>
      </w:r>
      <w:r w:rsidRPr="00DA75DF">
        <w:rPr>
          <w:rFonts w:ascii="Times New Roman" w:hAnsi="Times New Roman" w:cs="Times New Roman"/>
          <w:sz w:val="24"/>
          <w:szCs w:val="24"/>
        </w:rPr>
        <w:t xml:space="preserve">trouxe </w:t>
      </w:r>
      <w:r>
        <w:rPr>
          <w:rFonts w:ascii="Times New Roman" w:hAnsi="Times New Roman" w:cs="Times New Roman"/>
          <w:sz w:val="24"/>
          <w:szCs w:val="24"/>
        </w:rPr>
        <w:t xml:space="preserve">então, </w:t>
      </w:r>
      <w:r w:rsidRPr="00DA75DF">
        <w:rPr>
          <w:rFonts w:ascii="Times New Roman" w:hAnsi="Times New Roman" w:cs="Times New Roman"/>
          <w:sz w:val="24"/>
          <w:szCs w:val="24"/>
        </w:rPr>
        <w:t>a técnica que visa resguardar direitos com iminente risco de injustiças ou danos, que devido à falta de agilidade dos processos brasileiros, possam vir se se perde</w:t>
      </w:r>
      <w:r>
        <w:rPr>
          <w:rFonts w:ascii="Times New Roman" w:hAnsi="Times New Roman" w:cs="Times New Roman"/>
          <w:sz w:val="24"/>
          <w:szCs w:val="24"/>
        </w:rPr>
        <w:t>r, extinguindo o processo em razão da perda do</w:t>
      </w:r>
      <w:r w:rsidRPr="00DA75DF">
        <w:rPr>
          <w:rFonts w:ascii="Times New Roman" w:hAnsi="Times New Roman" w:cs="Times New Roman"/>
          <w:sz w:val="24"/>
          <w:szCs w:val="24"/>
        </w:rPr>
        <w:t xml:space="preserve"> objeto. </w:t>
      </w:r>
    </w:p>
    <w:p w:rsidR="008C6B2A" w:rsidRDefault="00D242EA" w:rsidP="008C6B2A">
      <w:pPr>
        <w:ind w:firstLine="113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Com a com a edição de uma nova codificação processual civil em 2015 (Lei. 13.105/2015), restou claro que a intenção era a de simplificar e agilizar o andamento dos processos, sem, contudo, perder a sua eficiência, razão pela qual diversos aspectos procedimentais sofreram reformas, incluindo o instituto do processo cautelar, cujo foco da presente pesquisa, se resume à análise desse instrumento incidentalmente no âmbito dos recursos.</w:t>
      </w:r>
    </w:p>
    <w:p w:rsidR="00207CBE" w:rsidRPr="00207CBE" w:rsidRDefault="00D242EA" w:rsidP="00207CBE">
      <w:pPr>
        <w:ind w:firstLine="113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C6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Tendo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 vista os pressupostos legais</w:t>
      </w:r>
      <w:r w:rsidR="008C6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com base n</w:t>
      </w:r>
      <w:r w:rsidR="00207CBE">
        <w:rPr>
          <w:rFonts w:ascii="Times New Roman" w:eastAsia="Times New Roman" w:hAnsi="Times New Roman" w:cs="Times New Roman"/>
          <w:sz w:val="24"/>
          <w:szCs w:val="24"/>
          <w:lang w:eastAsia="pt-BR"/>
        </w:rPr>
        <w:t>as mudanças ocorridas no novo Código de Processo Civil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207CBE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artigo busca questionar se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inda existe viabilidade do uso da tutela provisória cautelar para conferir efeito suspensivo a recurso especial </w:t>
      </w:r>
      <w:r w:rsidR="00207C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novo Código de processo Civil e se 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pressupostos para o referido pleito sofreram modificação com a reforma legislativa? </w:t>
      </w:r>
    </w:p>
    <w:p w:rsidR="00207CBE" w:rsidRDefault="00207CBE" w:rsidP="00207CBE">
      <w:pPr>
        <w:ind w:firstLine="113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Nesse sentido temos que a </w:t>
      </w:r>
      <w:r w:rsidR="008C6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aplicabilidade da tutela provisória como meio de promover efeito suspensivo ao recurso especial passa pelo crivo das sumulas 634 e 635 do Supremo Tribunal Federal, que também são seguidas pelo Superior Tribunal de Justiça e que geraram a inclusão do art. 1.029, § 5º do CPC, que </w:t>
      </w:r>
      <w:r w:rsidR="008C6B2A" w:rsidRPr="00A40775">
        <w:rPr>
          <w:rFonts w:ascii="Times New Roman" w:eastAsia="Times New Roman" w:hAnsi="Times New Roman" w:cs="Times New Roman"/>
          <w:sz w:val="24"/>
          <w:szCs w:val="24"/>
          <w:lang w:eastAsia="pt-BR"/>
        </w:rPr>
        <w:t>prevê a concessão de efeitos suspensiv</w:t>
      </w:r>
      <w:r w:rsidR="008C6B2A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8C6B2A" w:rsidRPr="00A407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recurso especial, sendo silente, de igual sorte, quanto a discriminação de seus requisitos</w:t>
      </w:r>
      <w:r w:rsidR="00375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que esbarra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também nas previsões legais acerca do poder do relator na apreciação desse pedido.</w:t>
      </w:r>
      <w:r w:rsidR="008C6B2A" w:rsidRPr="00A4077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D242EA" w:rsidRPr="00224A5A" w:rsidRDefault="003756D9" w:rsidP="00224A5A">
      <w:pPr>
        <w:ind w:firstLine="113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Portanto, esse artigo intenta por meio de pesquisas de cunho exploratório analisar </w:t>
      </w:r>
      <w:r>
        <w:rPr>
          <w:rFonts w:ascii="Times New Roman" w:hAnsi="Times New Roman" w:cs="Times New Roman"/>
          <w:sz w:val="24"/>
          <w:szCs w:val="24"/>
        </w:rPr>
        <w:t xml:space="preserve">as profundas alterações no instrumento das tutelas provisórias, bem como, </w:t>
      </w:r>
      <w:r w:rsidRPr="00740D47">
        <w:rPr>
          <w:rFonts w:ascii="Times New Roman" w:hAnsi="Times New Roman" w:cs="Times New Roman"/>
          <w:sz w:val="24"/>
          <w:szCs w:val="24"/>
        </w:rPr>
        <w:t xml:space="preserve">se destina a abordar, de forma resumida e explicativa </w:t>
      </w:r>
      <w:r>
        <w:rPr>
          <w:rFonts w:ascii="Times New Roman" w:hAnsi="Times New Roman" w:cs="Times New Roman"/>
          <w:sz w:val="24"/>
          <w:szCs w:val="24"/>
        </w:rPr>
        <w:t>os pressupostos de utilização desse importante instrumento, cingindo-se aos requisitos para concessão de</w:t>
      </w:r>
      <w:r w:rsidRPr="00740D47">
        <w:rPr>
          <w:rFonts w:ascii="Times New Roman" w:hAnsi="Times New Roman" w:cs="Times New Roman"/>
          <w:sz w:val="24"/>
          <w:szCs w:val="24"/>
        </w:rPr>
        <w:t xml:space="preserve"> efeito suspensivo </w:t>
      </w:r>
      <w:proofErr w:type="spellStart"/>
      <w:r w:rsidRPr="00F46B08">
        <w:rPr>
          <w:rFonts w:ascii="Times New Roman" w:hAnsi="Times New Roman" w:cs="Times New Roman"/>
          <w:i/>
          <w:sz w:val="24"/>
          <w:szCs w:val="24"/>
        </w:rPr>
        <w:t>ope</w:t>
      </w:r>
      <w:proofErr w:type="spellEnd"/>
      <w:r w:rsidRPr="00F46B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6B08">
        <w:rPr>
          <w:rFonts w:ascii="Times New Roman" w:hAnsi="Times New Roman" w:cs="Times New Roman"/>
          <w:i/>
          <w:sz w:val="24"/>
          <w:szCs w:val="24"/>
        </w:rPr>
        <w:t>iudices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aos recursos</w:t>
      </w:r>
      <w:r w:rsidRPr="00740D47">
        <w:rPr>
          <w:rFonts w:ascii="Times New Roman" w:hAnsi="Times New Roman" w:cs="Times New Roman"/>
          <w:sz w:val="24"/>
          <w:szCs w:val="24"/>
        </w:rPr>
        <w:t>, algo que é alvo de questionamentos por parte da doutrin</w:t>
      </w:r>
      <w:r>
        <w:rPr>
          <w:rFonts w:ascii="Times New Roman" w:hAnsi="Times New Roman" w:cs="Times New Roman"/>
          <w:sz w:val="24"/>
          <w:szCs w:val="24"/>
        </w:rPr>
        <w:t xml:space="preserve">a e do próprio sistema judicial, constituindo um tema de verdadeira importância para o mundo jurídico e para o próprio cotidiano de quem se dedica a estudar o Direito. </w:t>
      </w:r>
    </w:p>
    <w:p w:rsidR="00613366" w:rsidRDefault="00295D1F" w:rsidP="00D242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 </w:t>
      </w:r>
      <w:r w:rsidR="00D242EA" w:rsidRPr="00D368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AS </w:t>
      </w:r>
      <w:r w:rsidR="00D242EA" w:rsidRPr="00D36871">
        <w:rPr>
          <w:rFonts w:ascii="Times New Roman" w:hAnsi="Times New Roman" w:cs="Times New Roman"/>
          <w:b/>
          <w:sz w:val="24"/>
          <w:szCs w:val="24"/>
        </w:rPr>
        <w:t>AÇÕES CAUTELARES NO ÂMBITO DO CÓDIGO DE PROCESSO CIVIL DE 1973</w:t>
      </w:r>
    </w:p>
    <w:p w:rsidR="00E25004" w:rsidRDefault="00E25004" w:rsidP="000F45D1">
      <w:pPr>
        <w:rPr>
          <w:rFonts w:ascii="Times New Roman" w:hAnsi="Times New Roman" w:cs="Times New Roman"/>
          <w:sz w:val="24"/>
          <w:szCs w:val="24"/>
        </w:rPr>
      </w:pPr>
    </w:p>
    <w:p w:rsidR="000F45D1" w:rsidRDefault="00300602" w:rsidP="006628DB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>Por meio do disposto</w:t>
      </w:r>
      <w:r w:rsidR="000F45D1">
        <w:t xml:space="preserve"> no art. 5º da Constituição Federal, em seu inciso XXXV</w:t>
      </w:r>
      <w:r>
        <w:t>,</w:t>
      </w:r>
      <w:r w:rsidR="000F45D1">
        <w:t xml:space="preserve"> </w:t>
      </w:r>
      <w:r w:rsidR="00BF0E09">
        <w:t>de forma explicita o legislador esculpiu determinação para</w:t>
      </w:r>
      <w:r w:rsidR="000F45D1">
        <w:t xml:space="preserve"> que nenhuma lesão ou ameaça a direito </w:t>
      </w:r>
      <w:r w:rsidR="00BF0E09">
        <w:t xml:space="preserve">seja </w:t>
      </w:r>
      <w:r w:rsidR="000F45D1">
        <w:t>subtraída à</w:t>
      </w:r>
      <w:r w:rsidR="00BF0E09">
        <w:t xml:space="preserve"> apreciação do Poder Judiciário, preceito fundante também n</w:t>
      </w:r>
      <w:r w:rsidR="000F45D1">
        <w:t>a ideia do processo cautelar</w:t>
      </w:r>
      <w:r w:rsidR="006628DB">
        <w:t xml:space="preserve"> há época de sua vigência.</w:t>
      </w:r>
    </w:p>
    <w:p w:rsidR="00F32C11" w:rsidRDefault="00F32C11" w:rsidP="00F32C11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>O Processo Cautelar se encontrava estruturado no Código de Processo Civil de 1973, no Livro III – a partir do artigo 796, estando dividido em dois capítulos: O Capitulo I que instituía as disposições gerais das medidas cautelares e o Capítulo II onde se encontravam as diretrizes dos procedimentos cautelares específicos.</w:t>
      </w:r>
    </w:p>
    <w:p w:rsidR="006628DB" w:rsidRDefault="006628DB" w:rsidP="006628DB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 xml:space="preserve">Considerando que a morosidade na tramitação de processos já se tornava um óbice à satisfação de direitos, ou mesmo à um fator determinante no perecimento que ensejava à perda do objeto da demanda, o processo cautelar era a forma adequada ao resguardo do segundo item apontado, vez que não se tratava de </w:t>
      </w:r>
      <w:r w:rsidR="00D8440A">
        <w:t>cognição acerca do mérito, mas sobre</w:t>
      </w:r>
      <w:r>
        <w:t xml:space="preserve"> a previsibilidade do p</w:t>
      </w:r>
      <w:r w:rsidR="00BB0450">
        <w:t>erecimento do objeto pretendido</w:t>
      </w:r>
      <w:r>
        <w:t>.</w:t>
      </w:r>
    </w:p>
    <w:p w:rsidR="000F45D1" w:rsidRDefault="000F45D1" w:rsidP="000F45D1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>O Código de Processo Civil de 1973, portanto, trouxe a técnica que visa</w:t>
      </w:r>
      <w:r w:rsidR="00881DA6">
        <w:t xml:space="preserve">va resguardar, ainda no início, </w:t>
      </w:r>
      <w:r>
        <w:t xml:space="preserve">direitos com iminente risco </w:t>
      </w:r>
      <w:r w:rsidR="00881DA6">
        <w:t>perecimento</w:t>
      </w:r>
      <w:r>
        <w:t xml:space="preserve">, </w:t>
      </w:r>
      <w:r w:rsidR="00881DA6">
        <w:t>o que a doutrina jurídica afirmava há época, nas palavras de</w:t>
      </w:r>
      <w:r>
        <w:t xml:space="preserve"> Didier Júnior, Braga e Oliveira (2010, p. 459-460):</w:t>
      </w:r>
    </w:p>
    <w:p w:rsidR="000F45D1" w:rsidRDefault="000F45D1" w:rsidP="000F45D1">
      <w:pPr>
        <w:pStyle w:val="NormalWeb"/>
        <w:spacing w:before="0" w:beforeAutospacing="0" w:after="0" w:afterAutospacing="0"/>
        <w:ind w:firstLine="1134"/>
        <w:jc w:val="both"/>
      </w:pPr>
    </w:p>
    <w:p w:rsidR="000F45D1" w:rsidRDefault="000F45D1" w:rsidP="000F45D1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BE7877">
        <w:rPr>
          <w:sz w:val="20"/>
          <w:szCs w:val="20"/>
        </w:rPr>
        <w:t>A Tutela Cautelar é decisão definitiva (exauriente, malgrado com eficácia temporária) que garante os futuros efeitos da tutela definitiva satisfativa. [...] A Tutela cautelar tem eficácia temporária. [...] é sempre não-satisfativa e conservativa, pois se limita a assegurar a futura satisfação de uma pretensão cognitiva ou executiva.</w:t>
      </w:r>
    </w:p>
    <w:p w:rsidR="000F45D1" w:rsidRPr="00BE7877" w:rsidRDefault="000F45D1" w:rsidP="000F45D1">
      <w:pPr>
        <w:pStyle w:val="NormalWeb"/>
        <w:spacing w:before="0" w:beforeAutospacing="0" w:after="0" w:afterAutospacing="0" w:line="360" w:lineRule="auto"/>
        <w:ind w:left="2268"/>
        <w:jc w:val="both"/>
        <w:rPr>
          <w:sz w:val="20"/>
          <w:szCs w:val="20"/>
        </w:rPr>
      </w:pPr>
    </w:p>
    <w:p w:rsidR="000F45D1" w:rsidRDefault="000F45D1" w:rsidP="000F45D1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 xml:space="preserve">Ou seja, </w:t>
      </w:r>
      <w:r w:rsidR="00890295">
        <w:t>a ação cautelar pretendia à promoção de medidas</w:t>
      </w:r>
      <w:r w:rsidR="00D8440A">
        <w:t xml:space="preserve"> que</w:t>
      </w:r>
      <w:r w:rsidR="00890295">
        <w:t>,</w:t>
      </w:r>
      <w:r>
        <w:t xml:space="preserve"> </w:t>
      </w:r>
      <w:r w:rsidR="00890295">
        <w:t>antes da tramitação processual integral</w:t>
      </w:r>
      <w:r w:rsidR="00D8440A">
        <w:t>,</w:t>
      </w:r>
      <w:r w:rsidR="00890295">
        <w:t xml:space="preserve"> assegurassem determinada</w:t>
      </w:r>
      <w:r>
        <w:t xml:space="preserve"> situação fática</w:t>
      </w:r>
      <w:r w:rsidR="00890295">
        <w:t>,</w:t>
      </w:r>
      <w:r>
        <w:t xml:space="preserve"> com a finalidade de assegurar a tutela </w:t>
      </w:r>
      <w:r w:rsidR="00890295">
        <w:t xml:space="preserve">de determinado direito ao final, permitindo que a prestação jurisdicional fosse ainda necessária e adequada quando da prolação da sentença. </w:t>
      </w:r>
    </w:p>
    <w:p w:rsidR="00F32C11" w:rsidRDefault="00F32C11" w:rsidP="000F45D1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 xml:space="preserve">Entendimento esse também afirmado por Enrico </w:t>
      </w:r>
      <w:proofErr w:type="spellStart"/>
      <w:r>
        <w:t>Liebman</w:t>
      </w:r>
      <w:proofErr w:type="spellEnd"/>
      <w:r>
        <w:t xml:space="preserve"> (apud FRANZÉ, 2006), </w:t>
      </w:r>
      <w:r w:rsidR="0033221A">
        <w:t xml:space="preserve">cuja contribuição de </w:t>
      </w:r>
      <w:proofErr w:type="spellStart"/>
      <w:r w:rsidR="0033221A">
        <w:t>Giacomo</w:t>
      </w:r>
      <w:proofErr w:type="spellEnd"/>
      <w:r w:rsidR="0033221A">
        <w:t xml:space="preserve"> </w:t>
      </w:r>
      <w:proofErr w:type="spellStart"/>
      <w:r w:rsidR="0033221A">
        <w:t>Oberto</w:t>
      </w:r>
      <w:proofErr w:type="spellEnd"/>
      <w:r w:rsidR="0033221A">
        <w:t xml:space="preserve"> (apud FRANZÉ, 2006) trazia ainda a ideia de que a ação cautelar possuía duas características cumuladas, a primeira </w:t>
      </w:r>
      <w:r w:rsidR="0033221A" w:rsidRPr="00E67104">
        <w:t>funcional</w:t>
      </w:r>
      <w:r w:rsidR="0033221A">
        <w:t xml:space="preserve">, a fim garantir que a tutela jurisdicional, ao final, fosse efetivada, e a segunda denominada </w:t>
      </w:r>
      <w:r w:rsidR="0033221A" w:rsidRPr="00E67104">
        <w:t>estrutural</w:t>
      </w:r>
      <w:r w:rsidR="0033221A">
        <w:t xml:space="preserve">, considerando a provisoriedade de sua existência. </w:t>
      </w:r>
    </w:p>
    <w:p w:rsidR="005E4D58" w:rsidRDefault="00382B6A" w:rsidP="00224A5A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 xml:space="preserve">Importante fazer uma simples ressalva a fim de assegurar o entendimento de que a tutela cautelar se trata de instrumento com viés diferente da tutela antecipada. Citando João </w:t>
      </w:r>
      <w:r>
        <w:lastRenderedPageBreak/>
        <w:t xml:space="preserve">Batista Lopes (apud FRANZÉ, 2006), em suma, ambas seriam espécies de tutela sumária (e não de urgência), tendo em vista que a cautelar visaria garantir o resultado final do processo, enquanto que </w:t>
      </w:r>
      <w:r w:rsidR="00191241">
        <w:t xml:space="preserve">a antecipada permitiria ao jurisdicionado perceber os ‘efeitos do resultado final’. </w:t>
      </w:r>
    </w:p>
    <w:p w:rsidR="00224A5A" w:rsidRDefault="00224A5A" w:rsidP="00224A5A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 xml:space="preserve">Se faz necessário ainda destacar as características presentes no processo cautelar do antigo de código de 1973, que são aquelas que </w:t>
      </w:r>
      <w:r w:rsidR="00BB0450">
        <w:t xml:space="preserve">a </w:t>
      </w:r>
      <w:r>
        <w:t xml:space="preserve">doutrina tradicional entende como as principais características da Tutela Cautelar: A a instrumentalidade, a urgência, a </w:t>
      </w:r>
      <w:proofErr w:type="spellStart"/>
      <w:r>
        <w:t>sumariedade</w:t>
      </w:r>
      <w:proofErr w:type="spellEnd"/>
      <w:r>
        <w:t xml:space="preserve"> da cognição, a provisoriedade, a revogabilidade</w:t>
      </w:r>
      <w:r w:rsidR="00BB0450">
        <w:t xml:space="preserve"> e</w:t>
      </w:r>
      <w:r>
        <w:t xml:space="preserve"> a autonomia. (DIDIER, BRAGA e OLIVEIRA, 2010). </w:t>
      </w:r>
    </w:p>
    <w:p w:rsidR="008621EB" w:rsidRDefault="00224A5A" w:rsidP="008621EB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 xml:space="preserve">A primeira pode ser compreendida como a ligação de dependência que há entre o processo cautelar e o processo principal. Já a segunda, urgência, diz respeito </w:t>
      </w:r>
      <w:r w:rsidR="00851DB5">
        <w:t xml:space="preserve">ao periculum in mora, ou risco de perigo na demora na prestação da prestação do direito (DIDIER, BRAGA e OLIVEIRA, 2010). A </w:t>
      </w:r>
      <w:proofErr w:type="spellStart"/>
      <w:r w:rsidR="00851DB5">
        <w:t>sumariedade</w:t>
      </w:r>
      <w:proofErr w:type="spellEnd"/>
      <w:r w:rsidR="00851DB5">
        <w:t xml:space="preserve"> da cognição, como descrito nas palavras de Watanabe (apud GONLÇALVES, 2014) é outra característica da tutela cautelar e a analisando a lição é possível entender que a tutela cautelar quanto a extensão é considerada plena, pois não há limite quanto ao que deva ser apreciado pelo juiz, exceto por algumas situações específicas consideradas exceções. Quanto a profundidade, Gonçalves (2014, p. 716) cita que é considerada superficial, visto que a decisão se baseia apenas em “mera semelhança ou plausibilidade do alegado”.</w:t>
      </w:r>
    </w:p>
    <w:p w:rsidR="008621EB" w:rsidRDefault="008621EB" w:rsidP="008621EB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>Temos ainda que a característica da provisoriedade se dá pelo fato de as decisões no processo cautelar não são de caráter terminante.</w:t>
      </w:r>
      <w:r w:rsidR="004D361D">
        <w:t xml:space="preserve"> </w:t>
      </w:r>
      <w:r>
        <w:t>O Juiz não escutou os dois polos da ação e tampouco colheu ou examinou todas as provas. A decisão no processo cautelar não está sujeita a coisa julgada. Essa decisão no processo cautelar tem sua duração com a data de validade determinada ao dia que o juiz proferir a sentença definitiva no processo principal (GONÇALVES, 2014).</w:t>
      </w:r>
    </w:p>
    <w:p w:rsidR="008621EB" w:rsidRDefault="00851DB5" w:rsidP="008621EB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 xml:space="preserve">No que diz respeito a revogabilidade, temos em vista o disposto no artigo 807 do CPC 73, que diz: </w:t>
      </w:r>
    </w:p>
    <w:p w:rsidR="008621EB" w:rsidRDefault="008621EB" w:rsidP="008621EB">
      <w:pPr>
        <w:pStyle w:val="NormalWeb"/>
        <w:spacing w:before="0" w:beforeAutospacing="0" w:after="0" w:afterAutospacing="0" w:line="360" w:lineRule="auto"/>
        <w:jc w:val="both"/>
      </w:pPr>
    </w:p>
    <w:p w:rsidR="00851DB5" w:rsidRPr="008621EB" w:rsidRDefault="00851DB5" w:rsidP="008621EB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8621EB">
        <w:rPr>
          <w:sz w:val="20"/>
          <w:szCs w:val="20"/>
        </w:rPr>
        <w:t>Art. 807. As medidas cautelares conservam a sua eficácia no prazo do artigo antecedente e na pendência do processo principal; mas podem, a qualquer tempo, ser revogadas ou modificadas.</w:t>
      </w:r>
    </w:p>
    <w:p w:rsidR="00851DB5" w:rsidRPr="00851DB5" w:rsidRDefault="00851DB5" w:rsidP="008621EB">
      <w:pPr>
        <w:spacing w:line="240" w:lineRule="auto"/>
        <w:ind w:left="2268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bookmarkStart w:id="0" w:name="art807p"/>
      <w:bookmarkEnd w:id="0"/>
      <w:r w:rsidRPr="00851DB5">
        <w:rPr>
          <w:rFonts w:ascii="Times New Roman" w:eastAsia="Times New Roman" w:hAnsi="Times New Roman" w:cs="Times New Roman"/>
          <w:sz w:val="20"/>
          <w:szCs w:val="20"/>
          <w:lang w:eastAsia="pt-BR"/>
        </w:rPr>
        <w:t>Parágrafo único. Salvo decisão judicial em contrário, a medida cautelar conservará a eficácia durante o período de suspensão do processo.</w:t>
      </w:r>
      <w:r w:rsidR="008621E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(BRASIL, 1973)</w:t>
      </w:r>
    </w:p>
    <w:p w:rsidR="00851DB5" w:rsidRDefault="00851DB5" w:rsidP="008621EB">
      <w:pPr>
        <w:pStyle w:val="NormalWeb"/>
        <w:spacing w:before="0" w:beforeAutospacing="0" w:after="0" w:afterAutospacing="0" w:line="360" w:lineRule="auto"/>
        <w:ind w:leftChars="2268" w:left="4990" w:firstLine="1134"/>
        <w:jc w:val="both"/>
        <w:rPr>
          <w:sz w:val="20"/>
          <w:szCs w:val="20"/>
        </w:rPr>
      </w:pPr>
    </w:p>
    <w:p w:rsidR="008621EB" w:rsidRDefault="008621EB" w:rsidP="008621EB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>Ou seja, a qualquer momento as cautelares podem ser revogadas, obvio que se verificando se a sentença é de procedência ou improcedência, no caso de improcedência ela manter</w:t>
      </w:r>
      <w:r w:rsidR="00BB0450">
        <w:t>ia</w:t>
      </w:r>
      <w:r>
        <w:t xml:space="preserve"> sua eficácia (GONÇALVES, 2014). </w:t>
      </w:r>
    </w:p>
    <w:p w:rsidR="004D361D" w:rsidRDefault="008621EB" w:rsidP="004D361D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lastRenderedPageBreak/>
        <w:t>Já em relação a última, sendo está de importante analise, haja vista que desapareceu com o advento do novo c</w:t>
      </w:r>
      <w:r w:rsidR="004D361D">
        <w:t xml:space="preserve">ódigo civil, verifica-se que a autonomia entre tipos processuais foi sendo relativizada e substituída pela ideia do </w:t>
      </w:r>
      <w:r w:rsidR="004D361D" w:rsidRPr="004D361D">
        <w:rPr>
          <w:iCs/>
        </w:rPr>
        <w:t>sincretismo processual</w:t>
      </w:r>
      <w:r w:rsidR="004D361D">
        <w:t>, cujo conceito é bem explicado pelo ilustre professor Carreira Alvim, ele explica:</w:t>
      </w:r>
    </w:p>
    <w:p w:rsidR="004D361D" w:rsidRDefault="004D361D" w:rsidP="004D361D">
      <w:pPr>
        <w:pStyle w:val="NormalWeb"/>
        <w:spacing w:before="0" w:beforeAutospacing="0" w:after="0" w:afterAutospacing="0" w:line="360" w:lineRule="auto"/>
        <w:ind w:firstLine="1134"/>
        <w:jc w:val="both"/>
      </w:pPr>
    </w:p>
    <w:p w:rsidR="004D361D" w:rsidRDefault="004D361D" w:rsidP="004D361D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4D361D">
        <w:rPr>
          <w:sz w:val="20"/>
          <w:szCs w:val="20"/>
        </w:rPr>
        <w:t>O sincretismo processual traduz uma tendência do direito processual, de combinar fórmulas e procedimentos, de modo a possibilitar a obtenção de mais de uma tutela jurisdicional, </w:t>
      </w:r>
      <w:proofErr w:type="spellStart"/>
      <w:r w:rsidRPr="004D361D">
        <w:rPr>
          <w:i/>
          <w:iCs/>
          <w:sz w:val="20"/>
          <w:szCs w:val="20"/>
        </w:rPr>
        <w:t>simpliciter</w:t>
      </w:r>
      <w:proofErr w:type="spellEnd"/>
      <w:r w:rsidRPr="004D361D">
        <w:rPr>
          <w:i/>
          <w:iCs/>
          <w:sz w:val="20"/>
          <w:szCs w:val="20"/>
        </w:rPr>
        <w:t xml:space="preserve"> et de plano</w:t>
      </w:r>
      <w:r w:rsidRPr="004D361D">
        <w:rPr>
          <w:sz w:val="20"/>
          <w:szCs w:val="20"/>
        </w:rPr>
        <w:t> (de forma simples e de imediato), no bojo de um mesmo processo, com o que, além de evitar a proliferação de processos, simplifica (e humaniza) a prestação jurisdicional</w:t>
      </w:r>
      <w:r>
        <w:rPr>
          <w:sz w:val="20"/>
          <w:szCs w:val="20"/>
        </w:rPr>
        <w:t xml:space="preserve"> (2004, pg. 40)</w:t>
      </w:r>
    </w:p>
    <w:p w:rsidR="004D361D" w:rsidRDefault="004D361D" w:rsidP="004D361D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</w:p>
    <w:p w:rsidR="00BD4C74" w:rsidRDefault="004D361D" w:rsidP="00BD4C74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 xml:space="preserve">Já no Código Processual Civil de 1973 tais mudanças ocorriam, alterações como as da Lei 10.444/02 que permitiram ao juiz deferir medida cautelar em caráter incidental e a da Lei 11.232/05 com a mudança do rito do cumprimento de sentença. </w:t>
      </w:r>
      <w:r w:rsidR="00104020">
        <w:t xml:space="preserve">Nesse sentido o CPC de 2015 deu aval a essa nova tendência já que em </w:t>
      </w:r>
      <w:r w:rsidR="008C7889">
        <w:t>seu artigo</w:t>
      </w:r>
      <w:r w:rsidR="00104020">
        <w:t xml:space="preserve"> 308, § </w:t>
      </w:r>
      <w:r w:rsidR="00104020" w:rsidRPr="00104020">
        <w:t>1</w:t>
      </w:r>
      <w:r w:rsidR="00104020">
        <w:t xml:space="preserve">º, </w:t>
      </w:r>
      <w:r w:rsidR="00104020" w:rsidRPr="00104020">
        <w:t>permite</w:t>
      </w:r>
      <w:r w:rsidR="00104020">
        <w:t xml:space="preserve"> expressamente que o pedido principal do processo seja formulado conjuntamente com o pedido de tutela cautelar</w:t>
      </w:r>
      <w:r w:rsidR="00BD4C74">
        <w:t xml:space="preserve"> e como aduz Neves: </w:t>
      </w:r>
      <w:r w:rsidR="00104020">
        <w:t xml:space="preserve"> “</w:t>
      </w:r>
      <w:r w:rsidR="00BD4C74">
        <w:t xml:space="preserve">[...] </w:t>
      </w:r>
      <w:r w:rsidR="00104020">
        <w:t>sendo possível essa cumulação inicial dos dois pedidos, também se admite a cumulação superveniente</w:t>
      </w:r>
      <w:r w:rsidR="00BD4C74">
        <w:t xml:space="preserve"> [...]</w:t>
      </w:r>
      <w:r w:rsidR="00104020">
        <w:t>” (NEVES, 2016</w:t>
      </w:r>
      <w:r w:rsidR="008C7889">
        <w:t>, pg. 470</w:t>
      </w:r>
      <w:r w:rsidR="00BD4C74">
        <w:t>). Logo, para o mesmo é</w:t>
      </w:r>
      <w:r w:rsidR="00104020">
        <w:t xml:space="preserve"> “</w:t>
      </w:r>
      <w:r w:rsidR="00BD4C74">
        <w:t xml:space="preserve">[...] </w:t>
      </w:r>
      <w:r w:rsidR="00104020">
        <w:t>indiscutível o fim do processo cautelar incidental</w:t>
      </w:r>
      <w:r w:rsidR="00BD4C74">
        <w:t xml:space="preserve"> [...]</w:t>
      </w:r>
      <w:r w:rsidR="00104020">
        <w:t>” (NEVES, 2016</w:t>
      </w:r>
      <w:r w:rsidR="00BD4C74">
        <w:t>, pg. 468</w:t>
      </w:r>
      <w:r w:rsidR="00104020">
        <w:t>).</w:t>
      </w:r>
    </w:p>
    <w:p w:rsidR="00BD4C74" w:rsidRDefault="00BD4C74" w:rsidP="000F45D1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 xml:space="preserve">Dessa forma, tal aspecto ainda presente no antigo CPC desaparece com a chegada do novo, haja vista que se harmonizou os dois elementos postulatórios (cautelar e “principal”) em consonância com a evolução da doutrina do sincretismo processual. A nova sistemática deve ser celebrada, pois certamente contribuirá para a simplificação e eficiência da tutela jurisdicional. </w:t>
      </w:r>
    </w:p>
    <w:p w:rsidR="00BE4C47" w:rsidRDefault="005E4D58" w:rsidP="000F45D1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 xml:space="preserve">Neste interim, já é notório que o objetivo deste tópico introdutório é demonstrar suscintamente a forma de utilização desta ‘tutela diferenciada’, gênero do qual a tutela cautelar advém, nas palavras de </w:t>
      </w:r>
      <w:proofErr w:type="spellStart"/>
      <w:r>
        <w:t>Luis</w:t>
      </w:r>
      <w:proofErr w:type="spellEnd"/>
      <w:r>
        <w:t xml:space="preserve"> Henrique </w:t>
      </w:r>
      <w:proofErr w:type="spellStart"/>
      <w:r>
        <w:t>Franzé</w:t>
      </w:r>
      <w:proofErr w:type="spellEnd"/>
      <w:r>
        <w:t xml:space="preserve"> (2006), já que é assim denominada em razão da busca pela utilização da forma ou do método mais adequado ao jurisdicionado, vez que o desenrolar processual, nos moldes prepostos pelos idealizadores do Código de Processo Civil de 1973, não garantiam com a eficácia necessária a efetividade de seus direitos e garantias. </w:t>
      </w:r>
    </w:p>
    <w:p w:rsidR="008621EB" w:rsidRDefault="008621EB" w:rsidP="00BD4C74">
      <w:pPr>
        <w:pStyle w:val="NormalWeb"/>
        <w:spacing w:before="0" w:beforeAutospacing="0" w:after="0" w:afterAutospacing="0" w:line="360" w:lineRule="auto"/>
        <w:jc w:val="both"/>
      </w:pPr>
    </w:p>
    <w:p w:rsidR="00D242EA" w:rsidRPr="00D36871" w:rsidRDefault="00D242EA" w:rsidP="00224A5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 REQUISITOS APLICÁVEIS: TUTELA PROVISÓRIA SATISFATIVA X TUTELA PROVISÓRIA CAUTELAR</w:t>
      </w:r>
    </w:p>
    <w:p w:rsidR="00E67ED5" w:rsidRDefault="00E67ED5" w:rsidP="00E2500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25004" w:rsidRDefault="00E25004" w:rsidP="00E25004">
      <w:pPr>
        <w:ind w:firstLine="11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vigência da nova codificação processual civil de 2015, houve uma reformulação substancial na conceituação dada às tutelas provisórias, conquanto, ainda na vigência da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codificação processual anterior, ainda pairavam dúvidas acerca dos pressupostos específicos à sua aplicação.</w:t>
      </w:r>
    </w:p>
    <w:p w:rsidR="00E25004" w:rsidRDefault="00E25004" w:rsidP="00E25004">
      <w:pPr>
        <w:ind w:firstLine="11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preleção de Humberto Teodoro Júnior (</w:t>
      </w:r>
      <w:r w:rsidR="00B14562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6E2A10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), após a unificação das tutelas provisórios de urgência, considerando o passo dado anteriormente no reconhecimento de aplicação da fungibilidade entre elas, a depender do caso concreto, foi tratada a possibilidade também de unificação dos pressupostos à sua concessão.</w:t>
      </w:r>
    </w:p>
    <w:p w:rsidR="00E25004" w:rsidRDefault="00E25004" w:rsidP="00E25004">
      <w:pPr>
        <w:ind w:firstLine="11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Conceito</w:t>
      </w:r>
      <w:r w:rsidR="00BA511B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anteriormente empregado</w:t>
      </w:r>
      <w:r w:rsidR="00BA511B">
        <w:rPr>
          <w:rFonts w:ascii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r w:rsidRPr="00E2500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fumus boni </w:t>
      </w:r>
      <w:proofErr w:type="spellStart"/>
      <w:r w:rsidRPr="00E25004">
        <w:rPr>
          <w:rFonts w:ascii="Times New Roman" w:hAnsi="Times New Roman" w:cs="Times New Roman"/>
          <w:i/>
          <w:color w:val="000000"/>
          <w:sz w:val="24"/>
          <w:szCs w:val="24"/>
        </w:rPr>
        <w:t>iures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pretendia à demonstração mínima de ‘aparência do direito’, ou seja, ainda que minimamente, o autor, para obtenção da tutela sumária, precisava </w:t>
      </w:r>
      <w:r w:rsidR="00BA511B">
        <w:rPr>
          <w:rFonts w:ascii="Times New Roman" w:hAnsi="Times New Roman" w:cs="Times New Roman"/>
          <w:color w:val="000000"/>
          <w:sz w:val="24"/>
          <w:szCs w:val="24"/>
        </w:rPr>
        <w:t xml:space="preserve">aparentar ser detentor de determinado direito, enquanto que o </w:t>
      </w:r>
      <w:r w:rsidR="00BA511B" w:rsidRPr="00BA511B">
        <w:rPr>
          <w:rFonts w:ascii="Times New Roman" w:hAnsi="Times New Roman" w:cs="Times New Roman"/>
          <w:i/>
          <w:color w:val="000000"/>
          <w:sz w:val="24"/>
          <w:szCs w:val="24"/>
        </w:rPr>
        <w:t>periculum in mora</w:t>
      </w:r>
      <w:r w:rsidR="00BA511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A511B">
        <w:rPr>
          <w:rFonts w:ascii="Times New Roman" w:hAnsi="Times New Roman" w:cs="Times New Roman"/>
          <w:color w:val="000000"/>
          <w:sz w:val="24"/>
          <w:szCs w:val="24"/>
        </w:rPr>
        <w:t xml:space="preserve">se tratava de requisito a demonstrar o dano que se buscava evitar através da instrumentalização sumária da demanda (TEODORO JÚNIOR, </w:t>
      </w:r>
      <w:r w:rsidR="00B14562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6E2A1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A511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130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309D" w:rsidRDefault="00E1309D" w:rsidP="00E25004">
      <w:pPr>
        <w:ind w:firstLine="11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vigência do atual código, essa cognição feita pelo juízo se modificou, de forma que tais requisitos não se tratam mais de uma fórmula matemática exata para que o jurisdicionado adquira sua pretensão sumária, onde a preponderância de um destes requisitos é bastante para o reconhecimento do direito à concessão de uma tutela de urgência ou da tutela de evidência.</w:t>
      </w:r>
    </w:p>
    <w:p w:rsidR="00E1309D" w:rsidRDefault="00E1309D" w:rsidP="00E25004">
      <w:pPr>
        <w:ind w:firstLine="11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Segundo prelecio</w:t>
      </w:r>
      <w:r w:rsidR="00B14562">
        <w:rPr>
          <w:rFonts w:ascii="Times New Roman" w:hAnsi="Times New Roman" w:cs="Times New Roman"/>
          <w:color w:val="000000"/>
          <w:sz w:val="24"/>
          <w:szCs w:val="24"/>
        </w:rPr>
        <w:t>na Humberto Teodoro Júnior (201</w:t>
      </w:r>
      <w:r w:rsidR="006E2A10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), assim como o ‘</w:t>
      </w:r>
      <w:r w:rsidRPr="00E1309D">
        <w:rPr>
          <w:rFonts w:ascii="Times New Roman" w:hAnsi="Times New Roman" w:cs="Times New Roman"/>
          <w:i/>
          <w:color w:val="000000"/>
          <w:sz w:val="24"/>
          <w:szCs w:val="24"/>
        </w:rPr>
        <w:t>fumus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extremado’ é requisito suficiente à concessão da tutela de evidência, já que esta não comporta a necessidade de demonstração de perigo de dano ou ao resultado útil do processo, o ‘</w:t>
      </w:r>
      <w:r w:rsidRPr="00E1309D">
        <w:rPr>
          <w:rFonts w:ascii="Times New Roman" w:hAnsi="Times New Roman" w:cs="Times New Roman"/>
          <w:i/>
          <w:color w:val="000000"/>
          <w:sz w:val="24"/>
          <w:szCs w:val="24"/>
        </w:rPr>
        <w:t>periculum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extremado’, sob o viés da proporcionalidade, pode ser bastante para verificação da concessão da tutela de urgência, seja ela antecipada ou cautelar. </w:t>
      </w:r>
    </w:p>
    <w:p w:rsidR="00B344FB" w:rsidRDefault="002F1507" w:rsidP="00E25004">
      <w:pPr>
        <w:ind w:firstLine="11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afastamento da necessária aplicação de tal ‘binômio perigo de dano-aparência do direito’ se daria através da mutação na forma de apreciação do pedido, dependendo eminentemente do caráter ativo do juízo, cuja cognição sumária preferiria explicar a concessão pelo preenchimento de um dos itens apenas, que a definição exauriente de que ambos devem estar presentes de forma objetiva, ainda que a análise feita pelo juízo seja</w:t>
      </w:r>
      <w:r w:rsidR="00B14562">
        <w:rPr>
          <w:rFonts w:ascii="Times New Roman" w:hAnsi="Times New Roman" w:cs="Times New Roman"/>
          <w:color w:val="000000"/>
          <w:sz w:val="24"/>
          <w:szCs w:val="24"/>
        </w:rPr>
        <w:t xml:space="preserve"> subjetiva (TEODORO JÚNIOR, 201</w:t>
      </w:r>
      <w:r w:rsidR="006E2A10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B344FB" w:rsidRDefault="00A53F26" w:rsidP="00AC39EB">
      <w:pPr>
        <w:ind w:firstLine="11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Seria quase o mesmo que definir que a atipicidade da ocasião necessitaria da aplicação de um afastamento da tipicidade prevista sob o art. 300 do CPC/2015, buscando antes uma melhor adequação fática, que atinja a pretensão sumária do jurisdicionado. </w:t>
      </w:r>
    </w:p>
    <w:p w:rsidR="00D242EA" w:rsidRDefault="00D242EA" w:rsidP="00AC39EB">
      <w:pPr>
        <w:ind w:firstLine="113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42EA" w:rsidRDefault="00D242EA" w:rsidP="00D242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.TUTELA PROVISÓRIA CAUTELAR E O EFEITO SUSPENSIVO </w:t>
      </w:r>
      <w:r w:rsidRPr="002C193F">
        <w:rPr>
          <w:rFonts w:ascii="Times New Roman" w:hAnsi="Times New Roman" w:cs="Times New Roman"/>
          <w:b/>
          <w:i/>
          <w:sz w:val="24"/>
          <w:szCs w:val="24"/>
        </w:rPr>
        <w:t>OPE IUDICES</w:t>
      </w:r>
      <w:r>
        <w:rPr>
          <w:rFonts w:ascii="Times New Roman" w:hAnsi="Times New Roman" w:cs="Times New Roman"/>
          <w:b/>
          <w:sz w:val="24"/>
          <w:szCs w:val="24"/>
        </w:rPr>
        <w:t xml:space="preserve"> NOS RECURSOS EXTRAORDINÁRIOS </w:t>
      </w:r>
    </w:p>
    <w:p w:rsidR="008D5192" w:rsidRDefault="008D5192" w:rsidP="000F45D1">
      <w:pPr>
        <w:rPr>
          <w:rFonts w:ascii="Times New Roman" w:hAnsi="Times New Roman" w:cs="Times New Roman"/>
          <w:b/>
          <w:sz w:val="24"/>
          <w:szCs w:val="24"/>
        </w:rPr>
      </w:pPr>
    </w:p>
    <w:p w:rsidR="00616B22" w:rsidRDefault="008D5192" w:rsidP="008D5192">
      <w:pPr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contramão da análise realizada até o presente momento, partir-se-á do pressuposto de que, diante de uma pretensão levada à cargo do judiciário, </w:t>
      </w:r>
      <w:r w:rsidR="00616B22">
        <w:rPr>
          <w:rFonts w:ascii="Times New Roman" w:hAnsi="Times New Roman" w:cs="Times New Roman"/>
          <w:sz w:val="24"/>
          <w:szCs w:val="24"/>
        </w:rPr>
        <w:t>determinada condenação imposta é injusta ou tem o condão de causar prejuízo de alta lesividade, e considerando a prolação de decisão term</w:t>
      </w:r>
      <w:r w:rsidR="00E90EE9">
        <w:rPr>
          <w:rFonts w:ascii="Times New Roman" w:hAnsi="Times New Roman" w:cs="Times New Roman"/>
          <w:sz w:val="24"/>
          <w:szCs w:val="24"/>
        </w:rPr>
        <w:t>inativa, tal</w:t>
      </w:r>
      <w:r w:rsidR="00616B22">
        <w:rPr>
          <w:rFonts w:ascii="Times New Roman" w:hAnsi="Times New Roman" w:cs="Times New Roman"/>
          <w:sz w:val="24"/>
          <w:szCs w:val="24"/>
        </w:rPr>
        <w:t xml:space="preserve"> encargo, em tese, já houve se tornado exigível. </w:t>
      </w:r>
    </w:p>
    <w:p w:rsidR="009366FC" w:rsidRDefault="001268AF" w:rsidP="008D5192">
      <w:pPr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Tendo por base o contexto genérico citado, a interposição de recursos extraordinários</w:t>
      </w:r>
      <w:r w:rsidR="0053682E">
        <w:rPr>
          <w:rFonts w:ascii="Times New Roman" w:hAnsi="Times New Roman" w:cs="Times New Roman"/>
          <w:sz w:val="24"/>
          <w:szCs w:val="24"/>
        </w:rPr>
        <w:t xml:space="preserve"> nem sempre imprime tranquilidade à</w:t>
      </w:r>
      <w:r>
        <w:rPr>
          <w:rFonts w:ascii="Times New Roman" w:hAnsi="Times New Roman" w:cs="Times New Roman"/>
          <w:sz w:val="24"/>
          <w:szCs w:val="24"/>
        </w:rPr>
        <w:t xml:space="preserve">quele que resistiu a determinada pretensão na fase cognitiva, e cujo efeito suspensivo, tanto sob a égide da codificação processual anterior quanto da atual, não </w:t>
      </w:r>
      <w:r w:rsidR="009366FC">
        <w:rPr>
          <w:rFonts w:ascii="Times New Roman" w:hAnsi="Times New Roman" w:cs="Times New Roman"/>
          <w:sz w:val="24"/>
          <w:szCs w:val="24"/>
        </w:rPr>
        <w:t xml:space="preserve">lhes </w:t>
      </w:r>
      <w:r>
        <w:rPr>
          <w:rFonts w:ascii="Times New Roman" w:hAnsi="Times New Roman" w:cs="Times New Roman"/>
          <w:sz w:val="24"/>
          <w:szCs w:val="24"/>
        </w:rPr>
        <w:t xml:space="preserve">confere efeito suspensivo </w:t>
      </w:r>
      <w:proofErr w:type="spellStart"/>
      <w:r w:rsidRPr="001268AF">
        <w:rPr>
          <w:rFonts w:ascii="Times New Roman" w:hAnsi="Times New Roman" w:cs="Times New Roman"/>
          <w:i/>
          <w:sz w:val="24"/>
          <w:szCs w:val="24"/>
        </w:rPr>
        <w:t>ope</w:t>
      </w:r>
      <w:proofErr w:type="spellEnd"/>
      <w:r w:rsidRPr="001268AF">
        <w:rPr>
          <w:rFonts w:ascii="Times New Roman" w:hAnsi="Times New Roman" w:cs="Times New Roman"/>
          <w:i/>
          <w:sz w:val="24"/>
          <w:szCs w:val="24"/>
        </w:rPr>
        <w:t xml:space="preserve"> legis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387D" w:rsidRDefault="0072387D" w:rsidP="008D5192">
      <w:pPr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Portanto, a maneira de alçar tal pretensão era a propositura de ação cautelar paralela, sob os ditames do art. 796 e seguintes do CPC/1973 (BRASIL, 2018), considerando que a própria lei predispunha que a medida cautelar, por processo autônomo e dependente, seria dirigida ao juízo da causa, e dispositivo tratava expressamente </w:t>
      </w:r>
      <w:r w:rsidR="00272AEB">
        <w:rPr>
          <w:rFonts w:ascii="Times New Roman" w:hAnsi="Times New Roman" w:cs="Times New Roman"/>
          <w:sz w:val="24"/>
          <w:szCs w:val="24"/>
        </w:rPr>
        <w:t xml:space="preserve">do cabimento deste tipo de ação no âmbito recursal, inserto sob o Parágrafo Único do artigo 800 (BRASIL, 2018). </w:t>
      </w:r>
    </w:p>
    <w:p w:rsidR="00E90EE9" w:rsidRDefault="0053682E" w:rsidP="008D5192">
      <w:pPr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que a medida tivesse a precípua intenção de conferir efeito suspensivo ao recurso extraordinário, mas a demonstração dos requisitos nessa fase processual em específico, demonstrando o </w:t>
      </w:r>
      <w:r w:rsidRPr="0053682E">
        <w:rPr>
          <w:rFonts w:ascii="Times New Roman" w:hAnsi="Times New Roman" w:cs="Times New Roman"/>
          <w:i/>
          <w:sz w:val="24"/>
          <w:szCs w:val="24"/>
        </w:rPr>
        <w:t>periculum</w:t>
      </w:r>
      <w:r>
        <w:rPr>
          <w:rFonts w:ascii="Times New Roman" w:hAnsi="Times New Roman" w:cs="Times New Roman"/>
          <w:sz w:val="24"/>
          <w:szCs w:val="24"/>
        </w:rPr>
        <w:t xml:space="preserve"> enfrentado, ocasionaria a produção do efeito suspensivo em razão da dependência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prejudicialidade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entre as ações. </w:t>
      </w:r>
    </w:p>
    <w:p w:rsidR="002270F7" w:rsidRDefault="002270F7" w:rsidP="008D5192">
      <w:pPr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que pese ser uma prática adotada de forma expressiva, e considerada adequada à concessão do efeito suspensivo </w:t>
      </w:r>
      <w:proofErr w:type="spellStart"/>
      <w:r w:rsidRPr="002270F7">
        <w:rPr>
          <w:rFonts w:ascii="Times New Roman" w:hAnsi="Times New Roman" w:cs="Times New Roman"/>
          <w:i/>
          <w:sz w:val="24"/>
          <w:szCs w:val="24"/>
        </w:rPr>
        <w:t>ope</w:t>
      </w:r>
      <w:proofErr w:type="spellEnd"/>
      <w:r w:rsidRPr="002270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270F7">
        <w:rPr>
          <w:rFonts w:ascii="Times New Roman" w:hAnsi="Times New Roman" w:cs="Times New Roman"/>
          <w:i/>
          <w:sz w:val="24"/>
          <w:szCs w:val="24"/>
        </w:rPr>
        <w:t>iudices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é ainda questionável a manutenção desta prática com o advento da nova codificação processual, já que, no campo fático, o jurisdicionado ainda se embate com decisões que o sobrepujam a cumprir determinações judiciais demasiadamente lesivas ou injustas, </w:t>
      </w:r>
      <w:r w:rsidR="0073039C">
        <w:rPr>
          <w:rFonts w:ascii="Times New Roman" w:hAnsi="Times New Roman" w:cs="Times New Roman"/>
          <w:sz w:val="24"/>
          <w:szCs w:val="24"/>
        </w:rPr>
        <w:t xml:space="preserve">quando revisto o direito aplicado ao caso. </w:t>
      </w:r>
    </w:p>
    <w:p w:rsidR="003756D9" w:rsidRPr="003F5F79" w:rsidRDefault="003756D9" w:rsidP="000F45D1">
      <w:pPr>
        <w:pStyle w:val="Default"/>
        <w:spacing w:line="360" w:lineRule="auto"/>
        <w:jc w:val="both"/>
        <w:rPr>
          <w:color w:val="auto"/>
        </w:rPr>
      </w:pPr>
    </w:p>
    <w:p w:rsidR="00F9649C" w:rsidRPr="003F5F79" w:rsidRDefault="00295D1F" w:rsidP="00F964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462C7" w:rsidRPr="003F5F79">
        <w:rPr>
          <w:rFonts w:ascii="Times New Roman" w:hAnsi="Times New Roman" w:cs="Times New Roman"/>
          <w:b/>
          <w:sz w:val="24"/>
          <w:szCs w:val="24"/>
        </w:rPr>
        <w:t xml:space="preserve"> CONCLUSÃO</w:t>
      </w:r>
    </w:p>
    <w:p w:rsidR="003E5976" w:rsidRPr="003F5F79" w:rsidRDefault="003E5976" w:rsidP="00F9649C">
      <w:pPr>
        <w:rPr>
          <w:rFonts w:ascii="Times New Roman" w:hAnsi="Times New Roman" w:cs="Times New Roman"/>
          <w:b/>
          <w:sz w:val="24"/>
          <w:szCs w:val="24"/>
        </w:rPr>
      </w:pPr>
    </w:p>
    <w:p w:rsidR="003E5976" w:rsidRDefault="003E5976" w:rsidP="00F9649C">
      <w:pPr>
        <w:rPr>
          <w:rFonts w:ascii="Times New Roman" w:hAnsi="Times New Roman" w:cs="Times New Roman"/>
          <w:b/>
          <w:sz w:val="24"/>
          <w:szCs w:val="24"/>
        </w:rPr>
      </w:pPr>
    </w:p>
    <w:p w:rsidR="00D242EA" w:rsidRDefault="00D242EA" w:rsidP="00F9649C">
      <w:pPr>
        <w:rPr>
          <w:rFonts w:ascii="Times New Roman" w:hAnsi="Times New Roman" w:cs="Times New Roman"/>
          <w:b/>
          <w:sz w:val="24"/>
          <w:szCs w:val="24"/>
        </w:rPr>
      </w:pPr>
    </w:p>
    <w:p w:rsidR="00D242EA" w:rsidRDefault="00D242EA" w:rsidP="00F9649C">
      <w:pPr>
        <w:rPr>
          <w:rFonts w:ascii="Times New Roman" w:hAnsi="Times New Roman" w:cs="Times New Roman"/>
          <w:b/>
          <w:sz w:val="24"/>
          <w:szCs w:val="24"/>
        </w:rPr>
      </w:pPr>
    </w:p>
    <w:p w:rsidR="00D242EA" w:rsidRDefault="00D242EA" w:rsidP="00F9649C">
      <w:pPr>
        <w:rPr>
          <w:rFonts w:ascii="Times New Roman" w:hAnsi="Times New Roman" w:cs="Times New Roman"/>
          <w:b/>
          <w:sz w:val="24"/>
          <w:szCs w:val="24"/>
        </w:rPr>
      </w:pPr>
    </w:p>
    <w:p w:rsidR="00D242EA" w:rsidRDefault="00D242EA" w:rsidP="00F9649C">
      <w:pPr>
        <w:rPr>
          <w:rFonts w:ascii="Times New Roman" w:hAnsi="Times New Roman" w:cs="Times New Roman"/>
          <w:b/>
          <w:sz w:val="24"/>
          <w:szCs w:val="24"/>
        </w:rPr>
      </w:pPr>
    </w:p>
    <w:p w:rsidR="00224A5A" w:rsidRDefault="00224A5A" w:rsidP="00E61E2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B470C" w:rsidRDefault="008B470C" w:rsidP="00E61E2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242EA" w:rsidRDefault="00D242EA" w:rsidP="00E61E2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F45D1" w:rsidRDefault="00402A3C" w:rsidP="000F45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F79">
        <w:rPr>
          <w:rFonts w:ascii="Times New Roman" w:hAnsi="Times New Roman" w:cs="Times New Roman"/>
          <w:b/>
          <w:sz w:val="24"/>
          <w:szCs w:val="24"/>
        </w:rPr>
        <w:lastRenderedPageBreak/>
        <w:t>RE</w:t>
      </w:r>
      <w:bookmarkStart w:id="1" w:name="_GoBack"/>
      <w:bookmarkEnd w:id="1"/>
      <w:r w:rsidRPr="003F5F79">
        <w:rPr>
          <w:rFonts w:ascii="Times New Roman" w:hAnsi="Times New Roman" w:cs="Times New Roman"/>
          <w:b/>
          <w:sz w:val="24"/>
          <w:szCs w:val="24"/>
        </w:rPr>
        <w:t>FERÊNCIAS</w:t>
      </w:r>
    </w:p>
    <w:p w:rsidR="000F45D1" w:rsidRDefault="000F45D1" w:rsidP="000F45D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45D1" w:rsidRPr="00A50325" w:rsidRDefault="000F45D1" w:rsidP="0093463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50325">
        <w:rPr>
          <w:rFonts w:ascii="Times New Roman" w:eastAsia="Times New Roman" w:hAnsi="Times New Roman" w:cs="Times New Roman"/>
          <w:sz w:val="24"/>
          <w:szCs w:val="24"/>
        </w:rPr>
        <w:t xml:space="preserve">BRASIL, </w:t>
      </w:r>
      <w:r w:rsidRPr="00A50325">
        <w:rPr>
          <w:rFonts w:ascii="Times New Roman" w:eastAsia="Times New Roman" w:hAnsi="Times New Roman" w:cs="Times New Roman"/>
          <w:b/>
          <w:sz w:val="24"/>
          <w:szCs w:val="24"/>
        </w:rPr>
        <w:t>Constituição da República Federativa do Brasil.</w:t>
      </w:r>
      <w:r w:rsidRPr="00A50325">
        <w:rPr>
          <w:rFonts w:ascii="Times New Roman" w:eastAsia="Times New Roman" w:hAnsi="Times New Roman" w:cs="Times New Roman"/>
          <w:sz w:val="24"/>
          <w:szCs w:val="24"/>
        </w:rPr>
        <w:t xml:space="preserve"> 2013 ed. 1988.</w:t>
      </w:r>
    </w:p>
    <w:p w:rsidR="000F45D1" w:rsidRPr="00CF6541" w:rsidRDefault="000F45D1" w:rsidP="0093463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0F45D1" w:rsidRPr="00CF6541" w:rsidRDefault="000F45D1" w:rsidP="0093463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F6541">
        <w:rPr>
          <w:rFonts w:ascii="Times New Roman" w:hAnsi="Times New Roman" w:cs="Times New Roman"/>
          <w:sz w:val="24"/>
          <w:szCs w:val="24"/>
        </w:rPr>
        <w:t xml:space="preserve">______. </w:t>
      </w:r>
      <w:r w:rsidRPr="00CF6541">
        <w:rPr>
          <w:rStyle w:val="Forte"/>
          <w:rFonts w:ascii="Times New Roman" w:hAnsi="Times New Roman" w:cs="Times New Roman"/>
          <w:sz w:val="24"/>
          <w:szCs w:val="24"/>
        </w:rPr>
        <w:t xml:space="preserve">Lei nº 13.105 de 15 de março de 2015: </w:t>
      </w:r>
      <w:r w:rsidRPr="00CF6541">
        <w:rPr>
          <w:rFonts w:ascii="Times New Roman" w:hAnsi="Times New Roman" w:cs="Times New Roman"/>
          <w:sz w:val="24"/>
          <w:szCs w:val="24"/>
        </w:rPr>
        <w:t xml:space="preserve">Código de Processo Civil. Disponível em:http://www.planalto.gov.br/ccivil_03/_ato2015-2018/2015/lei/l13105.html. </w:t>
      </w:r>
    </w:p>
    <w:p w:rsidR="000F45D1" w:rsidRPr="00CF6541" w:rsidRDefault="006E2A10" w:rsidP="0093463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F6541">
        <w:rPr>
          <w:rFonts w:ascii="Times New Roman" w:hAnsi="Times New Roman" w:cs="Times New Roman"/>
          <w:sz w:val="24"/>
          <w:szCs w:val="24"/>
        </w:rPr>
        <w:t>Acesso em: set. 2018.</w:t>
      </w:r>
    </w:p>
    <w:p w:rsidR="006E2A10" w:rsidRPr="00CF6541" w:rsidRDefault="006E2A10" w:rsidP="0093463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6E2A10" w:rsidRPr="00CF6541" w:rsidRDefault="006E2A10" w:rsidP="0093463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F6541">
        <w:rPr>
          <w:rFonts w:ascii="Times New Roman" w:hAnsi="Times New Roman" w:cs="Times New Roman"/>
          <w:sz w:val="24"/>
          <w:szCs w:val="24"/>
        </w:rPr>
        <w:t xml:space="preserve">______. </w:t>
      </w:r>
      <w:r w:rsidRPr="00CF6541">
        <w:rPr>
          <w:rFonts w:ascii="Times New Roman" w:hAnsi="Times New Roman" w:cs="Times New Roman"/>
          <w:b/>
          <w:sz w:val="24"/>
          <w:szCs w:val="24"/>
        </w:rPr>
        <w:t>Lei nº 5.869 de 11 de janeiro de 1973: Código de Processo Civil</w:t>
      </w:r>
      <w:r w:rsidRPr="00CF6541">
        <w:rPr>
          <w:rFonts w:ascii="Times New Roman" w:hAnsi="Times New Roman" w:cs="Times New Roman"/>
          <w:sz w:val="24"/>
          <w:szCs w:val="24"/>
        </w:rPr>
        <w:t xml:space="preserve">. Disponível em: &lt; http://www.planalto.gov.br/ccivil_03/LEIS/L5869impressao.htm&gt;. Acesso em: set. 2018. </w:t>
      </w:r>
    </w:p>
    <w:p w:rsidR="00CF6541" w:rsidRPr="00CF6541" w:rsidRDefault="00CF6541" w:rsidP="0093463F">
      <w:pPr>
        <w:spacing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6541" w:rsidRPr="00CF6541" w:rsidRDefault="00CF6541" w:rsidP="00CF6541">
      <w:pPr>
        <w:spacing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541">
        <w:rPr>
          <w:rFonts w:ascii="Times New Roman" w:hAnsi="Times New Roman" w:cs="Times New Roman"/>
          <w:color w:val="000000" w:themeColor="text1"/>
          <w:sz w:val="24"/>
          <w:szCs w:val="24"/>
        </w:rPr>
        <w:t>______.</w:t>
      </w:r>
      <w:r w:rsidRPr="00CF6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Pr="00CF6541">
          <w:rPr>
            <w:rStyle w:val="Forte"/>
            <w:rFonts w:ascii="Times New Roman" w:hAnsi="Times New Roman" w:cs="Times New Roman"/>
            <w:color w:val="000000" w:themeColor="text1"/>
            <w:sz w:val="24"/>
            <w:szCs w:val="24"/>
          </w:rPr>
          <w:t>LEI Nº 10.444, DE 7 DE MAIO DE 2002.</w:t>
        </w:r>
      </w:hyperlink>
      <w:r w:rsidRPr="00CF6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F6541" w:rsidRPr="00CF6541" w:rsidRDefault="00CF6541" w:rsidP="00CF6541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F6541">
        <w:rPr>
          <w:rFonts w:ascii="Times New Roman" w:hAnsi="Times New Roman" w:cs="Times New Roman"/>
          <w:sz w:val="24"/>
          <w:szCs w:val="24"/>
        </w:rPr>
        <w:t xml:space="preserve">Disponível em: &lt; </w:t>
      </w:r>
      <w:r w:rsidRPr="00CF6541">
        <w:rPr>
          <w:rFonts w:ascii="Times New Roman" w:hAnsi="Times New Roman" w:cs="Times New Roman"/>
          <w:sz w:val="24"/>
          <w:szCs w:val="24"/>
        </w:rPr>
        <w:t>http://www.planalto.gov.br/ccivil_03/LEIS/2002/L10444.htm&gt;. Acesso em: out</w:t>
      </w:r>
      <w:r w:rsidRPr="00CF6541">
        <w:rPr>
          <w:rFonts w:ascii="Times New Roman" w:hAnsi="Times New Roman" w:cs="Times New Roman"/>
          <w:sz w:val="24"/>
          <w:szCs w:val="24"/>
        </w:rPr>
        <w:t xml:space="preserve">. 2018. </w:t>
      </w:r>
    </w:p>
    <w:p w:rsidR="00CF6541" w:rsidRPr="00CF6541" w:rsidRDefault="00CF6541" w:rsidP="0093463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F6541" w:rsidRPr="00CF6541" w:rsidRDefault="00CF6541" w:rsidP="00CF6541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F6541">
        <w:rPr>
          <w:rFonts w:ascii="Times New Roman" w:hAnsi="Times New Roman" w:cs="Times New Roman"/>
          <w:sz w:val="24"/>
          <w:szCs w:val="24"/>
        </w:rPr>
        <w:t>______.</w:t>
      </w:r>
      <w:r w:rsidRPr="00CF654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CF6541">
          <w:rPr>
            <w:rStyle w:val="Forte"/>
            <w:rFonts w:ascii="Times New Roman" w:hAnsi="Times New Roman" w:cs="Times New Roman"/>
            <w:color w:val="000000" w:themeColor="text1"/>
            <w:sz w:val="24"/>
            <w:szCs w:val="24"/>
          </w:rPr>
          <w:t>LEI Nº 11.232, DE 22 DE DEZEMBRO DE 2005.</w:t>
        </w:r>
      </w:hyperlink>
    </w:p>
    <w:p w:rsidR="00CF6541" w:rsidRPr="00CF6541" w:rsidRDefault="00CF6541" w:rsidP="00CF6541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F6541">
        <w:rPr>
          <w:rFonts w:ascii="Times New Roman" w:hAnsi="Times New Roman" w:cs="Times New Roman"/>
          <w:sz w:val="24"/>
          <w:szCs w:val="24"/>
        </w:rPr>
        <w:t xml:space="preserve"> Disponível em: &lt; </w:t>
      </w:r>
      <w:r w:rsidRPr="00CF6541">
        <w:rPr>
          <w:rFonts w:ascii="Times New Roman" w:hAnsi="Times New Roman" w:cs="Times New Roman"/>
          <w:sz w:val="24"/>
          <w:szCs w:val="24"/>
        </w:rPr>
        <w:t>www.planalto.gov.br/ccivil_03/_Ato2004-2006/2005/Lei/L11232.htm&gt;. Acesso em: out</w:t>
      </w:r>
      <w:r w:rsidRPr="00CF6541">
        <w:rPr>
          <w:rFonts w:ascii="Times New Roman" w:hAnsi="Times New Roman" w:cs="Times New Roman"/>
          <w:sz w:val="24"/>
          <w:szCs w:val="24"/>
        </w:rPr>
        <w:t xml:space="preserve">. 2018. </w:t>
      </w:r>
    </w:p>
    <w:p w:rsidR="004D361D" w:rsidRDefault="004D361D" w:rsidP="0093463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D361D" w:rsidRDefault="004D361D" w:rsidP="004D36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361D">
        <w:rPr>
          <w:rFonts w:ascii="Times New Roman" w:hAnsi="Times New Roman" w:cs="Times New Roman"/>
          <w:sz w:val="24"/>
          <w:szCs w:val="24"/>
        </w:rPr>
        <w:t>ALVIM, José Eduardo Carreira. </w:t>
      </w:r>
      <w:r w:rsidRPr="004D361D">
        <w:rPr>
          <w:rFonts w:ascii="Times New Roman" w:hAnsi="Times New Roman" w:cs="Times New Roman"/>
          <w:b/>
          <w:sz w:val="24"/>
          <w:szCs w:val="24"/>
        </w:rPr>
        <w:t>Alterações do Código de Processo Civil</w:t>
      </w:r>
      <w:r w:rsidRPr="004D361D">
        <w:rPr>
          <w:rFonts w:ascii="Times New Roman" w:hAnsi="Times New Roman" w:cs="Times New Roman"/>
          <w:sz w:val="24"/>
          <w:szCs w:val="24"/>
        </w:rPr>
        <w:t xml:space="preserve">. Rio de Janeiro: </w:t>
      </w:r>
      <w:proofErr w:type="spellStart"/>
      <w:r w:rsidRPr="004D361D">
        <w:rPr>
          <w:rFonts w:ascii="Times New Roman" w:hAnsi="Times New Roman" w:cs="Times New Roman"/>
          <w:sz w:val="24"/>
          <w:szCs w:val="24"/>
        </w:rPr>
        <w:t>Impetus</w:t>
      </w:r>
      <w:proofErr w:type="spellEnd"/>
      <w:r w:rsidRPr="004D361D">
        <w:rPr>
          <w:rFonts w:ascii="Times New Roman" w:hAnsi="Times New Roman" w:cs="Times New Roman"/>
          <w:sz w:val="24"/>
          <w:szCs w:val="24"/>
        </w:rPr>
        <w:t>, 2004.</w:t>
      </w:r>
    </w:p>
    <w:p w:rsidR="004D361D" w:rsidRPr="004D361D" w:rsidRDefault="004D361D" w:rsidP="004D36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 obra retiramos as explanações acerca do sincretismo processual.</w:t>
      </w:r>
    </w:p>
    <w:p w:rsidR="000F45D1" w:rsidRPr="00A50325" w:rsidRDefault="000F45D1" w:rsidP="0093463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0F45D1" w:rsidRDefault="000F45D1" w:rsidP="0093463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50325">
        <w:rPr>
          <w:rFonts w:ascii="Times New Roman" w:hAnsi="Times New Roman" w:cs="Times New Roman"/>
          <w:sz w:val="24"/>
          <w:szCs w:val="24"/>
        </w:rPr>
        <w:t xml:space="preserve">DIDIER JÚNIOR, </w:t>
      </w:r>
      <w:proofErr w:type="spellStart"/>
      <w:r w:rsidRPr="00A50325">
        <w:rPr>
          <w:rFonts w:ascii="Times New Roman" w:hAnsi="Times New Roman" w:cs="Times New Roman"/>
          <w:sz w:val="24"/>
          <w:szCs w:val="24"/>
        </w:rPr>
        <w:t>Fredie</w:t>
      </w:r>
      <w:proofErr w:type="spellEnd"/>
      <w:r w:rsidRPr="00A50325">
        <w:rPr>
          <w:rFonts w:ascii="Times New Roman" w:hAnsi="Times New Roman" w:cs="Times New Roman"/>
          <w:sz w:val="24"/>
          <w:szCs w:val="24"/>
        </w:rPr>
        <w:t xml:space="preserve">; BRAGA, Paula Sarno; OLIVEIRA, Rafael. </w:t>
      </w:r>
      <w:r w:rsidRPr="00A50325">
        <w:rPr>
          <w:rStyle w:val="Forte"/>
          <w:rFonts w:ascii="Times New Roman" w:hAnsi="Times New Roman" w:cs="Times New Roman"/>
          <w:sz w:val="24"/>
          <w:szCs w:val="24"/>
        </w:rPr>
        <w:t>Curso de direito processual civil</w:t>
      </w:r>
      <w:r w:rsidRPr="00A50325">
        <w:rPr>
          <w:rFonts w:ascii="Times New Roman" w:hAnsi="Times New Roman" w:cs="Times New Roman"/>
          <w:sz w:val="24"/>
          <w:szCs w:val="24"/>
        </w:rPr>
        <w:t xml:space="preserve">. 5. ed. </w:t>
      </w:r>
      <w:r>
        <w:rPr>
          <w:rFonts w:ascii="Times New Roman" w:hAnsi="Times New Roman" w:cs="Times New Roman"/>
          <w:sz w:val="24"/>
          <w:szCs w:val="24"/>
        </w:rPr>
        <w:t xml:space="preserve">Salvador: </w:t>
      </w:r>
      <w:proofErr w:type="spellStart"/>
      <w:r>
        <w:rPr>
          <w:rFonts w:ascii="Times New Roman" w:hAnsi="Times New Roman" w:cs="Times New Roman"/>
          <w:sz w:val="24"/>
          <w:szCs w:val="24"/>
        </w:rPr>
        <w:t>JusPodvim</w:t>
      </w:r>
      <w:proofErr w:type="spellEnd"/>
      <w:r>
        <w:rPr>
          <w:rFonts w:ascii="Times New Roman" w:hAnsi="Times New Roman" w:cs="Times New Roman"/>
          <w:sz w:val="24"/>
          <w:szCs w:val="24"/>
        </w:rPr>
        <w:t>, 2010</w:t>
      </w:r>
    </w:p>
    <w:p w:rsidR="00851DB5" w:rsidRDefault="00851DB5" w:rsidP="0093463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partir de conceitos dessa obra, extraiu-se definições acerca do processo cautelar e de suas características </w:t>
      </w:r>
    </w:p>
    <w:p w:rsidR="00FA69C1" w:rsidRDefault="00FA69C1" w:rsidP="0093463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FA69C1" w:rsidRDefault="00FA69C1" w:rsidP="0093463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FRANZÉ, Luís Henrique Barbante. </w:t>
      </w:r>
      <w:r w:rsidRPr="00F5345C">
        <w:rPr>
          <w:rFonts w:ascii="Times New Roman" w:hAnsi="Times New Roman" w:cs="Times New Roman"/>
          <w:b/>
          <w:sz w:val="24"/>
          <w:szCs w:val="24"/>
        </w:rPr>
        <w:t>Tutela Antecipada em Relação aos Recursos no Processo Civil Brasileiro</w:t>
      </w:r>
      <w:r>
        <w:rPr>
          <w:rFonts w:ascii="Times New Roman" w:hAnsi="Times New Roman" w:cs="Times New Roman"/>
          <w:sz w:val="24"/>
          <w:szCs w:val="24"/>
        </w:rPr>
        <w:t xml:space="preserve">. Doutorado em Direito (Tese). </w:t>
      </w:r>
      <w:r w:rsidR="00F5345C">
        <w:rPr>
          <w:rFonts w:ascii="Times New Roman" w:hAnsi="Times New Roman" w:cs="Times New Roman"/>
          <w:sz w:val="24"/>
          <w:szCs w:val="24"/>
        </w:rPr>
        <w:t>Pontifícia</w:t>
      </w:r>
      <w:r>
        <w:rPr>
          <w:rFonts w:ascii="Times New Roman" w:hAnsi="Times New Roman" w:cs="Times New Roman"/>
          <w:sz w:val="24"/>
          <w:szCs w:val="24"/>
        </w:rPr>
        <w:t xml:space="preserve"> Universidade Católica de São Paulo, 2006. </w:t>
      </w:r>
    </w:p>
    <w:p w:rsidR="00C874D5" w:rsidRDefault="00C874D5" w:rsidP="0093463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 obra foi retirada a parte introdutória sobre ação cautelar. </w:t>
      </w:r>
    </w:p>
    <w:p w:rsidR="00851DB5" w:rsidRDefault="00851DB5" w:rsidP="0093463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851DB5" w:rsidRDefault="00851DB5" w:rsidP="00851DB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1DB5">
        <w:rPr>
          <w:rFonts w:ascii="Times New Roman" w:hAnsi="Times New Roman" w:cs="Times New Roman"/>
          <w:sz w:val="24"/>
          <w:szCs w:val="24"/>
        </w:rPr>
        <w:t xml:space="preserve">GONÇALVES, Marcus Vinicius Rios. </w:t>
      </w:r>
      <w:r w:rsidRPr="00851DB5">
        <w:rPr>
          <w:rStyle w:val="Forte"/>
          <w:rFonts w:ascii="Times New Roman" w:hAnsi="Times New Roman" w:cs="Times New Roman"/>
          <w:sz w:val="24"/>
          <w:szCs w:val="24"/>
        </w:rPr>
        <w:t>Direito processual civil esquematizado</w:t>
      </w:r>
      <w:r w:rsidRPr="00851DB5">
        <w:rPr>
          <w:rFonts w:ascii="Times New Roman" w:hAnsi="Times New Roman" w:cs="Times New Roman"/>
          <w:sz w:val="24"/>
          <w:szCs w:val="24"/>
        </w:rPr>
        <w:t>. 4. ed. São Paulo: Saraiva, 2014.</w:t>
      </w:r>
    </w:p>
    <w:p w:rsidR="00851DB5" w:rsidRDefault="00851DB5" w:rsidP="00851DB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Dessa obra foi retirada a definição relativa a característica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sumariedade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processo cautelar.</w:t>
      </w:r>
    </w:p>
    <w:p w:rsidR="00BD4C74" w:rsidRDefault="00BD4C74" w:rsidP="00851DB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45D1" w:rsidRDefault="00BD4C74" w:rsidP="0093463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8C7889">
        <w:rPr>
          <w:rFonts w:ascii="Times New Roman" w:hAnsi="Times New Roman" w:cs="Times New Roman"/>
          <w:sz w:val="24"/>
          <w:szCs w:val="24"/>
        </w:rPr>
        <w:t xml:space="preserve">NEVES, Daniel Amorim Assumpção. Manual de Direito Processual Civil. Salvador: </w:t>
      </w:r>
      <w:proofErr w:type="spellStart"/>
      <w:r w:rsidRPr="008C7889">
        <w:rPr>
          <w:rFonts w:ascii="Times New Roman" w:hAnsi="Times New Roman" w:cs="Times New Roman"/>
          <w:sz w:val="24"/>
          <w:szCs w:val="24"/>
        </w:rPr>
        <w:t>JusPodivm</w:t>
      </w:r>
      <w:proofErr w:type="spellEnd"/>
      <w:r w:rsidRPr="008C7889">
        <w:rPr>
          <w:rFonts w:ascii="Times New Roman" w:hAnsi="Times New Roman" w:cs="Times New Roman"/>
          <w:sz w:val="24"/>
          <w:szCs w:val="24"/>
        </w:rPr>
        <w:t>, 2016</w:t>
      </w:r>
      <w:r w:rsidR="00683186">
        <w:rPr>
          <w:rFonts w:ascii="Times New Roman" w:hAnsi="Times New Roman" w:cs="Times New Roman"/>
          <w:bCs/>
          <w:sz w:val="24"/>
          <w:szCs w:val="24"/>
        </w:rPr>
        <w:t>.</w:t>
      </w:r>
    </w:p>
    <w:p w:rsidR="00683186" w:rsidRDefault="00683186" w:rsidP="0093463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Essa obra trouxe esclarecimentos acerca da autonomia do processo cautelar.</w:t>
      </w:r>
    </w:p>
    <w:p w:rsidR="00683186" w:rsidRPr="00683186" w:rsidRDefault="00683186" w:rsidP="0093463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0F45D1" w:rsidRDefault="000F45D1" w:rsidP="0093463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50325">
        <w:rPr>
          <w:rFonts w:ascii="Times New Roman" w:hAnsi="Times New Roman" w:cs="Times New Roman"/>
          <w:sz w:val="24"/>
          <w:szCs w:val="24"/>
        </w:rPr>
        <w:t xml:space="preserve">THEODORO JÚNIOR, Humberto. </w:t>
      </w:r>
      <w:r w:rsidRPr="00A50325">
        <w:rPr>
          <w:rStyle w:val="Forte"/>
          <w:rFonts w:ascii="Times New Roman" w:hAnsi="Times New Roman" w:cs="Times New Roman"/>
          <w:sz w:val="24"/>
          <w:szCs w:val="24"/>
        </w:rPr>
        <w:t>Curso de direito processual civil</w:t>
      </w:r>
      <w:r w:rsidRPr="00A50325">
        <w:rPr>
          <w:rFonts w:ascii="Times New Roman" w:hAnsi="Times New Roman" w:cs="Times New Roman"/>
          <w:sz w:val="24"/>
          <w:szCs w:val="24"/>
        </w:rPr>
        <w:t xml:space="preserve">. 57. ed. Rio </w:t>
      </w:r>
      <w:r>
        <w:rPr>
          <w:rFonts w:ascii="Times New Roman" w:hAnsi="Times New Roman" w:cs="Times New Roman"/>
          <w:sz w:val="24"/>
          <w:szCs w:val="24"/>
        </w:rPr>
        <w:t>de Janeiro: Forense, 2016.</w:t>
      </w:r>
    </w:p>
    <w:p w:rsidR="00F5345C" w:rsidRDefault="00F5345C" w:rsidP="0093463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 obra foram retirados conceitos acerca da diferenciação da tutela cautelar na vigência dos códigos anterior e atual. </w:t>
      </w:r>
    </w:p>
    <w:p w:rsidR="008C7889" w:rsidRDefault="008C7889" w:rsidP="0093463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0F45D1" w:rsidRDefault="000F45D1" w:rsidP="00E61E2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F45D1" w:rsidRDefault="000F45D1" w:rsidP="00E61E2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F45D1" w:rsidRPr="003F5F79" w:rsidRDefault="000F45D1" w:rsidP="00E61E2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0F45D1" w:rsidRPr="003F5F79" w:rsidSect="00D242EA">
      <w:headerReference w:type="default" r:id="rId10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C79" w:rsidRDefault="00557C79" w:rsidP="00BF6ACD">
      <w:pPr>
        <w:spacing w:line="240" w:lineRule="auto"/>
      </w:pPr>
      <w:r>
        <w:separator/>
      </w:r>
    </w:p>
  </w:endnote>
  <w:endnote w:type="continuationSeparator" w:id="0">
    <w:p w:rsidR="00557C79" w:rsidRDefault="00557C79" w:rsidP="00BF6A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C79" w:rsidRDefault="00557C79" w:rsidP="00BF6ACD">
      <w:pPr>
        <w:spacing w:line="240" w:lineRule="auto"/>
      </w:pPr>
      <w:r>
        <w:separator/>
      </w:r>
    </w:p>
  </w:footnote>
  <w:footnote w:type="continuationSeparator" w:id="0">
    <w:p w:rsidR="00557C79" w:rsidRDefault="00557C79" w:rsidP="00BF6ACD">
      <w:pPr>
        <w:spacing w:line="240" w:lineRule="auto"/>
      </w:pPr>
      <w:r>
        <w:continuationSeparator/>
      </w:r>
    </w:p>
  </w:footnote>
  <w:footnote w:id="1">
    <w:p w:rsidR="00BF6ACD" w:rsidRPr="00D242EA" w:rsidRDefault="00BF6ACD">
      <w:pPr>
        <w:pStyle w:val="Textodenotaderodap"/>
        <w:rPr>
          <w:rFonts w:ascii="Times New Roman" w:hAnsi="Times New Roman" w:cs="Times New Roman"/>
        </w:rPr>
      </w:pPr>
      <w:r w:rsidRPr="00D242EA">
        <w:rPr>
          <w:rStyle w:val="Refdenotaderodap"/>
          <w:rFonts w:ascii="Times New Roman" w:hAnsi="Times New Roman" w:cs="Times New Roman"/>
        </w:rPr>
        <w:footnoteRef/>
      </w:r>
      <w:r w:rsidRPr="00D242EA">
        <w:rPr>
          <w:rFonts w:ascii="Times New Roman" w:hAnsi="Times New Roman" w:cs="Times New Roman"/>
        </w:rPr>
        <w:t xml:space="preserve"> </w:t>
      </w:r>
      <w:r w:rsidR="00D242EA">
        <w:rPr>
          <w:rFonts w:ascii="Times New Roman" w:hAnsi="Times New Roman" w:cs="Times New Roman"/>
        </w:rPr>
        <w:t>3</w:t>
      </w:r>
      <w:r w:rsidRPr="00D242EA">
        <w:rPr>
          <w:rFonts w:ascii="Times New Roman" w:hAnsi="Times New Roman" w:cs="Times New Roman"/>
        </w:rPr>
        <w:t xml:space="preserve">º </w:t>
      </w:r>
      <w:proofErr w:type="spellStart"/>
      <w:r w:rsidRPr="00D242EA">
        <w:rPr>
          <w:rFonts w:ascii="Times New Roman" w:hAnsi="Times New Roman" w:cs="Times New Roman"/>
        </w:rPr>
        <w:t>Check</w:t>
      </w:r>
      <w:proofErr w:type="spellEnd"/>
      <w:r w:rsidRPr="00D242EA">
        <w:rPr>
          <w:rFonts w:ascii="Times New Roman" w:hAnsi="Times New Roman" w:cs="Times New Roman"/>
        </w:rPr>
        <w:t xml:space="preserve"> do </w:t>
      </w:r>
      <w:r w:rsidRPr="00D242EA">
        <w:rPr>
          <w:rFonts w:ascii="Times New Roman" w:hAnsi="Times New Roman" w:cs="Times New Roman"/>
          <w:i/>
        </w:rPr>
        <w:t xml:space="preserve">Paper </w:t>
      </w:r>
      <w:r w:rsidRPr="00D242EA">
        <w:rPr>
          <w:rFonts w:ascii="Times New Roman" w:hAnsi="Times New Roman" w:cs="Times New Roman"/>
        </w:rPr>
        <w:t xml:space="preserve">institucional apresentado à Disciplina de </w:t>
      </w:r>
      <w:r w:rsidR="000F45D1" w:rsidRPr="00D242EA">
        <w:rPr>
          <w:rFonts w:ascii="Times New Roman" w:hAnsi="Times New Roman" w:cs="Times New Roman"/>
        </w:rPr>
        <w:t>Tutela Cautelar</w:t>
      </w:r>
      <w:r w:rsidRPr="00D242EA">
        <w:rPr>
          <w:rFonts w:ascii="Times New Roman" w:hAnsi="Times New Roman" w:cs="Times New Roman"/>
        </w:rPr>
        <w:t>, da Unidade de Ensino Superior Dom Bosco – UNDB.</w:t>
      </w:r>
    </w:p>
  </w:footnote>
  <w:footnote w:id="2">
    <w:p w:rsidR="002C46B6" w:rsidRPr="00D242EA" w:rsidRDefault="002C46B6">
      <w:pPr>
        <w:pStyle w:val="Textodenotaderodap"/>
        <w:rPr>
          <w:rFonts w:ascii="Times New Roman" w:hAnsi="Times New Roman" w:cs="Times New Roman"/>
        </w:rPr>
      </w:pPr>
      <w:r w:rsidRPr="00D242EA">
        <w:rPr>
          <w:rStyle w:val="Refdenotaderodap"/>
          <w:rFonts w:ascii="Times New Roman" w:hAnsi="Times New Roman" w:cs="Times New Roman"/>
        </w:rPr>
        <w:footnoteRef/>
      </w:r>
      <w:r w:rsidR="00D73F25" w:rsidRPr="00D242EA">
        <w:rPr>
          <w:rFonts w:ascii="Times New Roman" w:hAnsi="Times New Roman" w:cs="Times New Roman"/>
        </w:rPr>
        <w:t xml:space="preserve"> Alunos</w:t>
      </w:r>
      <w:r w:rsidRPr="00D242EA">
        <w:rPr>
          <w:rFonts w:ascii="Times New Roman" w:hAnsi="Times New Roman" w:cs="Times New Roman"/>
        </w:rPr>
        <w:t xml:space="preserve"> do </w:t>
      </w:r>
      <w:r w:rsidR="000F45D1" w:rsidRPr="00D242EA">
        <w:rPr>
          <w:rFonts w:ascii="Times New Roman" w:hAnsi="Times New Roman" w:cs="Times New Roman"/>
        </w:rPr>
        <w:t>7</w:t>
      </w:r>
      <w:r w:rsidRPr="00D242EA">
        <w:rPr>
          <w:rFonts w:ascii="Times New Roman" w:hAnsi="Times New Roman" w:cs="Times New Roman"/>
        </w:rPr>
        <w:t xml:space="preserve">º </w:t>
      </w:r>
      <w:r w:rsidR="000F45D1" w:rsidRPr="00D242EA">
        <w:rPr>
          <w:rFonts w:ascii="Times New Roman" w:hAnsi="Times New Roman" w:cs="Times New Roman"/>
        </w:rPr>
        <w:t>Período</w:t>
      </w:r>
      <w:r w:rsidRPr="00D242EA">
        <w:rPr>
          <w:rFonts w:ascii="Times New Roman" w:hAnsi="Times New Roman" w:cs="Times New Roman"/>
        </w:rPr>
        <w:t xml:space="preserve"> noturno do Curso de Direito, da Unidade de Ensino Superior Dom Bosco – UNDB.</w:t>
      </w:r>
    </w:p>
  </w:footnote>
  <w:footnote w:id="3">
    <w:p w:rsidR="00BF6ACD" w:rsidRDefault="00BF6ACD">
      <w:pPr>
        <w:pStyle w:val="Textodenotaderodap"/>
      </w:pPr>
      <w:r w:rsidRPr="00D242EA">
        <w:rPr>
          <w:rStyle w:val="Refdenotaderodap"/>
          <w:rFonts w:ascii="Times New Roman" w:hAnsi="Times New Roman" w:cs="Times New Roman"/>
        </w:rPr>
        <w:footnoteRef/>
      </w:r>
      <w:r w:rsidR="002C46B6" w:rsidRPr="00D242EA">
        <w:rPr>
          <w:rFonts w:ascii="Times New Roman" w:hAnsi="Times New Roman" w:cs="Times New Roman"/>
        </w:rPr>
        <w:t xml:space="preserve"> Professor, </w:t>
      </w:r>
      <w:r w:rsidR="000F45D1" w:rsidRPr="00D242EA">
        <w:rPr>
          <w:rFonts w:ascii="Times New Roman" w:hAnsi="Times New Roman" w:cs="Times New Roman"/>
        </w:rPr>
        <w:t>Especialista</w:t>
      </w:r>
      <w:r w:rsidR="002C46B6" w:rsidRPr="00D242EA">
        <w:rPr>
          <w:rFonts w:ascii="Times New Roman" w:hAnsi="Times New Roman" w:cs="Times New Roman"/>
        </w:rPr>
        <w:t>, Orientador</w:t>
      </w:r>
      <w:r w:rsidRPr="00D242EA">
        <w:rPr>
          <w:rFonts w:ascii="Times New Roman" w:hAnsi="Times New Roman" w:cs="Times New Roman"/>
        </w:rPr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7343788"/>
      <w:docPartObj>
        <w:docPartGallery w:val="Page Numbers (Top of Page)"/>
        <w:docPartUnique/>
      </w:docPartObj>
    </w:sdtPr>
    <w:sdtEndPr/>
    <w:sdtContent>
      <w:p w:rsidR="00D242EA" w:rsidRDefault="00D242EA">
        <w:pPr>
          <w:pStyle w:val="Cabealho"/>
          <w:jc w:val="right"/>
        </w:pPr>
        <w:r w:rsidRPr="00D242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242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242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F6541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D242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242EA" w:rsidRDefault="00D242E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05DF8"/>
    <w:multiLevelType w:val="hybridMultilevel"/>
    <w:tmpl w:val="FAA08FD8"/>
    <w:lvl w:ilvl="0" w:tplc="16529198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7890008"/>
    <w:multiLevelType w:val="hybridMultilevel"/>
    <w:tmpl w:val="C258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7145F"/>
    <w:multiLevelType w:val="hybridMultilevel"/>
    <w:tmpl w:val="CC6E2C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44D30"/>
    <w:multiLevelType w:val="hybridMultilevel"/>
    <w:tmpl w:val="DEC01748"/>
    <w:lvl w:ilvl="0" w:tplc="98600A0C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10B1365"/>
    <w:multiLevelType w:val="hybridMultilevel"/>
    <w:tmpl w:val="9BC2D1A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05F9B"/>
    <w:multiLevelType w:val="multilevel"/>
    <w:tmpl w:val="ED707C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2733CF"/>
    <w:multiLevelType w:val="hybridMultilevel"/>
    <w:tmpl w:val="FAA08FD8"/>
    <w:lvl w:ilvl="0" w:tplc="16529198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1086840"/>
    <w:multiLevelType w:val="hybridMultilevel"/>
    <w:tmpl w:val="FAA08FD8"/>
    <w:lvl w:ilvl="0" w:tplc="16529198">
      <w:start w:val="1"/>
      <w:numFmt w:val="decimal"/>
      <w:lvlText w:val="%1-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7F00339"/>
    <w:multiLevelType w:val="hybridMultilevel"/>
    <w:tmpl w:val="BFBAD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CC"/>
    <w:rsid w:val="000038B6"/>
    <w:rsid w:val="00005EDE"/>
    <w:rsid w:val="000073D9"/>
    <w:rsid w:val="00012EF0"/>
    <w:rsid w:val="000137B2"/>
    <w:rsid w:val="00013C87"/>
    <w:rsid w:val="00014273"/>
    <w:rsid w:val="00014FC5"/>
    <w:rsid w:val="00017FAF"/>
    <w:rsid w:val="00020E8E"/>
    <w:rsid w:val="000252E6"/>
    <w:rsid w:val="0004410D"/>
    <w:rsid w:val="00057715"/>
    <w:rsid w:val="0006658A"/>
    <w:rsid w:val="00066ED1"/>
    <w:rsid w:val="00067E7C"/>
    <w:rsid w:val="000730CD"/>
    <w:rsid w:val="000749E0"/>
    <w:rsid w:val="00091445"/>
    <w:rsid w:val="00094F69"/>
    <w:rsid w:val="00096BE9"/>
    <w:rsid w:val="000A3289"/>
    <w:rsid w:val="000B070D"/>
    <w:rsid w:val="000B4C27"/>
    <w:rsid w:val="000B64D2"/>
    <w:rsid w:val="000B65FF"/>
    <w:rsid w:val="000D7AF5"/>
    <w:rsid w:val="000E16BF"/>
    <w:rsid w:val="000E3DF0"/>
    <w:rsid w:val="000E6C86"/>
    <w:rsid w:val="000F1859"/>
    <w:rsid w:val="000F322F"/>
    <w:rsid w:val="000F45D1"/>
    <w:rsid w:val="00100E28"/>
    <w:rsid w:val="00104020"/>
    <w:rsid w:val="00105B85"/>
    <w:rsid w:val="00111400"/>
    <w:rsid w:val="00114679"/>
    <w:rsid w:val="00120BED"/>
    <w:rsid w:val="00120C4A"/>
    <w:rsid w:val="001268AF"/>
    <w:rsid w:val="00127DE3"/>
    <w:rsid w:val="0013237C"/>
    <w:rsid w:val="00140380"/>
    <w:rsid w:val="00141916"/>
    <w:rsid w:val="001419BD"/>
    <w:rsid w:val="00146887"/>
    <w:rsid w:val="00146E41"/>
    <w:rsid w:val="0016437D"/>
    <w:rsid w:val="00172318"/>
    <w:rsid w:val="00174A95"/>
    <w:rsid w:val="001759C9"/>
    <w:rsid w:val="0018248E"/>
    <w:rsid w:val="001830C9"/>
    <w:rsid w:val="00191241"/>
    <w:rsid w:val="00196015"/>
    <w:rsid w:val="001A0700"/>
    <w:rsid w:val="001A7576"/>
    <w:rsid w:val="001A767C"/>
    <w:rsid w:val="001C66DD"/>
    <w:rsid w:val="001D262F"/>
    <w:rsid w:val="001D58AD"/>
    <w:rsid w:val="001E1256"/>
    <w:rsid w:val="001E260A"/>
    <w:rsid w:val="001E27B3"/>
    <w:rsid w:val="001F068C"/>
    <w:rsid w:val="001F482F"/>
    <w:rsid w:val="00207CBE"/>
    <w:rsid w:val="002162B1"/>
    <w:rsid w:val="002210A9"/>
    <w:rsid w:val="00224567"/>
    <w:rsid w:val="00224A5A"/>
    <w:rsid w:val="002270F7"/>
    <w:rsid w:val="002318B0"/>
    <w:rsid w:val="0023418C"/>
    <w:rsid w:val="00241939"/>
    <w:rsid w:val="00244F07"/>
    <w:rsid w:val="00256C5F"/>
    <w:rsid w:val="002574FB"/>
    <w:rsid w:val="00266E8A"/>
    <w:rsid w:val="00271961"/>
    <w:rsid w:val="00272AEB"/>
    <w:rsid w:val="0028042D"/>
    <w:rsid w:val="00290FA2"/>
    <w:rsid w:val="00295D1F"/>
    <w:rsid w:val="002A00F3"/>
    <w:rsid w:val="002A0F8D"/>
    <w:rsid w:val="002A63F3"/>
    <w:rsid w:val="002A734A"/>
    <w:rsid w:val="002B1BB5"/>
    <w:rsid w:val="002B2F5D"/>
    <w:rsid w:val="002C46B6"/>
    <w:rsid w:val="002C5C78"/>
    <w:rsid w:val="002C6D5F"/>
    <w:rsid w:val="002E028C"/>
    <w:rsid w:val="002E51CF"/>
    <w:rsid w:val="002E7057"/>
    <w:rsid w:val="002F1507"/>
    <w:rsid w:val="002F17BE"/>
    <w:rsid w:val="002F30CD"/>
    <w:rsid w:val="00300602"/>
    <w:rsid w:val="003030A1"/>
    <w:rsid w:val="00306302"/>
    <w:rsid w:val="00307636"/>
    <w:rsid w:val="00307ADC"/>
    <w:rsid w:val="00320225"/>
    <w:rsid w:val="0033221A"/>
    <w:rsid w:val="003430C5"/>
    <w:rsid w:val="00346EE7"/>
    <w:rsid w:val="00352B5C"/>
    <w:rsid w:val="003560EA"/>
    <w:rsid w:val="00360460"/>
    <w:rsid w:val="00366073"/>
    <w:rsid w:val="00375385"/>
    <w:rsid w:val="003756D9"/>
    <w:rsid w:val="0037762D"/>
    <w:rsid w:val="00382B6A"/>
    <w:rsid w:val="00394451"/>
    <w:rsid w:val="003A0519"/>
    <w:rsid w:val="003A0B81"/>
    <w:rsid w:val="003A1526"/>
    <w:rsid w:val="003A22F3"/>
    <w:rsid w:val="003A2B8F"/>
    <w:rsid w:val="003A50F2"/>
    <w:rsid w:val="003B02E3"/>
    <w:rsid w:val="003B1FF0"/>
    <w:rsid w:val="003B4D32"/>
    <w:rsid w:val="003B770C"/>
    <w:rsid w:val="003D3743"/>
    <w:rsid w:val="003D6067"/>
    <w:rsid w:val="003E062C"/>
    <w:rsid w:val="003E3E29"/>
    <w:rsid w:val="003E587D"/>
    <w:rsid w:val="003E5976"/>
    <w:rsid w:val="003E7257"/>
    <w:rsid w:val="003F475B"/>
    <w:rsid w:val="003F5F79"/>
    <w:rsid w:val="00400CE7"/>
    <w:rsid w:val="00402A3C"/>
    <w:rsid w:val="00406F95"/>
    <w:rsid w:val="00414021"/>
    <w:rsid w:val="004219C4"/>
    <w:rsid w:val="004337DC"/>
    <w:rsid w:val="00433DDB"/>
    <w:rsid w:val="0043528E"/>
    <w:rsid w:val="0044087E"/>
    <w:rsid w:val="0044152D"/>
    <w:rsid w:val="00445F36"/>
    <w:rsid w:val="00454E30"/>
    <w:rsid w:val="00457213"/>
    <w:rsid w:val="00467A30"/>
    <w:rsid w:val="0047575B"/>
    <w:rsid w:val="004821FE"/>
    <w:rsid w:val="004863EC"/>
    <w:rsid w:val="004924F4"/>
    <w:rsid w:val="00492776"/>
    <w:rsid w:val="004963EA"/>
    <w:rsid w:val="004A7107"/>
    <w:rsid w:val="004B03B8"/>
    <w:rsid w:val="004B4A9A"/>
    <w:rsid w:val="004D21DA"/>
    <w:rsid w:val="004D296A"/>
    <w:rsid w:val="004D2CD0"/>
    <w:rsid w:val="004D361D"/>
    <w:rsid w:val="004D73BB"/>
    <w:rsid w:val="004F4CC4"/>
    <w:rsid w:val="00500610"/>
    <w:rsid w:val="00511859"/>
    <w:rsid w:val="005136A1"/>
    <w:rsid w:val="00531A8A"/>
    <w:rsid w:val="0053682E"/>
    <w:rsid w:val="00556BAC"/>
    <w:rsid w:val="00557976"/>
    <w:rsid w:val="00557C79"/>
    <w:rsid w:val="00572E0F"/>
    <w:rsid w:val="00576574"/>
    <w:rsid w:val="00586D63"/>
    <w:rsid w:val="005871B2"/>
    <w:rsid w:val="005B43C6"/>
    <w:rsid w:val="005B6024"/>
    <w:rsid w:val="005C2FAE"/>
    <w:rsid w:val="005C3F1F"/>
    <w:rsid w:val="005C4634"/>
    <w:rsid w:val="005C4712"/>
    <w:rsid w:val="005D5729"/>
    <w:rsid w:val="005D75F8"/>
    <w:rsid w:val="005E2821"/>
    <w:rsid w:val="005E4D58"/>
    <w:rsid w:val="005F1107"/>
    <w:rsid w:val="005F1173"/>
    <w:rsid w:val="005F1E24"/>
    <w:rsid w:val="005F6BA9"/>
    <w:rsid w:val="00606BCF"/>
    <w:rsid w:val="00610DEC"/>
    <w:rsid w:val="00613366"/>
    <w:rsid w:val="0061457C"/>
    <w:rsid w:val="00616B22"/>
    <w:rsid w:val="0061747F"/>
    <w:rsid w:val="00623310"/>
    <w:rsid w:val="0062342E"/>
    <w:rsid w:val="0062624D"/>
    <w:rsid w:val="0062684D"/>
    <w:rsid w:val="006325FF"/>
    <w:rsid w:val="00642239"/>
    <w:rsid w:val="0065691E"/>
    <w:rsid w:val="006628DB"/>
    <w:rsid w:val="00672A1E"/>
    <w:rsid w:val="00683186"/>
    <w:rsid w:val="006855E7"/>
    <w:rsid w:val="00685B97"/>
    <w:rsid w:val="0069721D"/>
    <w:rsid w:val="00697BED"/>
    <w:rsid w:val="006A4CAA"/>
    <w:rsid w:val="006B175A"/>
    <w:rsid w:val="006D457F"/>
    <w:rsid w:val="006E24E3"/>
    <w:rsid w:val="006E2A10"/>
    <w:rsid w:val="006E4458"/>
    <w:rsid w:val="006E7AB4"/>
    <w:rsid w:val="006F2D2C"/>
    <w:rsid w:val="007131EA"/>
    <w:rsid w:val="0071440A"/>
    <w:rsid w:val="007165C8"/>
    <w:rsid w:val="007177C8"/>
    <w:rsid w:val="00717C89"/>
    <w:rsid w:val="0072387D"/>
    <w:rsid w:val="0073039C"/>
    <w:rsid w:val="007340D8"/>
    <w:rsid w:val="0074319F"/>
    <w:rsid w:val="00743BCD"/>
    <w:rsid w:val="00747460"/>
    <w:rsid w:val="00747D7F"/>
    <w:rsid w:val="00751B56"/>
    <w:rsid w:val="00765371"/>
    <w:rsid w:val="00770F47"/>
    <w:rsid w:val="00771AA3"/>
    <w:rsid w:val="0077453E"/>
    <w:rsid w:val="00781041"/>
    <w:rsid w:val="00782424"/>
    <w:rsid w:val="00783E9F"/>
    <w:rsid w:val="007879E4"/>
    <w:rsid w:val="00791B12"/>
    <w:rsid w:val="00793625"/>
    <w:rsid w:val="007958BC"/>
    <w:rsid w:val="007A3C1D"/>
    <w:rsid w:val="007B1C48"/>
    <w:rsid w:val="007B4C13"/>
    <w:rsid w:val="007D01CC"/>
    <w:rsid w:val="007D3A46"/>
    <w:rsid w:val="007D3D9A"/>
    <w:rsid w:val="007D4585"/>
    <w:rsid w:val="007E270B"/>
    <w:rsid w:val="007E2A15"/>
    <w:rsid w:val="007E51EF"/>
    <w:rsid w:val="007F49BD"/>
    <w:rsid w:val="007F5D64"/>
    <w:rsid w:val="00811FE9"/>
    <w:rsid w:val="008126AB"/>
    <w:rsid w:val="008177B6"/>
    <w:rsid w:val="0082047F"/>
    <w:rsid w:val="008271EF"/>
    <w:rsid w:val="008403F0"/>
    <w:rsid w:val="008442FD"/>
    <w:rsid w:val="00845433"/>
    <w:rsid w:val="00847558"/>
    <w:rsid w:val="00850105"/>
    <w:rsid w:val="00851DB5"/>
    <w:rsid w:val="00860C49"/>
    <w:rsid w:val="008621EB"/>
    <w:rsid w:val="00862277"/>
    <w:rsid w:val="00872A39"/>
    <w:rsid w:val="008747BB"/>
    <w:rsid w:val="008772AD"/>
    <w:rsid w:val="00881DA6"/>
    <w:rsid w:val="0088253C"/>
    <w:rsid w:val="00882EBC"/>
    <w:rsid w:val="00883088"/>
    <w:rsid w:val="00883D6C"/>
    <w:rsid w:val="00887303"/>
    <w:rsid w:val="00890295"/>
    <w:rsid w:val="008906BD"/>
    <w:rsid w:val="00896DB4"/>
    <w:rsid w:val="008A08AC"/>
    <w:rsid w:val="008A0C8C"/>
    <w:rsid w:val="008A6BB5"/>
    <w:rsid w:val="008B2C20"/>
    <w:rsid w:val="008B470C"/>
    <w:rsid w:val="008C6B2A"/>
    <w:rsid w:val="008C7889"/>
    <w:rsid w:val="008D1868"/>
    <w:rsid w:val="008D5192"/>
    <w:rsid w:val="008D6B3C"/>
    <w:rsid w:val="008E6C66"/>
    <w:rsid w:val="009152EC"/>
    <w:rsid w:val="00915325"/>
    <w:rsid w:val="00915B26"/>
    <w:rsid w:val="009263F1"/>
    <w:rsid w:val="0093287F"/>
    <w:rsid w:val="0093454B"/>
    <w:rsid w:val="0093463F"/>
    <w:rsid w:val="009366FC"/>
    <w:rsid w:val="00944651"/>
    <w:rsid w:val="0096616B"/>
    <w:rsid w:val="00967D69"/>
    <w:rsid w:val="00970D54"/>
    <w:rsid w:val="009768F9"/>
    <w:rsid w:val="009776E1"/>
    <w:rsid w:val="009814D0"/>
    <w:rsid w:val="0098413E"/>
    <w:rsid w:val="00987E65"/>
    <w:rsid w:val="009915DC"/>
    <w:rsid w:val="00993D0B"/>
    <w:rsid w:val="009A12A0"/>
    <w:rsid w:val="009A45AC"/>
    <w:rsid w:val="009B10AB"/>
    <w:rsid w:val="009B4A79"/>
    <w:rsid w:val="009D2562"/>
    <w:rsid w:val="009D7887"/>
    <w:rsid w:val="009E140B"/>
    <w:rsid w:val="009E6B3B"/>
    <w:rsid w:val="009F0B63"/>
    <w:rsid w:val="009F4F53"/>
    <w:rsid w:val="00A03F87"/>
    <w:rsid w:val="00A054EC"/>
    <w:rsid w:val="00A10F85"/>
    <w:rsid w:val="00A1473E"/>
    <w:rsid w:val="00A15E60"/>
    <w:rsid w:val="00A2221B"/>
    <w:rsid w:val="00A24323"/>
    <w:rsid w:val="00A248EA"/>
    <w:rsid w:val="00A3001E"/>
    <w:rsid w:val="00A30C04"/>
    <w:rsid w:val="00A34698"/>
    <w:rsid w:val="00A40EE3"/>
    <w:rsid w:val="00A4271B"/>
    <w:rsid w:val="00A44F01"/>
    <w:rsid w:val="00A528DD"/>
    <w:rsid w:val="00A53F26"/>
    <w:rsid w:val="00A6338E"/>
    <w:rsid w:val="00A72E04"/>
    <w:rsid w:val="00A76B42"/>
    <w:rsid w:val="00A9009E"/>
    <w:rsid w:val="00A91AE0"/>
    <w:rsid w:val="00A92DAF"/>
    <w:rsid w:val="00A93F5C"/>
    <w:rsid w:val="00A97315"/>
    <w:rsid w:val="00AB0D43"/>
    <w:rsid w:val="00AB0E9F"/>
    <w:rsid w:val="00AC0D54"/>
    <w:rsid w:val="00AC1E5A"/>
    <w:rsid w:val="00AC39EB"/>
    <w:rsid w:val="00AC5C78"/>
    <w:rsid w:val="00AC5FB9"/>
    <w:rsid w:val="00AC6319"/>
    <w:rsid w:val="00AD44BC"/>
    <w:rsid w:val="00AD48C6"/>
    <w:rsid w:val="00AD6A68"/>
    <w:rsid w:val="00AE0A79"/>
    <w:rsid w:val="00AE0FA5"/>
    <w:rsid w:val="00AE1674"/>
    <w:rsid w:val="00AE6964"/>
    <w:rsid w:val="00AF03D1"/>
    <w:rsid w:val="00B10884"/>
    <w:rsid w:val="00B1113A"/>
    <w:rsid w:val="00B127A1"/>
    <w:rsid w:val="00B14562"/>
    <w:rsid w:val="00B23CD5"/>
    <w:rsid w:val="00B2643D"/>
    <w:rsid w:val="00B305ED"/>
    <w:rsid w:val="00B30D06"/>
    <w:rsid w:val="00B344FB"/>
    <w:rsid w:val="00B34AFC"/>
    <w:rsid w:val="00B34C94"/>
    <w:rsid w:val="00B35599"/>
    <w:rsid w:val="00B45233"/>
    <w:rsid w:val="00B4603D"/>
    <w:rsid w:val="00B5678F"/>
    <w:rsid w:val="00B63DD4"/>
    <w:rsid w:val="00B67B26"/>
    <w:rsid w:val="00B67D4E"/>
    <w:rsid w:val="00B70BC9"/>
    <w:rsid w:val="00B771DE"/>
    <w:rsid w:val="00B77739"/>
    <w:rsid w:val="00B85D7A"/>
    <w:rsid w:val="00B86C6A"/>
    <w:rsid w:val="00B91083"/>
    <w:rsid w:val="00BA1428"/>
    <w:rsid w:val="00BA1E15"/>
    <w:rsid w:val="00BA511B"/>
    <w:rsid w:val="00BB0450"/>
    <w:rsid w:val="00BB227B"/>
    <w:rsid w:val="00BC2AB1"/>
    <w:rsid w:val="00BC3084"/>
    <w:rsid w:val="00BC6733"/>
    <w:rsid w:val="00BD4C74"/>
    <w:rsid w:val="00BD63CB"/>
    <w:rsid w:val="00BE4C47"/>
    <w:rsid w:val="00BE554E"/>
    <w:rsid w:val="00BE5BD9"/>
    <w:rsid w:val="00BF0E09"/>
    <w:rsid w:val="00BF0F6C"/>
    <w:rsid w:val="00BF6ACD"/>
    <w:rsid w:val="00C001A1"/>
    <w:rsid w:val="00C059F8"/>
    <w:rsid w:val="00C12C01"/>
    <w:rsid w:val="00C15ACE"/>
    <w:rsid w:val="00C216C2"/>
    <w:rsid w:val="00C33E26"/>
    <w:rsid w:val="00C348E1"/>
    <w:rsid w:val="00C37F5D"/>
    <w:rsid w:val="00C41754"/>
    <w:rsid w:val="00C41A8F"/>
    <w:rsid w:val="00C46016"/>
    <w:rsid w:val="00C5310E"/>
    <w:rsid w:val="00C63CED"/>
    <w:rsid w:val="00C64CE2"/>
    <w:rsid w:val="00C66832"/>
    <w:rsid w:val="00C66B16"/>
    <w:rsid w:val="00C67CBF"/>
    <w:rsid w:val="00C71E14"/>
    <w:rsid w:val="00C74709"/>
    <w:rsid w:val="00C76E15"/>
    <w:rsid w:val="00C86607"/>
    <w:rsid w:val="00C874D5"/>
    <w:rsid w:val="00C9032A"/>
    <w:rsid w:val="00CA1777"/>
    <w:rsid w:val="00CA5763"/>
    <w:rsid w:val="00CA736E"/>
    <w:rsid w:val="00CB364F"/>
    <w:rsid w:val="00CC6FD3"/>
    <w:rsid w:val="00CD0694"/>
    <w:rsid w:val="00CD163F"/>
    <w:rsid w:val="00CD19FB"/>
    <w:rsid w:val="00CF51E3"/>
    <w:rsid w:val="00CF6541"/>
    <w:rsid w:val="00CF6D90"/>
    <w:rsid w:val="00D012B8"/>
    <w:rsid w:val="00D0568E"/>
    <w:rsid w:val="00D06118"/>
    <w:rsid w:val="00D06A70"/>
    <w:rsid w:val="00D06B55"/>
    <w:rsid w:val="00D07F3C"/>
    <w:rsid w:val="00D12D36"/>
    <w:rsid w:val="00D1420E"/>
    <w:rsid w:val="00D14ACE"/>
    <w:rsid w:val="00D15C45"/>
    <w:rsid w:val="00D162CC"/>
    <w:rsid w:val="00D2142A"/>
    <w:rsid w:val="00D242EA"/>
    <w:rsid w:val="00D32500"/>
    <w:rsid w:val="00D462C7"/>
    <w:rsid w:val="00D55F2A"/>
    <w:rsid w:val="00D64967"/>
    <w:rsid w:val="00D65091"/>
    <w:rsid w:val="00D67A89"/>
    <w:rsid w:val="00D67F8B"/>
    <w:rsid w:val="00D73340"/>
    <w:rsid w:val="00D73F25"/>
    <w:rsid w:val="00D8097D"/>
    <w:rsid w:val="00D8440A"/>
    <w:rsid w:val="00D861C8"/>
    <w:rsid w:val="00DA6339"/>
    <w:rsid w:val="00DC2ECD"/>
    <w:rsid w:val="00DC30AF"/>
    <w:rsid w:val="00DC707D"/>
    <w:rsid w:val="00DD4412"/>
    <w:rsid w:val="00DE610F"/>
    <w:rsid w:val="00DF4086"/>
    <w:rsid w:val="00E00FD3"/>
    <w:rsid w:val="00E0122F"/>
    <w:rsid w:val="00E0435F"/>
    <w:rsid w:val="00E1309D"/>
    <w:rsid w:val="00E14C46"/>
    <w:rsid w:val="00E17D76"/>
    <w:rsid w:val="00E17D81"/>
    <w:rsid w:val="00E25004"/>
    <w:rsid w:val="00E30D8E"/>
    <w:rsid w:val="00E4672E"/>
    <w:rsid w:val="00E5113D"/>
    <w:rsid w:val="00E538B0"/>
    <w:rsid w:val="00E61E2B"/>
    <w:rsid w:val="00E64020"/>
    <w:rsid w:val="00E645B6"/>
    <w:rsid w:val="00E67104"/>
    <w:rsid w:val="00E67ED5"/>
    <w:rsid w:val="00E717DC"/>
    <w:rsid w:val="00E736B4"/>
    <w:rsid w:val="00E77CAC"/>
    <w:rsid w:val="00E8046B"/>
    <w:rsid w:val="00E84534"/>
    <w:rsid w:val="00E86BA3"/>
    <w:rsid w:val="00E86CF1"/>
    <w:rsid w:val="00E90EE9"/>
    <w:rsid w:val="00E94315"/>
    <w:rsid w:val="00EA76AB"/>
    <w:rsid w:val="00EB0CD8"/>
    <w:rsid w:val="00EB42C3"/>
    <w:rsid w:val="00EC428C"/>
    <w:rsid w:val="00ED2097"/>
    <w:rsid w:val="00ED6FCD"/>
    <w:rsid w:val="00ED7BCF"/>
    <w:rsid w:val="00EE69A2"/>
    <w:rsid w:val="00EE702F"/>
    <w:rsid w:val="00EF0594"/>
    <w:rsid w:val="00EF1BFB"/>
    <w:rsid w:val="00EF6DA3"/>
    <w:rsid w:val="00EF6FF4"/>
    <w:rsid w:val="00F06A22"/>
    <w:rsid w:val="00F07769"/>
    <w:rsid w:val="00F10398"/>
    <w:rsid w:val="00F132E0"/>
    <w:rsid w:val="00F25251"/>
    <w:rsid w:val="00F32C11"/>
    <w:rsid w:val="00F4298F"/>
    <w:rsid w:val="00F46873"/>
    <w:rsid w:val="00F470F7"/>
    <w:rsid w:val="00F47654"/>
    <w:rsid w:val="00F5345C"/>
    <w:rsid w:val="00F56895"/>
    <w:rsid w:val="00F60C42"/>
    <w:rsid w:val="00F60EF0"/>
    <w:rsid w:val="00F64AA0"/>
    <w:rsid w:val="00F763D2"/>
    <w:rsid w:val="00F76DBB"/>
    <w:rsid w:val="00F93DFE"/>
    <w:rsid w:val="00F94E21"/>
    <w:rsid w:val="00F9649C"/>
    <w:rsid w:val="00FA69C1"/>
    <w:rsid w:val="00FA6E5B"/>
    <w:rsid w:val="00FA7A7A"/>
    <w:rsid w:val="00FB3270"/>
    <w:rsid w:val="00FB3DA4"/>
    <w:rsid w:val="00FB793C"/>
    <w:rsid w:val="00FC47C1"/>
    <w:rsid w:val="00FC573A"/>
    <w:rsid w:val="00FC7139"/>
    <w:rsid w:val="00FC7A5A"/>
    <w:rsid w:val="00FD362A"/>
    <w:rsid w:val="00FD7104"/>
    <w:rsid w:val="00FE28AB"/>
    <w:rsid w:val="00FE366D"/>
    <w:rsid w:val="00FE5FA4"/>
    <w:rsid w:val="00FF13EC"/>
    <w:rsid w:val="00F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F59B49-D1DE-469D-8B6A-4C5DADEC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F6C"/>
  </w:style>
  <w:style w:type="paragraph" w:styleId="Ttulo2">
    <w:name w:val="heading 2"/>
    <w:basedOn w:val="Normal"/>
    <w:link w:val="Ttulo2Char"/>
    <w:uiPriority w:val="9"/>
    <w:qFormat/>
    <w:rsid w:val="00402A3C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01CC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FE366D"/>
  </w:style>
  <w:style w:type="character" w:styleId="Hyperlink">
    <w:name w:val="Hyperlink"/>
    <w:basedOn w:val="Fontepargpadro"/>
    <w:uiPriority w:val="99"/>
    <w:unhideWhenUsed/>
    <w:rsid w:val="00FE36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EF059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68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688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688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9649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6AC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6AC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F6ACD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402A3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242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42EA"/>
  </w:style>
  <w:style w:type="paragraph" w:styleId="Rodap">
    <w:name w:val="footer"/>
    <w:basedOn w:val="Normal"/>
    <w:link w:val="RodapChar"/>
    <w:uiPriority w:val="99"/>
    <w:unhideWhenUsed/>
    <w:rsid w:val="00D242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4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10.444-2002?OpenDocu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gislacao.planalto.gov.br/legisla/legislacao.nsf/Viw_Identificacao/lei%2011.232-2005?OpenDocumen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CE0A4-9D26-480B-9F3C-1F18F1D4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8</Pages>
  <Words>2895</Words>
  <Characters>15633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Kássio Andriny</cp:lastModifiedBy>
  <cp:revision>7</cp:revision>
  <dcterms:created xsi:type="dcterms:W3CDTF">2018-10-29T04:13:00Z</dcterms:created>
  <dcterms:modified xsi:type="dcterms:W3CDTF">2018-10-29T17:26:00Z</dcterms:modified>
</cp:coreProperties>
</file>