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F3" w:rsidRDefault="004629F3" w:rsidP="004629F3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528C8" w:rsidRDefault="00437D77" w:rsidP="00A71FE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TEMA: </w:t>
      </w:r>
      <w:r w:rsid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="004629F3"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espesas públicas e o novo regime fiscal: impactos sobre a proteção dos direitos sociais</w:t>
      </w:r>
      <w:r w:rsid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4629F3" w:rsidRP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656C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DISCENTES: </w:t>
      </w:r>
      <w:r w:rsidR="004656C3"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Carla Bianca</w:t>
      </w:r>
      <w:r w:rsidR="00A71F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Araujo de Almeida</w:t>
      </w:r>
    </w:p>
    <w:p w:rsid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 DELIMITAÇÃO DO TEMA</w:t>
      </w:r>
    </w:p>
    <w:p w:rsid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C3B9E" w:rsidRDefault="00437D77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Impac</w:t>
      </w:r>
      <w:r w:rsidR="004656C3"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tos da EC 95/16 sobre os investimentos Federais </w:t>
      </w: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educação. </w:t>
      </w:r>
    </w:p>
    <w:p w:rsidR="004629F3" w:rsidRPr="004629F3" w:rsidRDefault="004629F3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37D77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 </w:t>
      </w:r>
      <w:r w:rsidR="00437D77"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CONSTRUÇÃO DO PROBLEMA</w:t>
      </w:r>
    </w:p>
    <w:p w:rsidR="004629F3" w:rsidRP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64CFE" w:rsidRPr="004629F3" w:rsidRDefault="00564A92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população brasileira atual gira em torno de 207 milhões de brasileiros, constituicionalmente dotados de direitos e deveres, dentre os quais, o dever de contribuir financeiramente com o Estado, para que este desenvolva as suas atividades fundamentais de garantias básicas à dignidade da vida da população.</w:t>
      </w:r>
    </w:p>
    <w:p w:rsidR="00564A92" w:rsidRPr="004629F3" w:rsidRDefault="00564A92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atividade Estatal está pautada essencialmente em garantir as necessidades públicas coletivas em suas diversas áreas de abrangencia, atraés da prestação dos serviços públicos. A máquina estatal, portanto, arrecada para manter-se, ou seja, garantir seu funcionamento diário, bem como para manter serviços básicos à sociedade, prefixados na constituição federal do país, e de teor obrigatório.</w:t>
      </w:r>
    </w:p>
    <w:p w:rsidR="00564A92" w:rsidRPr="004629F3" w:rsidRDefault="00564A92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Entretando, de acordo com insformações divulgadas pelo Governo, as contas públicas não têm sido desenvolvidas com equilíbrio, e o endividamento do Estado Brasileiro tem alargado, tendo em vista os empréstimos realizados. Acontece que as despesas públicas têm crescido mais do que a receita dos últimos anos, gerando uma grave crise fisc</w:t>
      </w:r>
      <w:r w:rsidR="00606C0D"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 no país.</w:t>
      </w:r>
    </w:p>
    <w:p w:rsidR="00606C0D" w:rsidRPr="004629F3" w:rsidRDefault="00606C0D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Mediante esta situação, a solução encontrada pelo Poder Executivo Federal fora a proposta de uma Emenda Constitucional pautada no congelamento dos gastos em geral, pondo limite às despesas públicas, sob possibilidade de penalizar os que a ela não atenderem. Segundo os propositores da EC</w:t>
      </w:r>
      <w:r w:rsidR="00E22A99"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95/2016</w:t>
      </w: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 congelamento das despesas públicas possibilitará, com o crescimento da economia, o pagamento da dívida pública brasileira.</w:t>
      </w:r>
    </w:p>
    <w:p w:rsidR="00606C0D" w:rsidRPr="004629F3" w:rsidRDefault="00606C0D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problematização encontra-se no fato de que, entre as despesas públicas da União (ente afetado pelo congelamento dos gastos) encontram-se as destinadas a dar </w:t>
      </w:r>
      <w:r w:rsidRPr="00462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efetividade aos </w:t>
      </w:r>
      <w:r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direitos </w:t>
      </w:r>
      <w:r w:rsidR="00E22A99"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>sociais</w:t>
      </w:r>
      <w:r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garantidos pela Constituição Federal,</w:t>
      </w:r>
      <w:r w:rsidR="00E22A99"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dentre estes, o direito ao acesso à educação de qualidade, visando fins essenciais de desenvolvimento da pessoa, seu preparo para o exercício da cidadania e sua qualificação para o trabalho.</w:t>
      </w:r>
      <w:r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E22A99" w:rsidRPr="004629F3" w:rsidRDefault="00E22A99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sz w:val="24"/>
          <w:szCs w:val="24"/>
          <w:shd w:val="clear" w:color="auto" w:fill="FFFFFF"/>
        </w:rPr>
        <w:t>Levando em conta o Novo Regime Fiscal de limitação dos gastos públicos pelos próximos 20 anos, e a latente dívida social com a parcela da população mais necessitada de assistência pública, quais serão os impactos da EC 95/16 sobre os investimentos em educação por parte da União, e seus reflexos na formação educacional futura?</w:t>
      </w:r>
    </w:p>
    <w:p w:rsidR="00CC3B9E" w:rsidRPr="004629F3" w:rsidRDefault="00CC3B9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C0D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</w:t>
      </w:r>
      <w:r w:rsidR="002E7BA6" w:rsidRPr="004629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</w:t>
      </w:r>
    </w:p>
    <w:p w:rsidR="004629F3" w:rsidRP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E7BA6" w:rsidRPr="004629F3" w:rsidRDefault="002E7BA6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A presente pesquisa é de todo relevante por contribuir com a reflexão acerca</w:t>
      </w:r>
      <w:r w:rsidR="00CC3B9E"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saída encontrada pelo Governo Federal na tentativa de equilibrar as contas públicas, alertando para as mudanças promulgadas no que tange o investimento das receitas arrecadadas, seus parâmetros mínimos e máximos de destinação ao serviço público.</w:t>
      </w:r>
    </w:p>
    <w:p w:rsidR="00CC3B9E" w:rsidRPr="004629F3" w:rsidRDefault="00CC3B9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tema é de indubitável importancia por ter direta aplicação da vida de todos os cidadãos viventes na sociedade brasieira, especialmente por estar relacionado ao tema da educação pública e os investimentos destinadas à esta, o que tem imunsurável reflexo na formação do futuro cidadão brasileiro, no desenvolvimento humano e da base social do Brasil dos próximos anos. </w:t>
      </w:r>
    </w:p>
    <w:p w:rsidR="00CC3B9E" w:rsidRPr="004629F3" w:rsidRDefault="00CC3B9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Através das informações prestadas no desenvolver desta pesquisa poder-se-á desenvolver pensamento crítico e analítico acerca da condução do país pelos próximos anos, no referente a atuação E</w:t>
      </w:r>
      <w:r w:rsidR="004656C3"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statal em seu viés essencial que é promover o interesse social, e prestar garantia de acesso à dignidade à população, com primazia dos mais necessitados.</w:t>
      </w:r>
    </w:p>
    <w:p w:rsid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6C3" w:rsidRP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</w:t>
      </w:r>
      <w:r w:rsidR="004656C3" w:rsidRPr="00462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OBJETIVOS</w:t>
      </w:r>
    </w:p>
    <w:p w:rsid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4.1 GERAL </w:t>
      </w:r>
    </w:p>
    <w:p w:rsidR="004656C3" w:rsidRDefault="004656C3" w:rsidP="004629F3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Analisar a EC. 95/16 e seus impactos no investimento Federal em educação.</w:t>
      </w:r>
    </w:p>
    <w:p w:rsidR="004629F3" w:rsidRPr="004629F3" w:rsidRDefault="004629F3" w:rsidP="004629F3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6C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4.2 ESPECÍFICOS </w:t>
      </w:r>
    </w:p>
    <w:p w:rsidR="004629F3" w:rsidRPr="004629F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5DA1" w:rsidRPr="004629F3" w:rsidRDefault="004656C3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Contextualizar o surgimento da EC 95/2016 e seus objetivos principais;</w:t>
      </w:r>
    </w:p>
    <w:p w:rsidR="004629F3" w:rsidRDefault="004656C3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Desenvolver acerca das mudanças estabelecidas pela Emenda Constitucional, frisando </w:t>
      </w:r>
      <w:r w:rsidR="00890631"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a aplicação de receitas no ensino brasileiro;</w:t>
      </w:r>
    </w:p>
    <w:p w:rsidR="004656C3" w:rsidRPr="004629F3" w:rsidRDefault="00890631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9F3">
        <w:rPr>
          <w:rFonts w:ascii="Times New Roman" w:hAnsi="Times New Roman" w:cs="Times New Roman"/>
          <w:color w:val="000000" w:themeColor="text1"/>
          <w:sz w:val="24"/>
          <w:szCs w:val="24"/>
        </w:rPr>
        <w:t>Refletir sobre os impactos sociais do congelamento de despesas públicas na educação pública;</w:t>
      </w:r>
    </w:p>
    <w:p w:rsid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56C3" w:rsidRP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</w:t>
      </w:r>
      <w:r w:rsidRPr="00462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4656C3" w:rsidRPr="004629F3">
        <w:rPr>
          <w:rFonts w:ascii="Times New Roman" w:hAnsi="Times New Roman" w:cs="Times New Roman"/>
          <w:b/>
          <w:sz w:val="24"/>
          <w:szCs w:val="24"/>
        </w:rPr>
        <w:t>EFERENCIAL TEÓRICO</w:t>
      </w:r>
    </w:p>
    <w:p w:rsidR="004629F3" w:rsidRPr="004629F3" w:rsidRDefault="004629F3" w:rsidP="004629F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29F3" w:rsidRPr="00C15A53" w:rsidRDefault="004629F3" w:rsidP="004629F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5A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5.1 </w:t>
      </w:r>
      <w:r w:rsidR="00A83A92" w:rsidRPr="00C15A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Emenda Constitucional 95/2016, uma visão geral do Novo Regime Fiscal</w:t>
      </w:r>
    </w:p>
    <w:p w:rsidR="00C15A53" w:rsidRPr="004629F3" w:rsidRDefault="00C15A53" w:rsidP="004629F3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5419CC" w:rsidRPr="004629F3" w:rsidRDefault="005419CC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A </w:t>
      </w:r>
      <w:r w:rsidR="00192FE4" w:rsidRPr="004629F3">
        <w:rPr>
          <w:rFonts w:ascii="Times New Roman" w:hAnsi="Times New Roman" w:cs="Times New Roman"/>
          <w:sz w:val="24"/>
          <w:szCs w:val="24"/>
        </w:rPr>
        <w:t>primitiva</w:t>
      </w:r>
      <w:r w:rsidRPr="004629F3">
        <w:rPr>
          <w:rFonts w:ascii="Times New Roman" w:hAnsi="Times New Roman" w:cs="Times New Roman"/>
          <w:sz w:val="24"/>
          <w:szCs w:val="24"/>
        </w:rPr>
        <w:t xml:space="preserve"> Proposta de Emenda a Constituição nº 241 (PEC 241), fora enviada ao Congresso Nacional no dia 6 de junho de 2016 por propositura do Presidente interino da República, Michel Temer, vindo a ser promulgada pelas Mesas do Congresso em 15 de dezembro de 2016, tornando-se a atual Emenda Constitucional 95 de 2016. A EC altera o Ato das Disposições Constitucionais Transitórias</w:t>
      </w:r>
      <w:r w:rsidR="003975B8" w:rsidRPr="004629F3">
        <w:rPr>
          <w:rFonts w:ascii="Times New Roman" w:hAnsi="Times New Roman" w:cs="Times New Roman"/>
          <w:sz w:val="24"/>
          <w:szCs w:val="24"/>
        </w:rPr>
        <w:t xml:space="preserve"> (ADCT)</w:t>
      </w:r>
      <w:r w:rsidRPr="004629F3">
        <w:rPr>
          <w:rFonts w:ascii="Times New Roman" w:hAnsi="Times New Roman" w:cs="Times New Roman"/>
          <w:sz w:val="24"/>
          <w:szCs w:val="24"/>
        </w:rPr>
        <w:t xml:space="preserve">, acrescentando os artigos 106 ao 114, nos quais concentra </w:t>
      </w:r>
      <w:r w:rsidR="003975B8" w:rsidRPr="004629F3">
        <w:rPr>
          <w:rFonts w:ascii="Times New Roman" w:hAnsi="Times New Roman" w:cs="Times New Roman"/>
          <w:sz w:val="24"/>
          <w:szCs w:val="24"/>
        </w:rPr>
        <w:t xml:space="preserve">todo </w:t>
      </w:r>
      <w:r w:rsidRPr="004629F3">
        <w:rPr>
          <w:rFonts w:ascii="Times New Roman" w:hAnsi="Times New Roman" w:cs="Times New Roman"/>
          <w:sz w:val="24"/>
          <w:szCs w:val="24"/>
        </w:rPr>
        <w:t xml:space="preserve">o seu conjunto normativo. </w:t>
      </w:r>
    </w:p>
    <w:p w:rsidR="00192FE4" w:rsidRPr="004629F3" w:rsidRDefault="00192FE4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>A EC 95/16 surge em meio a uma grave crise fiscal, e pelos próximos 20 exercícios financeiros do país</w:t>
      </w:r>
      <w:r w:rsidR="006F7239" w:rsidRPr="004629F3">
        <w:rPr>
          <w:rFonts w:ascii="Times New Roman" w:hAnsi="Times New Roman" w:cs="Times New Roman"/>
          <w:sz w:val="24"/>
          <w:szCs w:val="24"/>
        </w:rPr>
        <w:t>, ou seja, pelos próximos 20 anos</w:t>
      </w:r>
      <w:r w:rsidRPr="004629F3">
        <w:rPr>
          <w:rFonts w:ascii="Times New Roman" w:hAnsi="Times New Roman" w:cs="Times New Roman"/>
          <w:sz w:val="24"/>
          <w:szCs w:val="24"/>
        </w:rPr>
        <w:t>, limita os gastos públicos primários da União. Esta limitação está disposta no bojo de seus artigos, os quais determinam, de maneira geral e simplória, que o teto para os gastos no exercício financeiro</w:t>
      </w:r>
      <w:r w:rsidR="003975B8" w:rsidRPr="004629F3">
        <w:rPr>
          <w:rFonts w:ascii="Times New Roman" w:hAnsi="Times New Roman" w:cs="Times New Roman"/>
          <w:sz w:val="24"/>
          <w:szCs w:val="24"/>
        </w:rPr>
        <w:t xml:space="preserve"> corrente</w:t>
      </w:r>
      <w:r w:rsidRPr="004629F3">
        <w:rPr>
          <w:rFonts w:ascii="Times New Roman" w:hAnsi="Times New Roman" w:cs="Times New Roman"/>
          <w:sz w:val="24"/>
          <w:szCs w:val="24"/>
        </w:rPr>
        <w:t xml:space="preserve"> será </w:t>
      </w:r>
      <w:r w:rsidR="004259AC" w:rsidRPr="004629F3">
        <w:rPr>
          <w:rFonts w:ascii="Times New Roman" w:hAnsi="Times New Roman" w:cs="Times New Roman"/>
          <w:sz w:val="24"/>
          <w:szCs w:val="24"/>
        </w:rPr>
        <w:t>igual ao</w:t>
      </w:r>
      <w:r w:rsidRPr="004629F3">
        <w:rPr>
          <w:rFonts w:ascii="Times New Roman" w:hAnsi="Times New Roman" w:cs="Times New Roman"/>
          <w:sz w:val="24"/>
          <w:szCs w:val="24"/>
        </w:rPr>
        <w:t xml:space="preserve"> valor gasto no exercício anterior, corrigido pela inflação</w:t>
      </w:r>
      <w:r w:rsidR="003975B8" w:rsidRPr="004629F3">
        <w:rPr>
          <w:rFonts w:ascii="Times New Roman" w:hAnsi="Times New Roman" w:cs="Times New Roman"/>
          <w:sz w:val="24"/>
          <w:szCs w:val="24"/>
        </w:rPr>
        <w:t xml:space="preserve"> (Art. </w:t>
      </w:r>
      <w:proofErr w:type="gramStart"/>
      <w:r w:rsidR="003975B8" w:rsidRPr="004629F3">
        <w:rPr>
          <w:rFonts w:ascii="Times New Roman" w:hAnsi="Times New Roman" w:cs="Times New Roman"/>
          <w:sz w:val="24"/>
          <w:szCs w:val="24"/>
        </w:rPr>
        <w:t>107,§</w:t>
      </w:r>
      <w:proofErr w:type="gramEnd"/>
      <w:r w:rsidR="003975B8" w:rsidRPr="004629F3">
        <w:rPr>
          <w:rFonts w:ascii="Times New Roman" w:hAnsi="Times New Roman" w:cs="Times New Roman"/>
          <w:sz w:val="24"/>
          <w:szCs w:val="24"/>
        </w:rPr>
        <w:t>1º, ADCT)</w:t>
      </w:r>
      <w:r w:rsidRPr="004629F3">
        <w:rPr>
          <w:rFonts w:ascii="Times New Roman" w:hAnsi="Times New Roman" w:cs="Times New Roman"/>
          <w:sz w:val="24"/>
          <w:szCs w:val="24"/>
        </w:rPr>
        <w:t>.</w:t>
      </w:r>
    </w:p>
    <w:p w:rsidR="0017004C" w:rsidRPr="004629F3" w:rsidRDefault="0017004C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>A justificativa para esta austera medida é o fato de que nos últimos anos os gastos primários foram maiores que as respectivas receitas, gerando déficit orçamentário, o que despertou o sentimento de uma necessária vinculação do crescimento das despesas à inflação</w:t>
      </w:r>
      <w:r w:rsidR="004259AC" w:rsidRPr="004629F3">
        <w:rPr>
          <w:rFonts w:ascii="Times New Roman" w:hAnsi="Times New Roman" w:cs="Times New Roman"/>
          <w:sz w:val="24"/>
          <w:szCs w:val="24"/>
        </w:rPr>
        <w:t xml:space="preserve"> como saída para extinguir a crise</w:t>
      </w:r>
      <w:r w:rsidRPr="004629F3">
        <w:rPr>
          <w:rFonts w:ascii="Times New Roman" w:hAnsi="Times New Roman" w:cs="Times New Roman"/>
          <w:sz w:val="24"/>
          <w:szCs w:val="24"/>
        </w:rPr>
        <w:t>. Desta maneira, limitando os gastos, espera-se que com o crescimento da economia, e da arrecadação de receitas, gastos não mais vinculados ao PIB, mas apenas à variação da inflação</w:t>
      </w:r>
      <w:r w:rsidR="002D237E" w:rsidRPr="004629F3">
        <w:rPr>
          <w:rFonts w:ascii="Times New Roman" w:hAnsi="Times New Roman" w:cs="Times New Roman"/>
          <w:sz w:val="24"/>
          <w:szCs w:val="24"/>
        </w:rPr>
        <w:t>,</w:t>
      </w:r>
      <w:r w:rsidRPr="004629F3">
        <w:rPr>
          <w:rFonts w:ascii="Times New Roman" w:hAnsi="Times New Roman" w:cs="Times New Roman"/>
          <w:sz w:val="24"/>
          <w:szCs w:val="24"/>
        </w:rPr>
        <w:t xml:space="preserve"> </w:t>
      </w:r>
      <w:r w:rsidR="002D237E" w:rsidRPr="004629F3">
        <w:rPr>
          <w:rFonts w:ascii="Times New Roman" w:hAnsi="Times New Roman" w:cs="Times New Roman"/>
          <w:sz w:val="24"/>
          <w:szCs w:val="24"/>
        </w:rPr>
        <w:t xml:space="preserve">gere um superávit capaz de pagar parcela da dívida pública, bem como que, em momentos de recessão, a política fiscal seja utilizada como estímulo para a economia. </w:t>
      </w:r>
    </w:p>
    <w:p w:rsidR="00C10393" w:rsidRPr="00C15A53" w:rsidRDefault="006F7239" w:rsidP="00C15A5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O alcance no Novo Regime vincula todos os Poderes e órgãos, conforme dispõe o artigo 107 do ADCT, alcançando as despesas primárias destes, ou seja, os gastos com </w:t>
      </w:r>
      <w:r w:rsidR="00C10393" w:rsidRPr="004629F3">
        <w:rPr>
          <w:rFonts w:ascii="Times New Roman" w:hAnsi="Times New Roman" w:cs="Times New Roman"/>
          <w:sz w:val="24"/>
          <w:szCs w:val="24"/>
        </w:rPr>
        <w:t xml:space="preserve">a oferta dos serviços públicos à </w:t>
      </w:r>
      <w:r w:rsidRPr="004629F3">
        <w:rPr>
          <w:rFonts w:ascii="Times New Roman" w:hAnsi="Times New Roman" w:cs="Times New Roman"/>
          <w:sz w:val="24"/>
          <w:szCs w:val="24"/>
        </w:rPr>
        <w:t>sociedade, como o pagamento de pessoal, investimentos</w:t>
      </w:r>
      <w:r w:rsidR="00C10393" w:rsidRPr="004629F3">
        <w:rPr>
          <w:rFonts w:ascii="Times New Roman" w:hAnsi="Times New Roman" w:cs="Times New Roman"/>
          <w:sz w:val="24"/>
          <w:szCs w:val="24"/>
        </w:rPr>
        <w:t xml:space="preserve"> e manutenção da máquina. Dispõe o parágrafo 10 do artigo 107 do ADCT: </w:t>
      </w:r>
      <w:r w:rsidR="00C15A53">
        <w:rPr>
          <w:rFonts w:ascii="Times New Roman" w:hAnsi="Times New Roman" w:cs="Times New Roman"/>
          <w:sz w:val="24"/>
          <w:szCs w:val="24"/>
        </w:rPr>
        <w:t>“</w:t>
      </w:r>
      <w:r w:rsidR="00C10393" w:rsidRPr="004629F3">
        <w:rPr>
          <w:rFonts w:ascii="Times New Roman" w:hAnsi="Times New Roman" w:cs="Times New Roman"/>
          <w:color w:val="000000"/>
          <w:sz w:val="24"/>
          <w:szCs w:val="24"/>
        </w:rPr>
        <w:t xml:space="preserve">§ 10. Para fins de verificação do cumprimento dos limites de que trata este artigo, serão </w:t>
      </w:r>
      <w:r w:rsidR="00C10393" w:rsidRPr="004629F3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consideradas as despesas primárias pagas, incluídos os restos a pagar pagos e demais operações que afetam o resultado primário no exercício</w:t>
      </w:r>
      <w:r w:rsidR="00C15A53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10393" w:rsidRPr="004629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393" w:rsidRPr="004629F3" w:rsidRDefault="00C10393" w:rsidP="004629F3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9F3">
        <w:rPr>
          <w:rFonts w:ascii="Times New Roman" w:hAnsi="Times New Roman" w:cs="Times New Roman"/>
          <w:color w:val="000000"/>
          <w:sz w:val="24"/>
          <w:szCs w:val="24"/>
        </w:rPr>
        <w:t xml:space="preserve">Quanto às exceções do novo regime, o §6º do artigo 107 do ADCT dispõe: </w:t>
      </w:r>
    </w:p>
    <w:p w:rsidR="00C15A53" w:rsidRDefault="00C15A5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10393" w:rsidRPr="00C15A53" w:rsidRDefault="00C1039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§ 6º Não se incluem na base de cálculo e nos limites estabelecidos neste artigo:</w:t>
      </w:r>
    </w:p>
    <w:p w:rsidR="00C10393" w:rsidRPr="00C15A53" w:rsidRDefault="00C1039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I - transferências constitucionais estabelecidas no § 1º do art. 20, no inciso III do parágrafo único do art. 146, no § 5º do art. 153, no art. 157, nos incisos I e II do art. 158, no art. 159 e no § 6º do art. 212, as despesas referentes ao inciso XIV do </w:t>
      </w:r>
      <w:r w:rsidRPr="00C15A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caput </w:t>
      </w: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do art. 21, todos da Constituição Federal, e as complementações de que tratam os incisos V e VII do </w:t>
      </w:r>
      <w:r w:rsidRPr="00C15A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caput </w:t>
      </w: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do art. 60, deste Ato das Disposições Constitucionais Transitórias;</w:t>
      </w:r>
    </w:p>
    <w:p w:rsidR="00C10393" w:rsidRPr="00C15A53" w:rsidRDefault="00C1039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II - </w:t>
      </w:r>
      <w:proofErr w:type="gramStart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créditos</w:t>
      </w:r>
      <w:proofErr w:type="gramEnd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extraordinários a que se refere o § 3º do art. 167 da Constituição Federal;</w:t>
      </w:r>
    </w:p>
    <w:p w:rsidR="00C10393" w:rsidRPr="00C15A53" w:rsidRDefault="00C1039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III - despesas não recorrentes da Justiça Eleitoral com a realização de eleições; e</w:t>
      </w:r>
    </w:p>
    <w:p w:rsidR="00C10393" w:rsidRDefault="00C1039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 - </w:t>
      </w:r>
      <w:proofErr w:type="gramStart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despesas</w:t>
      </w:r>
      <w:proofErr w:type="gramEnd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aumento de capital de empresas estatais não dependentes.</w:t>
      </w:r>
    </w:p>
    <w:p w:rsidR="00C15A53" w:rsidRPr="00C15A53" w:rsidRDefault="00C15A5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10393" w:rsidRPr="004629F3" w:rsidRDefault="00C10393" w:rsidP="004629F3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No que tange a exclusão das transferências constitucionais estabelecidas, nas quais são valores repassados aos demais entes federativos não afetados pela EC 95, Leite (2017, p.381) expressivamente manifesta-se no sentido: </w:t>
      </w:r>
    </w:p>
    <w:p w:rsidR="00C15A53" w:rsidRDefault="00C15A53" w:rsidP="00C15A5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259AC" w:rsidRDefault="00C10393" w:rsidP="00C15A5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15A53">
        <w:rPr>
          <w:rFonts w:ascii="Times New Roman" w:hAnsi="Times New Roman" w:cs="Times New Roman"/>
          <w:sz w:val="20"/>
          <w:szCs w:val="20"/>
        </w:rPr>
        <w:t>“Andou bem o legislador, dada a grave crise financeira que se instalaria com a diminuição dos repasses para os demais entes federativos das receitas repartidas por ordem constitucional. Permitir a repartição das receitas tributárias de acordo com a variação da inflação e não de acordo com seu efetivo ingresso significaria retenção em favor da União de receita constitucionalmente destinada aos Estados, Distrito Federal e Municípios.</w:t>
      </w:r>
      <w:r w:rsidR="005D31CA" w:rsidRPr="00C15A53">
        <w:rPr>
          <w:rFonts w:ascii="Times New Roman" w:hAnsi="Times New Roman" w:cs="Times New Roman"/>
          <w:sz w:val="20"/>
          <w:szCs w:val="20"/>
        </w:rPr>
        <w:t xml:space="preserve"> Por outro lado, restaria por afetar os gastos dos Estados, Distrito Federal e Municípios na saúde e educação, atrelados que são às receitas arrecadadas e transferidas.”</w:t>
      </w:r>
    </w:p>
    <w:p w:rsidR="00C15A53" w:rsidRPr="00C15A53" w:rsidRDefault="00C15A53" w:rsidP="00C15A5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419CC" w:rsidRDefault="00AA5098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>Em suma, com</w:t>
      </w:r>
      <w:r w:rsidR="004259AC" w:rsidRPr="004629F3">
        <w:rPr>
          <w:rFonts w:ascii="Times New Roman" w:hAnsi="Times New Roman" w:cs="Times New Roman"/>
          <w:sz w:val="24"/>
          <w:szCs w:val="24"/>
        </w:rPr>
        <w:t xml:space="preserve"> vistas ao contingenciamento das despesas, a Emenda Constitucional retira</w:t>
      </w:r>
      <w:r w:rsidR="005419CC" w:rsidRPr="004629F3">
        <w:rPr>
          <w:rFonts w:ascii="Times New Roman" w:hAnsi="Times New Roman" w:cs="Times New Roman"/>
          <w:sz w:val="24"/>
          <w:szCs w:val="24"/>
        </w:rPr>
        <w:t xml:space="preserve"> as decisões em torno do orçamento e despesas públicas do âmbito do poder legislativo, repr</w:t>
      </w:r>
      <w:r w:rsidR="004259AC" w:rsidRPr="004629F3">
        <w:rPr>
          <w:rFonts w:ascii="Times New Roman" w:hAnsi="Times New Roman" w:cs="Times New Roman"/>
          <w:sz w:val="24"/>
          <w:szCs w:val="24"/>
        </w:rPr>
        <w:t xml:space="preserve">esentantes legais dos cidadãos brasileiros, conforme o artigo 166 da Constituição Federal, </w:t>
      </w:r>
      <w:r w:rsidRPr="004629F3">
        <w:rPr>
          <w:rFonts w:ascii="Times New Roman" w:hAnsi="Times New Roman" w:cs="Times New Roman"/>
          <w:sz w:val="24"/>
          <w:szCs w:val="24"/>
        </w:rPr>
        <w:t>fixando diversas mudanças válidas para os próximos anos.</w:t>
      </w:r>
    </w:p>
    <w:p w:rsidR="00C15A53" w:rsidRPr="004629F3" w:rsidRDefault="00C15A53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8081B" w:rsidRPr="00C15A53" w:rsidRDefault="00C15A53" w:rsidP="00C15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53"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58081B" w:rsidRPr="00C15A53">
        <w:rPr>
          <w:rFonts w:ascii="Times New Roman" w:hAnsi="Times New Roman" w:cs="Times New Roman"/>
          <w:b/>
          <w:sz w:val="24"/>
          <w:szCs w:val="24"/>
        </w:rPr>
        <w:t>Principais regras estabelecidas pela EC. 95/16 sobre as despesas públicas</w:t>
      </w:r>
    </w:p>
    <w:p w:rsidR="0058081B" w:rsidRPr="004629F3" w:rsidRDefault="0058081B" w:rsidP="004629F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0A37" w:rsidRPr="00C15A53" w:rsidRDefault="003C3D8D" w:rsidP="00C15A5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As regras estabelecidas pela Emenda Constitucional estão previstas </w:t>
      </w:r>
      <w:r w:rsidR="00C803AA" w:rsidRPr="004629F3">
        <w:rPr>
          <w:rFonts w:ascii="Times New Roman" w:hAnsi="Times New Roman" w:cs="Times New Roman"/>
          <w:sz w:val="24"/>
          <w:szCs w:val="24"/>
        </w:rPr>
        <w:t xml:space="preserve">no bojo dos artigos acrescentados à ADCT, </w:t>
      </w:r>
      <w:r w:rsidR="005E0A37" w:rsidRPr="004629F3">
        <w:rPr>
          <w:rFonts w:ascii="Times New Roman" w:hAnsi="Times New Roman" w:cs="Times New Roman"/>
          <w:sz w:val="24"/>
          <w:szCs w:val="24"/>
        </w:rPr>
        <w:t xml:space="preserve">inicialmente, as despesas públicas realizadas não mais estarão atreladas às necessidades públicas apresentadas, mas estarão vinculadas ao montante gasto no exercício financeiro do ano anterior, corrigido pela inflação. Ou seja, o crescimento será apenas nominal. Dispõe o artigo 107, §1º do ADCT: </w:t>
      </w:r>
    </w:p>
    <w:p w:rsidR="00C15A53" w:rsidRDefault="00C15A5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0A37" w:rsidRPr="00C15A53" w:rsidRDefault="005E0A37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§ 1º Cada um dos limites a que se refere o </w:t>
      </w:r>
      <w:r w:rsidRPr="00C15A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caput </w:t>
      </w: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deste artigo equivalerá:</w:t>
      </w:r>
    </w:p>
    <w:p w:rsidR="005E0A37" w:rsidRPr="00C15A53" w:rsidRDefault="005E0A37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I - </w:t>
      </w:r>
      <w:proofErr w:type="gramStart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para</w:t>
      </w:r>
      <w:proofErr w:type="gramEnd"/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exercício de 2017, à despesa primária paga no exercício de 2016, incluídos os restos a pagar pagos e demais operações que afetam o resultado primário, corrigida em 7,2% (sete inteiros e dois décimos por cento); e</w:t>
      </w:r>
    </w:p>
    <w:p w:rsidR="005E0A37" w:rsidRDefault="005E0A37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5A53">
        <w:rPr>
          <w:rFonts w:ascii="Times New Roman" w:eastAsia="Times New Roman" w:hAnsi="Times New Roman" w:cs="Times New Roman"/>
          <w:color w:val="000000"/>
          <w:sz w:val="20"/>
          <w:szCs w:val="20"/>
        </w:rPr>
        <w:t>II - para os exercícios posteriores, ao valor do limite referente ao exercício imediatamente anterior, corrigido pela variação do Índice Nacional de Preços ao Consumidor Amplo - IPCA, publicado pelo Instituto Brasileiro de Geografia e Estatística, ou de outro índice que vier a substituí-lo, para o período de doze meses encerrado em junho do exercício anterior a que se refere a lei orçamentária.</w:t>
      </w:r>
    </w:p>
    <w:p w:rsidR="00C15A53" w:rsidRPr="00C15A53" w:rsidRDefault="00C15A53" w:rsidP="00C15A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0A37" w:rsidRPr="004629F3" w:rsidRDefault="005E0A37" w:rsidP="00C15A5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>Escreve Leite (2017, p. 380)</w:t>
      </w:r>
      <w:r w:rsidR="00C15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>“A aceitação desse indexador foi repleta de dificuldades, mormente em relação à saúde e à educação, por acaba por romper com a regra constitucional que vincula o a União aos gastos nessas áreas em percentuais atrelados à receita e não à despesa do exercício anterior.”</w:t>
      </w:r>
    </w:p>
    <w:p w:rsidR="009C6840" w:rsidRPr="004629F3" w:rsidRDefault="005E0A37" w:rsidP="004629F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interessante colocação, Couri e </w:t>
      </w:r>
      <w:proofErr w:type="spellStart"/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>Bijos</w:t>
      </w:r>
      <w:proofErr w:type="spellEnd"/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(2017, p.13) observam que seguindo o novo regramento, quando houver o crescimento do PIB, a despesa primária da União restará em uma proporção reduzida deste</w:t>
      </w:r>
      <w:r w:rsidR="009C6840"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longo do tempo</w:t>
      </w:r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C6840"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>remetendo-nos a sucinta e precisa observação de Leite (2017, p. 382), que diz que o Estado não tem fim lucrativo, e que deve sim, despender mais do que arrecada quando for de necessidade social.</w:t>
      </w:r>
    </w:p>
    <w:p w:rsidR="005E0A37" w:rsidRPr="004629F3" w:rsidRDefault="009C6840" w:rsidP="004629F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Seguindo às mudanças relevantes, por fim, a Emenda dispõe no artigo 110, que as aplicações mínimas nas ações de serviço público voltados à saúde e manutenção do ensino serão dos valores do exercício anterior, corrigidos também pela inflação. Destacando-se pela fixação, neste caso, não de um teto, mas de uma base de gastos, fixando o mínimo, diferentemente de todos os demais dispositivos acrescidos. </w:t>
      </w:r>
    </w:p>
    <w:p w:rsidR="00E60FEE" w:rsidRPr="004629F3" w:rsidRDefault="00E60FEE" w:rsidP="004629F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081B" w:rsidRPr="00C15A53" w:rsidRDefault="00C15A53" w:rsidP="00C15A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A53"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E60FEE" w:rsidRPr="00C15A53">
        <w:rPr>
          <w:rFonts w:ascii="Times New Roman" w:hAnsi="Times New Roman" w:cs="Times New Roman"/>
          <w:b/>
          <w:sz w:val="24"/>
          <w:szCs w:val="24"/>
        </w:rPr>
        <w:t>Impactos do congelamento de despesas públicas primárias da União no financiamento da educação pública</w:t>
      </w:r>
    </w:p>
    <w:p w:rsidR="00E60FEE" w:rsidRPr="004629F3" w:rsidRDefault="00E60FEE" w:rsidP="004629F3">
      <w:pPr>
        <w:pStyle w:val="PargrafodaLista"/>
        <w:spacing w:after="0" w:line="360" w:lineRule="auto"/>
        <w:ind w:left="0" w:firstLine="1134"/>
        <w:rPr>
          <w:rFonts w:ascii="Times New Roman" w:hAnsi="Times New Roman" w:cs="Times New Roman"/>
          <w:b/>
          <w:sz w:val="24"/>
          <w:szCs w:val="24"/>
        </w:rPr>
      </w:pPr>
    </w:p>
    <w:p w:rsidR="00E60FEE" w:rsidRPr="004629F3" w:rsidRDefault="00E60FE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>Focalizando o estudo nos reflexos sobre Educação básica obrigatória, de fornecimento do Estado, dispõe o artigo 208, §1º da Constituição Federal que</w:t>
      </w:r>
      <w:r w:rsidRPr="00C15A53">
        <w:rPr>
          <w:rFonts w:ascii="Times New Roman" w:hAnsi="Times New Roman" w:cs="Times New Roman"/>
          <w:sz w:val="24"/>
          <w:szCs w:val="24"/>
        </w:rPr>
        <w:t xml:space="preserve"> “o acesso ao ensino obrigatório e gratuito é direito público subjetivo”, e</w:t>
      </w:r>
      <w:r w:rsidRPr="004629F3">
        <w:rPr>
          <w:rFonts w:ascii="Times New Roman" w:hAnsi="Times New Roman" w:cs="Times New Roman"/>
          <w:sz w:val="24"/>
          <w:szCs w:val="24"/>
        </w:rPr>
        <w:t xml:space="preserve"> é dever do Estado, bem como da família, a sua promoção cercada pela busca da universalização do atendimento escolar e da garantia de padrão de qualidade. Tendo em vista tais objetivos e deveres do Estado, viabilizados por meio da receita anual deste ente, é necessário considerar que o congelamento dos gastos públicos federais por 20 anos atinge diretamente a viabilização qualificada desta prestação educacional. </w:t>
      </w:r>
    </w:p>
    <w:p w:rsidR="00E60FEE" w:rsidRPr="004629F3" w:rsidRDefault="00E60FE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A Constituição brasileira, com ímpeto garantista, fixa no dispositivo 212, </w:t>
      </w:r>
      <w:r w:rsidRPr="004629F3">
        <w:rPr>
          <w:rFonts w:ascii="Times New Roman" w:hAnsi="Times New Roman" w:cs="Times New Roman"/>
          <w:i/>
          <w:sz w:val="24"/>
          <w:szCs w:val="24"/>
        </w:rPr>
        <w:t xml:space="preserve">caput, </w:t>
      </w:r>
      <w:r w:rsidRPr="004629F3">
        <w:rPr>
          <w:rFonts w:ascii="Times New Roman" w:hAnsi="Times New Roman" w:cs="Times New Roman"/>
          <w:sz w:val="24"/>
          <w:szCs w:val="24"/>
        </w:rPr>
        <w:t xml:space="preserve">que a União deve aplicar anualmente não menos que 18% (dezoito) da receita na </w:t>
      </w:r>
      <w:r w:rsidRPr="004629F3">
        <w:rPr>
          <w:rFonts w:ascii="Times New Roman" w:hAnsi="Times New Roman" w:cs="Times New Roman"/>
          <w:sz w:val="24"/>
          <w:szCs w:val="24"/>
        </w:rPr>
        <w:lastRenderedPageBreak/>
        <w:t>área da educação, o que vinha sendo acompanhado nos últimos anos somado à expansão dos investimentos do Estado na área, refletindo em abrangência ao acesso ao ensino e demais avanços. Entretanto, a Educação nacional está bem distante da razoabilidade, permanecendo uma das piores no ranking internacional, sendo reconhecida pelo sucateamento dos bens, evasão, índices ínfimos de desenvolvimento dos alunos e desvalorização dos profissionais atuantes na área, devendo haver a manutenção da expansão de investimentos em longo prazo para aos poucos chegar-se próximo aos níveis de países desenvolvidos e apresentar de fatos grandes melhorias no sistema.</w:t>
      </w:r>
    </w:p>
    <w:p w:rsidR="00E60FEE" w:rsidRPr="004629F3" w:rsidRDefault="00E60FE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A EC 95/16 parece caminhar em sentido contrário a estes avanços e metas sociais de educação, mesmo que não levante a bandeira do corte de gastos, ou apresente expressa limitação às despesas destinadas ao desenvolvimento do ensino, o artigo 110 da Emenda fixa, em seus dois incisos, que as aplicações mínimas a serem realizadas na área da educação não mais terão por base porcentagem sobre a arrecadação de receitas, mas sim o valor mínimo aplicado no exercício anterior corrigido pela variação do índice Nacional de Preços ao Consumidor Amplo – IPCA, de maneira simples, a inflação. </w:t>
      </w:r>
    </w:p>
    <w:p w:rsidR="00E60FEE" w:rsidRPr="004629F3" w:rsidRDefault="00E60FEE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No contexto no qual a Emenda de caráter transitório fora promulgada, bem como pelo seu caráter finalístico mitigador de gastos, é inteiramente razoável que o Governo tenda a manter seu dispêndio com educação no mínimo ou próximo a este nível, o que atrai a atenção ao fato de que com o crescimento da demanda, relacionado ao crescimento populacional, o gasto dispendido </w:t>
      </w:r>
      <w:r w:rsidRPr="004629F3">
        <w:rPr>
          <w:rFonts w:ascii="Times New Roman" w:hAnsi="Times New Roman" w:cs="Times New Roman"/>
          <w:i/>
          <w:sz w:val="24"/>
          <w:szCs w:val="24"/>
        </w:rPr>
        <w:t xml:space="preserve">per capita </w:t>
      </w:r>
      <w:r w:rsidRPr="004629F3">
        <w:rPr>
          <w:rFonts w:ascii="Times New Roman" w:hAnsi="Times New Roman" w:cs="Times New Roman"/>
          <w:sz w:val="24"/>
          <w:szCs w:val="24"/>
        </w:rPr>
        <w:t xml:space="preserve">seja menor do que o já insatisfatório atual, e que, mesmo com uma possível reestabelecida da economia nacional e o aumento das receitas, o limite mínimo de aplicação dos recursos na área educacional permanecerá imóvel e absolutamente inferior se comparado com a manutenção da regra anterior, estabelecida no caput do artigo 212 da Constituição. </w:t>
      </w:r>
    </w:p>
    <w:p w:rsidR="00E60FEE" w:rsidRPr="004629F3" w:rsidRDefault="00E60FEE" w:rsidP="004629F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9F3">
        <w:rPr>
          <w:rFonts w:ascii="Times New Roman" w:hAnsi="Times New Roman" w:cs="Times New Roman"/>
          <w:sz w:val="24"/>
          <w:szCs w:val="24"/>
        </w:rPr>
        <w:t xml:space="preserve">Mediante a severa diminuição de investimentos na educação pública básica pelos próximos 20 anos, tendo em vista o atual estado em que esta se encontra, e que o investimento </w:t>
      </w:r>
      <w:r w:rsidRPr="004629F3">
        <w:rPr>
          <w:rFonts w:ascii="Times New Roman" w:hAnsi="Times New Roman" w:cs="Times New Roman"/>
          <w:i/>
          <w:sz w:val="24"/>
          <w:szCs w:val="24"/>
        </w:rPr>
        <w:t>per capita</w:t>
      </w:r>
      <w:r w:rsidRPr="004629F3">
        <w:rPr>
          <w:rFonts w:ascii="Times New Roman" w:hAnsi="Times New Roman" w:cs="Times New Roman"/>
          <w:sz w:val="24"/>
          <w:szCs w:val="24"/>
        </w:rPr>
        <w:t xml:space="preserve"> na educação dos brasileiros menores reflete de maneira imensurável na sociedade futura, estamos caminhando para uma fragilizada formação de</w:t>
      </w:r>
      <w:r w:rsidR="003C3D8D" w:rsidRPr="004629F3">
        <w:rPr>
          <w:rFonts w:ascii="Times New Roman" w:hAnsi="Times New Roman" w:cs="Times New Roman"/>
          <w:sz w:val="24"/>
          <w:szCs w:val="24"/>
        </w:rPr>
        <w:t xml:space="preserve"> pessoas ao exercício da cidadania</w:t>
      </w:r>
      <w:r w:rsidRPr="004629F3">
        <w:rPr>
          <w:rFonts w:ascii="Times New Roman" w:hAnsi="Times New Roman" w:cs="Times New Roman"/>
          <w:sz w:val="24"/>
          <w:szCs w:val="24"/>
        </w:rPr>
        <w:t xml:space="preserve">, assim como para um déficit </w:t>
      </w:r>
      <w:r w:rsidR="003C3D8D" w:rsidRPr="004629F3">
        <w:rPr>
          <w:rFonts w:ascii="Times New Roman" w:hAnsi="Times New Roman" w:cs="Times New Roman"/>
          <w:sz w:val="24"/>
          <w:szCs w:val="24"/>
        </w:rPr>
        <w:t>na qualificação para o trabalho e para o desenvolvimento humano.</w:t>
      </w: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81927" w:rsidRPr="004629F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6 </w:t>
      </w:r>
      <w:r w:rsidR="00B81927"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METODOLOGIA</w:t>
      </w:r>
    </w:p>
    <w:p w:rsidR="0058081B" w:rsidRPr="004629F3" w:rsidRDefault="0058081B" w:rsidP="004629F3">
      <w:pPr>
        <w:spacing w:after="0" w:line="360" w:lineRule="auto"/>
        <w:ind w:firstLine="113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Pr="00C15A53" w:rsidRDefault="00C15A53" w:rsidP="00C15A53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5A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Quanto aos procedimentos, classifica-se como bibliográfica, pois foi elaborada tendo por base material já publicado, como: teses, artigos. Podendo também ser classificada como estudo de caso, pois é um estudo de um fenômeno atual, profundo e exaustivo. (Gil 2010, p.[?]).</w:t>
      </w:r>
    </w:p>
    <w:p w:rsidR="00C15A53" w:rsidRPr="00C15A53" w:rsidRDefault="00C15A53" w:rsidP="00C15A53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5A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Quanto aos objetivos enquadra-se como exploratória, pois se pretende proporcionar maior familiaridade com o problema, com vista de torná-los mais explícito ou a construir hipóteses. (Gil 2010, p.[?]).</w:t>
      </w:r>
    </w:p>
    <w:p w:rsidR="00C15A53" w:rsidRPr="00C15A53" w:rsidRDefault="00C15A53" w:rsidP="00C15A53">
      <w:pPr>
        <w:spacing w:after="0"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71FE9" w:rsidRDefault="00A71FE9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C15A53" w:rsidRDefault="00C15A53" w:rsidP="00C15A5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81927" w:rsidRDefault="00B81927" w:rsidP="00C15A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629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REFERÊNCIAS</w:t>
      </w:r>
    </w:p>
    <w:p w:rsidR="00C15A53" w:rsidRPr="004629F3" w:rsidRDefault="00C15A53" w:rsidP="00C15A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62B6F" w:rsidRPr="00C15A53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A53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C15A53">
        <w:rPr>
          <w:rFonts w:ascii="Times New Roman" w:hAnsi="Times New Roman" w:cs="Times New Roman"/>
          <w:b/>
          <w:bCs/>
          <w:sz w:val="24"/>
          <w:szCs w:val="24"/>
        </w:rPr>
        <w:t xml:space="preserve">Constituição da República Federativa do Brasil: </w:t>
      </w:r>
      <w:r w:rsidRPr="00C15A53">
        <w:rPr>
          <w:rFonts w:ascii="Times New Roman" w:hAnsi="Times New Roman" w:cs="Times New Roman"/>
          <w:sz w:val="24"/>
          <w:szCs w:val="24"/>
        </w:rPr>
        <w:t xml:space="preserve">promulgada em 5 de outubro de 1988. Organização do texto: Marcelo </w:t>
      </w:r>
      <w:proofErr w:type="spellStart"/>
      <w:r w:rsidRPr="00C15A53">
        <w:rPr>
          <w:rFonts w:ascii="Times New Roman" w:hAnsi="Times New Roman" w:cs="Times New Roman"/>
          <w:sz w:val="24"/>
          <w:szCs w:val="24"/>
        </w:rPr>
        <w:t>Larroyed</w:t>
      </w:r>
      <w:proofErr w:type="spellEnd"/>
      <w:r w:rsidRPr="00C15A53">
        <w:rPr>
          <w:rFonts w:ascii="Times New Roman" w:hAnsi="Times New Roman" w:cs="Times New Roman"/>
          <w:sz w:val="24"/>
          <w:szCs w:val="24"/>
        </w:rPr>
        <w:t>. Ed. Administrativa do Senado Federal. Brasília: Senado Federal, 2015. (Série Legislação Brasileira).</w:t>
      </w:r>
    </w:p>
    <w:p w:rsidR="00062B6F" w:rsidRPr="00C15A53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B6F" w:rsidRPr="00C15A53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</w:t>
      </w:r>
      <w:r w:rsidRPr="00C15A53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C15A53">
          <w:rPr>
            <w:rFonts w:ascii="Times New Roman" w:hAnsi="Times New Roman" w:cs="Times New Roman"/>
            <w:b/>
            <w:bCs/>
            <w:sz w:val="24"/>
            <w:szCs w:val="24"/>
          </w:rPr>
          <w:t>EMENDA CONSTITUCIONAL Nº 95, DE 15 DE DEZEMBRO DE 2016</w:t>
        </w:r>
      </w:hyperlink>
      <w:r w:rsidRPr="00C15A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15A53">
        <w:rPr>
          <w:rFonts w:ascii="Times New Roman" w:hAnsi="Times New Roman" w:cs="Times New Roman"/>
          <w:sz w:val="24"/>
          <w:szCs w:val="24"/>
        </w:rPr>
        <w:t>Altera o Ato das Disposições Constitucionais Transitórias, para instituir o Novo Regime Fiscal, e dá outras providências.</w:t>
      </w:r>
      <w:r w:rsidRPr="00C15A5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C15A53">
        <w:rPr>
          <w:rFonts w:ascii="Times New Roman" w:hAnsi="Times New Roman" w:cs="Times New Roman"/>
          <w:bCs/>
          <w:sz w:val="24"/>
          <w:szCs w:val="24"/>
        </w:rPr>
        <w:t>Diário Oficial da República Federativa do Brasil</w:t>
      </w:r>
      <w:r w:rsidRPr="00C15A53">
        <w:rPr>
          <w:rFonts w:ascii="Times New Roman" w:hAnsi="Times New Roman" w:cs="Times New Roman"/>
          <w:sz w:val="24"/>
          <w:szCs w:val="24"/>
        </w:rPr>
        <w:t>, Brasília, DF, 15 dez 2016.</w:t>
      </w:r>
    </w:p>
    <w:p w:rsidR="00062B6F" w:rsidRDefault="00062B6F" w:rsidP="0006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B6F" w:rsidRPr="00C15A53" w:rsidRDefault="00062B6F" w:rsidP="0006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A53">
        <w:rPr>
          <w:rFonts w:ascii="Times New Roman" w:hAnsi="Times New Roman" w:cs="Times New Roman"/>
          <w:sz w:val="24"/>
          <w:szCs w:val="24"/>
        </w:rPr>
        <w:t xml:space="preserve">COURI, Daniel Veloso. BIJOS, Paulo Roberto Simão. </w:t>
      </w:r>
      <w:r w:rsidRPr="00062B6F">
        <w:rPr>
          <w:rFonts w:ascii="Times New Roman" w:hAnsi="Times New Roman" w:cs="Times New Roman"/>
          <w:b/>
          <w:sz w:val="24"/>
          <w:szCs w:val="24"/>
        </w:rPr>
        <w:t xml:space="preserve">Breve análise sobre a PEC 241/2016, que altera o Ato das Disposições Constitucionais Transitórias para instituir o Novo Regime Fiscal. </w:t>
      </w:r>
      <w:r w:rsidRPr="00C15A53">
        <w:rPr>
          <w:rFonts w:ascii="Times New Roman" w:hAnsi="Times New Roman" w:cs="Times New Roman"/>
          <w:sz w:val="24"/>
          <w:szCs w:val="24"/>
        </w:rPr>
        <w:t>Disponível/em:&lt;http://www2.senado.leg.br/bdsf/bitstream/handle/id/521801/OED0026.pdf?sequence=1&gt; Acesso em 04 de set de 2017.</w:t>
      </w:r>
    </w:p>
    <w:p w:rsidR="00062B6F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B6F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A53">
        <w:rPr>
          <w:rFonts w:ascii="Times New Roman" w:hAnsi="Times New Roman" w:cs="Times New Roman"/>
          <w:sz w:val="24"/>
          <w:szCs w:val="24"/>
        </w:rPr>
        <w:t xml:space="preserve">FURTADO, J.R Caldas. </w:t>
      </w:r>
      <w:r w:rsidRPr="00062B6F">
        <w:rPr>
          <w:rFonts w:ascii="Times New Roman" w:hAnsi="Times New Roman" w:cs="Times New Roman"/>
          <w:b/>
          <w:sz w:val="24"/>
          <w:szCs w:val="24"/>
        </w:rPr>
        <w:t>Leis Orçamentárias. Direito financeiro.</w:t>
      </w:r>
      <w:r w:rsidRPr="00C15A53">
        <w:rPr>
          <w:rFonts w:ascii="Times New Roman" w:hAnsi="Times New Roman" w:cs="Times New Roman"/>
          <w:sz w:val="24"/>
          <w:szCs w:val="24"/>
        </w:rPr>
        <w:t xml:space="preserve"> Belo Horizonte: Fórum, 2012. </w:t>
      </w:r>
      <w:proofErr w:type="spellStart"/>
      <w:r w:rsidRPr="00C15A53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C15A53">
        <w:rPr>
          <w:rFonts w:ascii="Times New Roman" w:hAnsi="Times New Roman" w:cs="Times New Roman"/>
          <w:sz w:val="24"/>
          <w:szCs w:val="24"/>
        </w:rPr>
        <w:t xml:space="preserve"> nº 3, 109-181. </w:t>
      </w:r>
    </w:p>
    <w:p w:rsidR="00062B6F" w:rsidRPr="00C15A53" w:rsidRDefault="00062B6F" w:rsidP="0006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B6F" w:rsidRPr="00C15A53" w:rsidRDefault="00062B6F" w:rsidP="00062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53">
        <w:rPr>
          <w:rFonts w:ascii="Times New Roman" w:hAnsi="Times New Roman" w:cs="Times New Roman"/>
          <w:sz w:val="24"/>
          <w:szCs w:val="24"/>
        </w:rPr>
        <w:t xml:space="preserve">GIL, Antônio Carlos. </w:t>
      </w:r>
      <w:r w:rsidRPr="00062B6F">
        <w:rPr>
          <w:rFonts w:ascii="Times New Roman" w:hAnsi="Times New Roman" w:cs="Times New Roman"/>
          <w:b/>
          <w:sz w:val="24"/>
          <w:szCs w:val="24"/>
        </w:rPr>
        <w:t>Como elaborar projetos de pesquisa</w:t>
      </w:r>
      <w:r w:rsidRPr="00C15A53">
        <w:rPr>
          <w:rFonts w:ascii="Times New Roman" w:hAnsi="Times New Roman" w:cs="Times New Roman"/>
          <w:sz w:val="24"/>
          <w:szCs w:val="24"/>
        </w:rPr>
        <w:t>. 5. Ed. São Paulo: Atlas, 2010.</w:t>
      </w:r>
    </w:p>
    <w:p w:rsidR="00062B6F" w:rsidRDefault="00062B6F" w:rsidP="00C15A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1927" w:rsidRPr="00C15A53" w:rsidRDefault="00B81927" w:rsidP="00C15A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LEITE, </w:t>
      </w:r>
      <w:proofErr w:type="spellStart"/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>Harisson</w:t>
      </w:r>
      <w:proofErr w:type="spellEnd"/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62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Manual de Direito Financeiro</w:t>
      </w:r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6ª Ed. rev. ampl. e atual. – Salvador: </w:t>
      </w:r>
      <w:proofErr w:type="spellStart"/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>JusPODVM</w:t>
      </w:r>
      <w:proofErr w:type="spellEnd"/>
      <w:r w:rsidRPr="00C15A53">
        <w:rPr>
          <w:rFonts w:ascii="Times New Roman" w:hAnsi="Times New Roman" w:cs="Times New Roman"/>
          <w:sz w:val="24"/>
          <w:szCs w:val="24"/>
          <w:shd w:val="clear" w:color="auto" w:fill="FFFFFF"/>
        </w:rPr>
        <w:t>, 2017.</w:t>
      </w:r>
    </w:p>
    <w:p w:rsidR="00C15A53" w:rsidRPr="00C15A53" w:rsidRDefault="00C15A53" w:rsidP="00C1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8D" w:rsidRPr="004629F3" w:rsidRDefault="003C3D8D" w:rsidP="004629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3C3D8D" w:rsidRPr="004629F3" w:rsidSect="000F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39"/>
      </v:shape>
    </w:pict>
  </w:numPicBullet>
  <w:abstractNum w:abstractNumId="0" w15:restartNumberingAfterBreak="0">
    <w:nsid w:val="08D03D14"/>
    <w:multiLevelType w:val="hybridMultilevel"/>
    <w:tmpl w:val="C5D4FB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C8C"/>
    <w:multiLevelType w:val="hybridMultilevel"/>
    <w:tmpl w:val="C8E229A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EF0"/>
    <w:multiLevelType w:val="multilevel"/>
    <w:tmpl w:val="963026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24050830"/>
    <w:multiLevelType w:val="multilevel"/>
    <w:tmpl w:val="AF4C9B1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F11A2E"/>
    <w:multiLevelType w:val="hybridMultilevel"/>
    <w:tmpl w:val="262492BA"/>
    <w:lvl w:ilvl="0" w:tplc="4B50D2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416C"/>
    <w:multiLevelType w:val="hybridMultilevel"/>
    <w:tmpl w:val="83AC032E"/>
    <w:lvl w:ilvl="0" w:tplc="567C4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7E3D"/>
    <w:multiLevelType w:val="hybridMultilevel"/>
    <w:tmpl w:val="32A445C8"/>
    <w:lvl w:ilvl="0" w:tplc="C7164C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6D14"/>
    <w:multiLevelType w:val="hybridMultilevel"/>
    <w:tmpl w:val="C5AE6000"/>
    <w:lvl w:ilvl="0" w:tplc="0B5C1478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F6085"/>
    <w:multiLevelType w:val="hybridMultilevel"/>
    <w:tmpl w:val="E228A8BA"/>
    <w:lvl w:ilvl="0" w:tplc="4B7E93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77"/>
    <w:rsid w:val="00015DA1"/>
    <w:rsid w:val="00062B6F"/>
    <w:rsid w:val="000F3CB1"/>
    <w:rsid w:val="0017004C"/>
    <w:rsid w:val="00192FE4"/>
    <w:rsid w:val="002418BC"/>
    <w:rsid w:val="002D237E"/>
    <w:rsid w:val="002E7BA6"/>
    <w:rsid w:val="0037159F"/>
    <w:rsid w:val="003975B8"/>
    <w:rsid w:val="003C3D8D"/>
    <w:rsid w:val="003E2AE5"/>
    <w:rsid w:val="004259AC"/>
    <w:rsid w:val="00437D77"/>
    <w:rsid w:val="004629F3"/>
    <w:rsid w:val="004656C3"/>
    <w:rsid w:val="00472F4E"/>
    <w:rsid w:val="005419CC"/>
    <w:rsid w:val="00564A92"/>
    <w:rsid w:val="0058081B"/>
    <w:rsid w:val="005D31CA"/>
    <w:rsid w:val="005E0A37"/>
    <w:rsid w:val="00606C0D"/>
    <w:rsid w:val="00626CF7"/>
    <w:rsid w:val="00694D34"/>
    <w:rsid w:val="006F7239"/>
    <w:rsid w:val="00764CFE"/>
    <w:rsid w:val="007904D6"/>
    <w:rsid w:val="00823E09"/>
    <w:rsid w:val="00890631"/>
    <w:rsid w:val="008A623F"/>
    <w:rsid w:val="009C6840"/>
    <w:rsid w:val="00A71FE9"/>
    <w:rsid w:val="00A83A92"/>
    <w:rsid w:val="00AA5098"/>
    <w:rsid w:val="00B17A24"/>
    <w:rsid w:val="00B81927"/>
    <w:rsid w:val="00BB33CE"/>
    <w:rsid w:val="00C10393"/>
    <w:rsid w:val="00C15A53"/>
    <w:rsid w:val="00C803AA"/>
    <w:rsid w:val="00CA6062"/>
    <w:rsid w:val="00CC3B9E"/>
    <w:rsid w:val="00D15E04"/>
    <w:rsid w:val="00DC0494"/>
    <w:rsid w:val="00E22A99"/>
    <w:rsid w:val="00E60FEE"/>
    <w:rsid w:val="00F21446"/>
    <w:rsid w:val="00F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B4C"/>
  <w15:docId w15:val="{36F4254C-11D3-47B6-87D8-D52184FD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6C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192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E2AE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3C3D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islacao.planalto.gov.br/legisla/legislacao.nsf/Viw_Identificacao/emc%2095-2016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D34C-31F0-422E-916C-6BF0661D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13134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aluno.undb</dc:creator>
  <cp:lastModifiedBy>carla araujo</cp:lastModifiedBy>
  <cp:revision>2</cp:revision>
  <dcterms:created xsi:type="dcterms:W3CDTF">2020-03-23T16:13:00Z</dcterms:created>
  <dcterms:modified xsi:type="dcterms:W3CDTF">2020-03-23T16:13:00Z</dcterms:modified>
</cp:coreProperties>
</file>