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BE0" w:rsidRPr="00802CF7" w:rsidRDefault="00C66BE0" w:rsidP="00802CF7">
      <w:pPr>
        <w:spacing w:line="360" w:lineRule="auto"/>
        <w:jc w:val="center"/>
        <w:rPr>
          <w:rFonts w:ascii="Times New Roman" w:eastAsia="Calibri" w:hAnsi="Times New Roman" w:cs="Times New Roman"/>
          <w:b/>
          <w:sz w:val="24"/>
          <w:szCs w:val="24"/>
          <w:lang w:val="pt-PT"/>
        </w:rPr>
      </w:pPr>
      <w:r w:rsidRPr="00802CF7">
        <w:rPr>
          <w:rFonts w:ascii="Times New Roman" w:hAnsi="Times New Roman" w:cs="Times New Roman"/>
          <w:b/>
          <w:sz w:val="24"/>
          <w:szCs w:val="24"/>
          <w:lang w:val="pt-PT"/>
        </w:rPr>
        <w:t xml:space="preserve">A </w:t>
      </w:r>
      <w:r w:rsidR="004C46C0" w:rsidRPr="00802CF7">
        <w:rPr>
          <w:rFonts w:ascii="Times New Roman" w:eastAsia="Calibri" w:hAnsi="Times New Roman" w:cs="Times New Roman"/>
          <w:b/>
          <w:sz w:val="24"/>
          <w:szCs w:val="24"/>
          <w:lang w:val="pt-PT"/>
        </w:rPr>
        <w:t>venda e consumo das bebidas alcoólicas ao redor das Escolas Primarias e Secundárias</w:t>
      </w:r>
      <w:r w:rsidRPr="00802CF7">
        <w:rPr>
          <w:rFonts w:ascii="Times New Roman" w:eastAsia="Calibri" w:hAnsi="Times New Roman" w:cs="Times New Roman"/>
          <w:b/>
          <w:sz w:val="24"/>
          <w:szCs w:val="24"/>
          <w:lang w:val="pt-PT"/>
        </w:rPr>
        <w:t xml:space="preserve"> na </w:t>
      </w:r>
      <w:r w:rsidR="00B67363" w:rsidRPr="00802CF7">
        <w:rPr>
          <w:rFonts w:ascii="Times New Roman" w:eastAsia="Calibri" w:hAnsi="Times New Roman" w:cs="Times New Roman"/>
          <w:b/>
          <w:sz w:val="24"/>
          <w:szCs w:val="24"/>
          <w:lang w:val="pt-PT"/>
        </w:rPr>
        <w:t>Zambézia:</w:t>
      </w:r>
      <w:r w:rsidRPr="00802CF7">
        <w:rPr>
          <w:rFonts w:ascii="Times New Roman" w:eastAsia="Calibri" w:hAnsi="Times New Roman" w:cs="Times New Roman"/>
          <w:b/>
          <w:sz w:val="24"/>
          <w:szCs w:val="24"/>
          <w:lang w:val="pt-PT"/>
        </w:rPr>
        <w:t xml:space="preserve"> os desafios actividades cívica no uso e venda de bebidas alcoólicas ao redor das Escolas primarias como secundarias em Quelimane.</w:t>
      </w:r>
    </w:p>
    <w:p w:rsidR="004B7DED" w:rsidRPr="00802CF7" w:rsidRDefault="004B7DED" w:rsidP="00802CF7">
      <w:pPr>
        <w:spacing w:line="360" w:lineRule="auto"/>
        <w:contextualSpacing/>
        <w:jc w:val="center"/>
        <w:rPr>
          <w:rFonts w:ascii="Times New Roman" w:eastAsia="Calibri" w:hAnsi="Times New Roman" w:cs="Times New Roman"/>
          <w:b/>
          <w:sz w:val="24"/>
          <w:szCs w:val="24"/>
          <w:lang w:val="pt-PT"/>
        </w:rPr>
      </w:pPr>
    </w:p>
    <w:p w:rsidR="004C46C0" w:rsidRPr="00B67363" w:rsidRDefault="004C46C0" w:rsidP="00802CF7">
      <w:pPr>
        <w:spacing w:line="360" w:lineRule="auto"/>
        <w:jc w:val="both"/>
        <w:rPr>
          <w:rFonts w:ascii="Times New Roman" w:hAnsi="Times New Roman" w:cs="Times New Roman"/>
          <w:b/>
          <w:sz w:val="24"/>
          <w:szCs w:val="24"/>
          <w:lang w:val="pt-PT"/>
        </w:rPr>
      </w:pPr>
      <w:r w:rsidRPr="00B67363">
        <w:rPr>
          <w:rFonts w:ascii="Times New Roman" w:hAnsi="Times New Roman" w:cs="Times New Roman"/>
          <w:b/>
          <w:sz w:val="24"/>
          <w:szCs w:val="24"/>
          <w:lang w:val="pt-PT"/>
        </w:rPr>
        <w:t>Resumo:</w:t>
      </w:r>
    </w:p>
    <w:p w:rsidR="007257DC" w:rsidRPr="00B67363" w:rsidRDefault="004C46C0" w:rsidP="00802CF7">
      <w:pPr>
        <w:spacing w:line="360" w:lineRule="auto"/>
        <w:jc w:val="both"/>
        <w:rPr>
          <w:rFonts w:ascii="Times New Roman" w:hAnsi="Times New Roman" w:cs="Times New Roman"/>
          <w:sz w:val="24"/>
          <w:szCs w:val="24"/>
          <w:lang w:val="pt-PT"/>
        </w:rPr>
      </w:pPr>
      <w:r w:rsidRPr="004C46C0">
        <w:rPr>
          <w:rFonts w:ascii="Times New Roman" w:eastAsia="Calibri" w:hAnsi="Times New Roman" w:cs="Times New Roman"/>
          <w:sz w:val="24"/>
          <w:szCs w:val="24"/>
          <w:lang w:val="pt-PT"/>
        </w:rPr>
        <w:t xml:space="preserve">          </w:t>
      </w:r>
      <w:r w:rsidRPr="00B67363">
        <w:rPr>
          <w:rFonts w:ascii="Times New Roman" w:hAnsi="Times New Roman" w:cs="Times New Roman"/>
          <w:sz w:val="24"/>
          <w:szCs w:val="24"/>
          <w:lang w:val="pt-PT"/>
        </w:rPr>
        <w:t xml:space="preserve"> O presente estudo explora discursos sobre </w:t>
      </w:r>
      <w:r w:rsidRPr="00802CF7">
        <w:rPr>
          <w:rFonts w:ascii="Times New Roman" w:hAnsi="Times New Roman" w:cs="Times New Roman"/>
          <w:sz w:val="24"/>
          <w:szCs w:val="24"/>
          <w:lang w:val="pt-PT"/>
        </w:rPr>
        <w:t xml:space="preserve">a </w:t>
      </w:r>
      <w:r w:rsidRPr="00802CF7">
        <w:rPr>
          <w:rFonts w:ascii="Times New Roman" w:eastAsia="Calibri" w:hAnsi="Times New Roman" w:cs="Times New Roman"/>
          <w:sz w:val="24"/>
          <w:szCs w:val="24"/>
          <w:lang w:val="pt-PT"/>
        </w:rPr>
        <w:t xml:space="preserve">venda e consumo das bebidas alcoólicas pelos indivíduos entre os 12 á 25 anos de idades ao redor das Escolas Primarias e Secundárias em relação aos comportamentos de riscos. </w:t>
      </w:r>
      <w:r w:rsidRPr="00B67363">
        <w:rPr>
          <w:rFonts w:ascii="Times New Roman" w:hAnsi="Times New Roman" w:cs="Times New Roman"/>
          <w:sz w:val="24"/>
          <w:szCs w:val="24"/>
          <w:lang w:val="pt-PT"/>
        </w:rPr>
        <w:t xml:space="preserve">Esse artigo permite perceber a interação estabelecidas entre os vendedores e os consumidores para </w:t>
      </w:r>
      <w:r w:rsidR="00EB3DF2" w:rsidRPr="00802CF7">
        <w:rPr>
          <w:rFonts w:ascii="Times New Roman" w:eastAsia="Calibri" w:hAnsi="Times New Roman" w:cs="Times New Roman"/>
          <w:sz w:val="24"/>
          <w:szCs w:val="24"/>
          <w:lang w:val="pt-PT"/>
        </w:rPr>
        <w:t>r</w:t>
      </w:r>
      <w:r w:rsidR="00EB3DF2" w:rsidRPr="00EB3DF2">
        <w:rPr>
          <w:rFonts w:ascii="Times New Roman" w:eastAsia="Calibri" w:hAnsi="Times New Roman" w:cs="Times New Roman"/>
          <w:sz w:val="24"/>
          <w:szCs w:val="24"/>
          <w:lang w:val="pt-PT"/>
        </w:rPr>
        <w:t xml:space="preserve">elacionar os hábitos, </w:t>
      </w:r>
      <w:r w:rsidR="00612364" w:rsidRPr="00802CF7">
        <w:rPr>
          <w:rFonts w:ascii="Times New Roman" w:eastAsia="Calibri" w:hAnsi="Times New Roman" w:cs="Times New Roman"/>
          <w:sz w:val="24"/>
          <w:szCs w:val="24"/>
          <w:lang w:val="pt-PT"/>
        </w:rPr>
        <w:t xml:space="preserve">as </w:t>
      </w:r>
      <w:r w:rsidR="00104D9C" w:rsidRPr="00802CF7">
        <w:rPr>
          <w:rFonts w:ascii="Times New Roman" w:eastAsia="Calibri" w:hAnsi="Times New Roman" w:cs="Times New Roman"/>
          <w:sz w:val="24"/>
          <w:szCs w:val="24"/>
          <w:lang w:val="pt-PT"/>
        </w:rPr>
        <w:t>crenças e alguma</w:t>
      </w:r>
      <w:r w:rsidR="00EB3DF2" w:rsidRPr="00EB3DF2">
        <w:rPr>
          <w:rFonts w:ascii="Times New Roman" w:eastAsia="Calibri" w:hAnsi="Times New Roman" w:cs="Times New Roman"/>
          <w:sz w:val="24"/>
          <w:szCs w:val="24"/>
          <w:lang w:val="pt-PT"/>
        </w:rPr>
        <w:t>s</w:t>
      </w:r>
      <w:r w:rsidR="00104D9C" w:rsidRPr="00802CF7">
        <w:rPr>
          <w:rFonts w:ascii="Times New Roman" w:eastAsia="Calibri" w:hAnsi="Times New Roman" w:cs="Times New Roman"/>
          <w:sz w:val="24"/>
          <w:szCs w:val="24"/>
          <w:lang w:val="pt-PT"/>
        </w:rPr>
        <w:t xml:space="preserve"> atitudes</w:t>
      </w:r>
      <w:r w:rsidR="00EB3DF2" w:rsidRPr="00EB3DF2">
        <w:rPr>
          <w:rFonts w:ascii="Times New Roman" w:eastAsia="Calibri" w:hAnsi="Times New Roman" w:cs="Times New Roman"/>
          <w:sz w:val="24"/>
          <w:szCs w:val="24"/>
          <w:lang w:val="pt-PT"/>
        </w:rPr>
        <w:t xml:space="preserve"> frequentes </w:t>
      </w:r>
      <w:r w:rsidR="00612364" w:rsidRPr="00802CF7">
        <w:rPr>
          <w:rFonts w:ascii="Times New Roman" w:eastAsia="Calibri" w:hAnsi="Times New Roman" w:cs="Times New Roman"/>
          <w:sz w:val="24"/>
          <w:szCs w:val="24"/>
          <w:lang w:val="pt-PT"/>
        </w:rPr>
        <w:t>quanto</w:t>
      </w:r>
      <w:r w:rsidR="00EB3DF2" w:rsidRPr="00EB3DF2">
        <w:rPr>
          <w:rFonts w:ascii="Times New Roman" w:eastAsia="Calibri" w:hAnsi="Times New Roman" w:cs="Times New Roman"/>
          <w:sz w:val="24"/>
          <w:szCs w:val="24"/>
          <w:lang w:val="pt-PT"/>
        </w:rPr>
        <w:t xml:space="preserve"> </w:t>
      </w:r>
      <w:r w:rsidR="00612364" w:rsidRPr="00802CF7">
        <w:rPr>
          <w:rFonts w:ascii="Times New Roman" w:eastAsia="Calibri" w:hAnsi="Times New Roman" w:cs="Times New Roman"/>
          <w:sz w:val="24"/>
          <w:szCs w:val="24"/>
          <w:lang w:val="pt-PT"/>
        </w:rPr>
        <w:t>a</w:t>
      </w:r>
      <w:r w:rsidR="00EB3DF2" w:rsidRPr="00EB3DF2">
        <w:rPr>
          <w:rFonts w:ascii="Times New Roman" w:eastAsia="Calibri" w:hAnsi="Times New Roman" w:cs="Times New Roman"/>
          <w:sz w:val="24"/>
          <w:szCs w:val="24"/>
          <w:lang w:val="pt-PT"/>
        </w:rPr>
        <w:t>os comportamentos de risco.</w:t>
      </w:r>
      <w:r w:rsidR="009B1EBD" w:rsidRPr="00B67363">
        <w:rPr>
          <w:rFonts w:ascii="Times New Roman" w:hAnsi="Times New Roman" w:cs="Times New Roman"/>
          <w:sz w:val="24"/>
          <w:szCs w:val="24"/>
          <w:lang w:val="pt-PT"/>
        </w:rPr>
        <w:t xml:space="preserve"> </w:t>
      </w:r>
    </w:p>
    <w:p w:rsidR="004C46C0" w:rsidRPr="00B67363" w:rsidRDefault="009B1EBD" w:rsidP="00802CF7">
      <w:pPr>
        <w:spacing w:line="360" w:lineRule="auto"/>
        <w:ind w:firstLine="708"/>
        <w:jc w:val="both"/>
        <w:rPr>
          <w:rFonts w:ascii="Times New Roman" w:hAnsi="Times New Roman" w:cs="Times New Roman"/>
          <w:sz w:val="24"/>
          <w:szCs w:val="24"/>
          <w:lang w:val="pt-PT"/>
        </w:rPr>
      </w:pPr>
      <w:r w:rsidRPr="00802CF7">
        <w:rPr>
          <w:rFonts w:ascii="Times New Roman" w:eastAsia="Times New Roman" w:hAnsi="Times New Roman" w:cs="Times New Roman"/>
          <w:sz w:val="24"/>
          <w:szCs w:val="24"/>
          <w:lang w:val="pt-PT"/>
        </w:rPr>
        <w:t xml:space="preserve">Da literatura analisada percebemos que, o assunto é abordado em duas perspectivas. Em que na primeira foca-se a questão biomédica, retratando o consumo numa perspectiva patológica e ao mesmo tempo mobilizando os profissionais de saúde para diminuir índices de problemas decorrentes do uso de álcool, Joaquim (2017). </w:t>
      </w:r>
      <w:r w:rsidRPr="00802CF7">
        <w:rPr>
          <w:rFonts w:ascii="Times New Roman" w:eastAsia="Calibri" w:hAnsi="Times New Roman" w:cs="Times New Roman"/>
          <w:sz w:val="24"/>
          <w:szCs w:val="24"/>
          <w:lang w:val="pt-PT" w:eastAsia="zh-CN"/>
        </w:rPr>
        <w:t>A segunda, foca para a funcionalidade social, onde explica que, apesar das diferenças entre as diversas concepções analíticas sempre emerge uma abordagem comum que tende a conceber a “socialização como um mecanismo explicativo de inúmeras condutas individuais” (Dubar:1997:62). Assim, concordamos com</w:t>
      </w:r>
      <w:r w:rsidRPr="00802CF7">
        <w:rPr>
          <w:rFonts w:ascii="Times New Roman" w:eastAsia="Times New Roman" w:hAnsi="Times New Roman" w:cs="Times New Roman"/>
          <w:sz w:val="24"/>
          <w:szCs w:val="24"/>
          <w:lang w:val="pt-PT"/>
        </w:rPr>
        <w:t xml:space="preserve"> Joaquim</w:t>
      </w:r>
      <w:r w:rsidRPr="00802CF7">
        <w:rPr>
          <w:rFonts w:ascii="Times New Roman" w:eastAsia="Calibri" w:hAnsi="Times New Roman" w:cs="Times New Roman"/>
          <w:sz w:val="24"/>
          <w:szCs w:val="24"/>
          <w:lang w:val="pt-PT" w:eastAsia="zh-CN"/>
        </w:rPr>
        <w:t xml:space="preserve"> (2017)</w:t>
      </w:r>
      <w:r w:rsidRPr="00802CF7">
        <w:rPr>
          <w:rFonts w:ascii="Times New Roman" w:eastAsia="Times New Roman" w:hAnsi="Times New Roman" w:cs="Times New Roman"/>
          <w:sz w:val="24"/>
          <w:szCs w:val="24"/>
          <w:lang w:val="pt-PT"/>
        </w:rPr>
        <w:t>, ao afirmar que, os indivíduos não consomem a materialidade dos produtos como entendem os economistas, mas sim adquirir por meio deles as propriedades que lhes são atribuídas socialmente.</w:t>
      </w:r>
    </w:p>
    <w:p w:rsidR="009B1EBD" w:rsidRPr="004C46C0" w:rsidRDefault="009B1EBD" w:rsidP="00802CF7">
      <w:pPr>
        <w:spacing w:line="360" w:lineRule="auto"/>
        <w:ind w:firstLine="708"/>
        <w:jc w:val="both"/>
        <w:rPr>
          <w:rFonts w:ascii="Times New Roman" w:eastAsia="Calibri" w:hAnsi="Times New Roman" w:cs="Times New Roman"/>
          <w:sz w:val="24"/>
          <w:szCs w:val="24"/>
          <w:lang w:val="pt-PT"/>
        </w:rPr>
      </w:pPr>
      <w:r w:rsidRPr="004C46C0">
        <w:rPr>
          <w:rFonts w:ascii="Times New Roman" w:eastAsia="Calibri" w:hAnsi="Times New Roman" w:cs="Times New Roman"/>
          <w:sz w:val="24"/>
          <w:szCs w:val="24"/>
          <w:lang w:val="pt-PT"/>
        </w:rPr>
        <w:t xml:space="preserve">Para a construção desta </w:t>
      </w:r>
      <w:r w:rsidRPr="00802CF7">
        <w:rPr>
          <w:rFonts w:ascii="Times New Roman" w:eastAsia="Calibri" w:hAnsi="Times New Roman" w:cs="Times New Roman"/>
          <w:sz w:val="24"/>
          <w:szCs w:val="24"/>
          <w:lang w:val="pt-PT"/>
        </w:rPr>
        <w:t xml:space="preserve">pesquisa usamos a técnica da </w:t>
      </w:r>
      <w:r w:rsidRPr="004C46C0">
        <w:rPr>
          <w:rFonts w:ascii="Times New Roman" w:eastAsia="Calibri" w:hAnsi="Times New Roman" w:cs="Times New Roman"/>
          <w:sz w:val="24"/>
          <w:szCs w:val="24"/>
          <w:lang w:val="pt-PT"/>
        </w:rPr>
        <w:t xml:space="preserve">observação que nos permitiu identificar a compra das bebidas alcoólicas por parte de </w:t>
      </w:r>
      <w:r w:rsidRPr="00802CF7">
        <w:rPr>
          <w:rFonts w:ascii="Times New Roman" w:eastAsia="Calibri" w:hAnsi="Times New Roman" w:cs="Times New Roman"/>
          <w:sz w:val="24"/>
          <w:szCs w:val="24"/>
          <w:lang w:val="pt-PT"/>
        </w:rPr>
        <w:t xml:space="preserve">alguns indivíduos </w:t>
      </w:r>
      <w:r w:rsidRPr="004C46C0">
        <w:rPr>
          <w:rFonts w:ascii="Times New Roman" w:eastAsia="Calibri" w:hAnsi="Times New Roman" w:cs="Times New Roman"/>
          <w:sz w:val="24"/>
          <w:szCs w:val="24"/>
          <w:lang w:val="pt-PT"/>
        </w:rPr>
        <w:t>na escola primária e completa de Sinacura e Escola Secundaria 25 de Setembro.</w:t>
      </w:r>
      <w:r w:rsidRPr="00802CF7">
        <w:rPr>
          <w:rFonts w:ascii="Times New Roman" w:eastAsia="Calibri" w:hAnsi="Times New Roman" w:cs="Times New Roman"/>
          <w:sz w:val="24"/>
          <w:szCs w:val="24"/>
          <w:lang w:val="pt-PT"/>
        </w:rPr>
        <w:t xml:space="preserve"> A recolha de dados foi feita</w:t>
      </w:r>
      <w:r w:rsidRPr="004C46C0">
        <w:rPr>
          <w:rFonts w:ascii="Times New Roman" w:eastAsia="Calibri" w:hAnsi="Times New Roman" w:cs="Times New Roman"/>
          <w:sz w:val="24"/>
          <w:szCs w:val="24"/>
          <w:lang w:val="pt-PT"/>
        </w:rPr>
        <w:t xml:space="preserve"> com base na observação directa, entrevista semi-estruturada com os vendedores das bebidas alcoólicas e os compradores, as entrevistas serão de ordem formal no caso das necessidades de anotar pontos-chave, e informal quando o participante aceitar ser gravado. Na segunda fase realizaremos a revisão de literatura e na última fase organizaremos e analisaremos os dados para compreender o significado desta actividade e o modo de vida dos consumidores. Este método </w:t>
      </w:r>
      <w:r w:rsidRPr="004C46C0">
        <w:rPr>
          <w:rFonts w:ascii="Times New Roman" w:eastAsia="Times New Roman" w:hAnsi="Times New Roman" w:cs="Times New Roman"/>
          <w:sz w:val="24"/>
          <w:szCs w:val="24"/>
          <w:lang w:val="pt-PT"/>
        </w:rPr>
        <w:t xml:space="preserve">compreendem as fases de ver, ouvir e escrever, as relações sociais que as pessoas estabelecem no seu quotidiano, permitindo </w:t>
      </w:r>
      <w:r w:rsidRPr="004C46C0">
        <w:rPr>
          <w:rFonts w:ascii="Times New Roman" w:eastAsia="Times New Roman" w:hAnsi="Times New Roman" w:cs="Times New Roman"/>
          <w:sz w:val="24"/>
          <w:szCs w:val="24"/>
          <w:lang w:val="pt-PT"/>
        </w:rPr>
        <w:lastRenderedPageBreak/>
        <w:t>perceber o significado que as mesmas práticas são atribuídas dentro da sociedade a ser estudada, durante o processo da recolha de dados, Oliveira (2006).</w:t>
      </w:r>
    </w:p>
    <w:p w:rsidR="0006016A" w:rsidRPr="0012609D" w:rsidRDefault="00407D04" w:rsidP="00802CF7">
      <w:pPr>
        <w:keepNext/>
        <w:keepLines/>
        <w:spacing w:before="200" w:after="0" w:line="360" w:lineRule="auto"/>
        <w:outlineLvl w:val="1"/>
        <w:rPr>
          <w:rFonts w:ascii="Times New Roman" w:hAnsi="Times New Roman" w:cs="Times New Roman"/>
          <w:sz w:val="24"/>
          <w:szCs w:val="24"/>
          <w:lang w:val="pt-PT"/>
        </w:rPr>
      </w:pPr>
      <w:r w:rsidRPr="00B67363">
        <w:rPr>
          <w:rFonts w:ascii="Times New Roman" w:hAnsi="Times New Roman" w:cs="Times New Roman"/>
          <w:b/>
          <w:bCs/>
          <w:sz w:val="24"/>
          <w:szCs w:val="24"/>
          <w:lang w:val="pt-PT"/>
        </w:rPr>
        <w:t xml:space="preserve">Palavras-chave: </w:t>
      </w:r>
      <w:r w:rsidR="003012DD" w:rsidRPr="0012609D">
        <w:rPr>
          <w:rFonts w:ascii="Times New Roman" w:eastAsia="Times New Roman" w:hAnsi="Times New Roman" w:cs="Times New Roman"/>
          <w:sz w:val="24"/>
          <w:szCs w:val="24"/>
          <w:lang w:val="pt-PT"/>
        </w:rPr>
        <w:t xml:space="preserve">Consumo do Álcool, </w:t>
      </w:r>
      <w:r w:rsidR="0006016A" w:rsidRPr="0012609D">
        <w:rPr>
          <w:rFonts w:ascii="Times New Roman" w:eastAsia="Times New Roman" w:hAnsi="Times New Roman" w:cs="Times New Roman"/>
          <w:sz w:val="24"/>
          <w:szCs w:val="24"/>
          <w:lang w:val="pt-PT"/>
        </w:rPr>
        <w:t>Sexualidade</w:t>
      </w:r>
      <w:r w:rsidR="00ED4FB9" w:rsidRPr="0012609D">
        <w:rPr>
          <w:rFonts w:ascii="Times New Roman" w:eastAsia="Times New Roman" w:hAnsi="Times New Roman" w:cs="Times New Roman"/>
          <w:sz w:val="24"/>
          <w:szCs w:val="24"/>
          <w:lang w:val="pt-PT"/>
        </w:rPr>
        <w:t xml:space="preserve">, DTS </w:t>
      </w:r>
      <w:r w:rsidR="0006016A" w:rsidRPr="0012609D">
        <w:rPr>
          <w:rFonts w:ascii="Times New Roman" w:eastAsia="Times New Roman" w:hAnsi="Times New Roman" w:cs="Times New Roman"/>
          <w:sz w:val="24"/>
          <w:szCs w:val="24"/>
          <w:lang w:val="pt-PT"/>
        </w:rPr>
        <w:t>e Legislação</w:t>
      </w:r>
      <w:r w:rsidR="00ED4FB9" w:rsidRPr="0012609D">
        <w:rPr>
          <w:rFonts w:ascii="Times New Roman" w:eastAsia="Times New Roman" w:hAnsi="Times New Roman" w:cs="Times New Roman"/>
          <w:sz w:val="24"/>
          <w:szCs w:val="24"/>
          <w:lang w:val="pt-PT"/>
        </w:rPr>
        <w:t>.</w:t>
      </w:r>
    </w:p>
    <w:p w:rsidR="009B1EBD" w:rsidRPr="0012609D" w:rsidRDefault="009B1EBD" w:rsidP="00802CF7">
      <w:pPr>
        <w:spacing w:after="0" w:line="360" w:lineRule="auto"/>
        <w:jc w:val="both"/>
        <w:rPr>
          <w:rFonts w:ascii="Times New Roman" w:hAnsi="Times New Roman" w:cs="Times New Roman"/>
          <w:sz w:val="24"/>
          <w:szCs w:val="24"/>
          <w:lang w:val="pt-PT"/>
        </w:rPr>
      </w:pPr>
    </w:p>
    <w:p w:rsidR="00567C31" w:rsidRPr="00B67363" w:rsidRDefault="00567C31" w:rsidP="00802CF7">
      <w:pPr>
        <w:spacing w:after="0" w:line="360" w:lineRule="auto"/>
        <w:jc w:val="both"/>
        <w:rPr>
          <w:rFonts w:ascii="Times New Roman" w:hAnsi="Times New Roman" w:cs="Times New Roman"/>
          <w:b/>
          <w:bCs/>
          <w:sz w:val="24"/>
          <w:szCs w:val="24"/>
          <w:lang w:val="pt-PT"/>
        </w:rPr>
      </w:pPr>
    </w:p>
    <w:p w:rsidR="00567C31" w:rsidRPr="00567C31" w:rsidRDefault="00367346" w:rsidP="00802CF7">
      <w:pPr>
        <w:tabs>
          <w:tab w:val="center" w:pos="4680"/>
        </w:tabs>
        <w:spacing w:line="360" w:lineRule="auto"/>
        <w:contextualSpacing/>
        <w:jc w:val="both"/>
        <w:rPr>
          <w:rFonts w:ascii="Times New Roman" w:eastAsia="Times New Roman" w:hAnsi="Times New Roman" w:cs="Times New Roman"/>
          <w:b/>
          <w:sz w:val="24"/>
          <w:szCs w:val="24"/>
          <w:lang w:val="pt-PT" w:eastAsia="zh-TW"/>
        </w:rPr>
      </w:pPr>
      <w:r w:rsidRPr="00802CF7">
        <w:rPr>
          <w:rFonts w:ascii="Times New Roman" w:eastAsia="Times New Roman" w:hAnsi="Times New Roman" w:cs="Times New Roman"/>
          <w:b/>
          <w:sz w:val="24"/>
          <w:szCs w:val="24"/>
          <w:lang w:val="pt-PT" w:eastAsia="zh-TW"/>
        </w:rPr>
        <w:t>Introdução</w:t>
      </w:r>
      <w:r w:rsidR="003012DD" w:rsidRPr="00802CF7">
        <w:rPr>
          <w:rFonts w:ascii="Times New Roman" w:eastAsia="Times New Roman" w:hAnsi="Times New Roman" w:cs="Times New Roman"/>
          <w:b/>
          <w:sz w:val="24"/>
          <w:szCs w:val="24"/>
          <w:lang w:val="pt-PT" w:eastAsia="zh-TW"/>
        </w:rPr>
        <w:t>:</w:t>
      </w:r>
    </w:p>
    <w:p w:rsidR="007257DC" w:rsidRPr="00802CF7" w:rsidRDefault="00567C31" w:rsidP="00802CF7">
      <w:pPr>
        <w:tabs>
          <w:tab w:val="center" w:pos="4680"/>
        </w:tabs>
        <w:spacing w:line="360" w:lineRule="auto"/>
        <w:ind w:left="60"/>
        <w:contextualSpacing/>
        <w:jc w:val="both"/>
        <w:rPr>
          <w:rFonts w:ascii="Times New Roman" w:eastAsia="Times New Roman" w:hAnsi="Times New Roman" w:cs="Times New Roman"/>
          <w:sz w:val="24"/>
          <w:szCs w:val="24"/>
          <w:lang w:val="pt-PT" w:eastAsia="zh-TW"/>
        </w:rPr>
      </w:pPr>
      <w:r w:rsidRPr="00567C31">
        <w:rPr>
          <w:rFonts w:ascii="Times New Roman" w:eastAsia="Times New Roman" w:hAnsi="Times New Roman" w:cs="Times New Roman"/>
          <w:sz w:val="24"/>
          <w:szCs w:val="24"/>
          <w:lang w:val="pt-PT" w:eastAsia="zh-TW"/>
        </w:rPr>
        <w:t xml:space="preserve">             </w:t>
      </w:r>
    </w:p>
    <w:p w:rsidR="007257DC" w:rsidRPr="00802CF7" w:rsidRDefault="00311225" w:rsidP="00802CF7">
      <w:pPr>
        <w:tabs>
          <w:tab w:val="center" w:pos="4680"/>
        </w:tabs>
        <w:spacing w:line="360" w:lineRule="auto"/>
        <w:ind w:left="60" w:firstLine="507"/>
        <w:contextualSpacing/>
        <w:jc w:val="both"/>
        <w:rPr>
          <w:rFonts w:ascii="Times New Roman" w:eastAsia="Calibri" w:hAnsi="Times New Roman" w:cs="Times New Roman"/>
          <w:sz w:val="24"/>
          <w:szCs w:val="24"/>
          <w:lang w:val="pt-PT"/>
        </w:rPr>
      </w:pPr>
      <w:r w:rsidRPr="00B67363">
        <w:rPr>
          <w:rFonts w:ascii="Times New Roman" w:hAnsi="Times New Roman" w:cs="Times New Roman"/>
          <w:sz w:val="24"/>
          <w:szCs w:val="24"/>
          <w:lang w:val="pt-PT"/>
        </w:rPr>
        <w:tab/>
      </w:r>
      <w:r w:rsidR="00DB08D5" w:rsidRPr="00B67363">
        <w:rPr>
          <w:rFonts w:ascii="Times New Roman" w:hAnsi="Times New Roman" w:cs="Times New Roman"/>
          <w:sz w:val="24"/>
          <w:szCs w:val="24"/>
          <w:lang w:val="pt-PT"/>
        </w:rPr>
        <w:t xml:space="preserve"> </w:t>
      </w:r>
      <w:r w:rsidR="00367346" w:rsidRPr="00B67363">
        <w:rPr>
          <w:rFonts w:ascii="Times New Roman" w:hAnsi="Times New Roman" w:cs="Times New Roman"/>
          <w:sz w:val="24"/>
          <w:szCs w:val="24"/>
          <w:lang w:val="pt-PT"/>
        </w:rPr>
        <w:t xml:space="preserve">O artigo aborda sobre </w:t>
      </w:r>
      <w:r w:rsidR="007257DC" w:rsidRPr="00802CF7">
        <w:rPr>
          <w:rFonts w:ascii="Times New Roman" w:hAnsi="Times New Roman" w:cs="Times New Roman"/>
          <w:sz w:val="24"/>
          <w:szCs w:val="24"/>
          <w:lang w:val="pt-PT"/>
        </w:rPr>
        <w:t xml:space="preserve">a </w:t>
      </w:r>
      <w:r w:rsidR="007257DC" w:rsidRPr="00802CF7">
        <w:rPr>
          <w:rFonts w:ascii="Times New Roman" w:eastAsia="Calibri" w:hAnsi="Times New Roman" w:cs="Times New Roman"/>
          <w:sz w:val="24"/>
          <w:szCs w:val="24"/>
          <w:lang w:val="pt-PT"/>
        </w:rPr>
        <w:t>venda e consumo das bebidas alcoólicas pelos indivíduos entre os 12 á 25 anos de idades ao redor das Escolas</w:t>
      </w:r>
      <w:r w:rsidRPr="00802CF7">
        <w:rPr>
          <w:rFonts w:ascii="Times New Roman" w:eastAsia="Calibri" w:hAnsi="Times New Roman" w:cs="Times New Roman"/>
          <w:sz w:val="24"/>
          <w:szCs w:val="24"/>
          <w:lang w:val="pt-PT"/>
        </w:rPr>
        <w:t>. Com</w:t>
      </w:r>
      <w:r w:rsidRPr="00802CF7">
        <w:rPr>
          <w:rFonts w:ascii="Times New Roman" w:eastAsia="Calibri" w:hAnsi="Times New Roman" w:cs="Times New Roman"/>
          <w:color w:val="000000"/>
          <w:sz w:val="24"/>
          <w:szCs w:val="24"/>
          <w:lang w:val="pt-BR"/>
        </w:rPr>
        <w:t xml:space="preserve"> este artigo podemos desenvolver </w:t>
      </w:r>
      <w:r w:rsidRPr="00B67363">
        <w:rPr>
          <w:rFonts w:ascii="Times New Roman" w:hAnsi="Times New Roman" w:cs="Times New Roman"/>
          <w:sz w:val="24"/>
          <w:szCs w:val="24"/>
          <w:lang w:val="pt-PT"/>
        </w:rPr>
        <w:t>estudos de caracter sensibilista</w:t>
      </w:r>
      <w:r w:rsidRPr="00802CF7">
        <w:rPr>
          <w:rFonts w:ascii="Times New Roman" w:eastAsia="Calibri" w:hAnsi="Times New Roman" w:cs="Times New Roman"/>
          <w:color w:val="000000"/>
          <w:sz w:val="24"/>
          <w:szCs w:val="24"/>
          <w:lang w:val="pt-BR"/>
        </w:rPr>
        <w:t xml:space="preserve"> em relação</w:t>
      </w:r>
      <w:r w:rsidRPr="00802CF7">
        <w:rPr>
          <w:rFonts w:ascii="Times New Roman" w:eastAsia="Calibri" w:hAnsi="Times New Roman" w:cs="Times New Roman"/>
          <w:sz w:val="24"/>
          <w:szCs w:val="24"/>
          <w:lang w:val="pt-PT"/>
        </w:rPr>
        <w:t xml:space="preserve"> </w:t>
      </w:r>
      <w:r w:rsidR="007257DC" w:rsidRPr="00802CF7">
        <w:rPr>
          <w:rFonts w:ascii="Times New Roman" w:eastAsia="Calibri" w:hAnsi="Times New Roman" w:cs="Times New Roman"/>
          <w:sz w:val="24"/>
          <w:szCs w:val="24"/>
          <w:lang w:val="pt-PT"/>
        </w:rPr>
        <w:t>aos comportamentos de riscos.</w:t>
      </w:r>
      <w:r w:rsidRPr="00802CF7">
        <w:rPr>
          <w:rFonts w:ascii="Times New Roman" w:eastAsia="Calibri" w:hAnsi="Times New Roman" w:cs="Times New Roman"/>
          <w:sz w:val="24"/>
          <w:szCs w:val="24"/>
          <w:lang w:val="pt-PT"/>
        </w:rPr>
        <w:t xml:space="preserve"> </w:t>
      </w:r>
    </w:p>
    <w:p w:rsidR="00311225" w:rsidRPr="00802CF7" w:rsidRDefault="00311225" w:rsidP="00802CF7">
      <w:pPr>
        <w:tabs>
          <w:tab w:val="center" w:pos="4680"/>
        </w:tabs>
        <w:spacing w:line="360" w:lineRule="auto"/>
        <w:ind w:left="60"/>
        <w:contextualSpacing/>
        <w:jc w:val="both"/>
        <w:rPr>
          <w:rFonts w:ascii="Times New Roman" w:eastAsia="Calibri" w:hAnsi="Times New Roman" w:cs="Times New Roman"/>
          <w:sz w:val="24"/>
          <w:szCs w:val="24"/>
          <w:lang w:val="pt-PT"/>
        </w:rPr>
      </w:pPr>
    </w:p>
    <w:p w:rsidR="00DB08D5" w:rsidRPr="00802CF7" w:rsidRDefault="00567C31" w:rsidP="00802CF7">
      <w:pPr>
        <w:tabs>
          <w:tab w:val="center" w:pos="4680"/>
        </w:tabs>
        <w:spacing w:line="360" w:lineRule="auto"/>
        <w:ind w:left="60"/>
        <w:contextualSpacing/>
        <w:jc w:val="both"/>
        <w:rPr>
          <w:rFonts w:ascii="Times New Roman" w:eastAsia="Times New Roman" w:hAnsi="Times New Roman" w:cs="Times New Roman"/>
          <w:sz w:val="24"/>
          <w:szCs w:val="24"/>
          <w:lang w:val="pt-PT" w:eastAsia="zh-CN"/>
        </w:rPr>
      </w:pPr>
      <w:r w:rsidRPr="00567C31">
        <w:rPr>
          <w:rFonts w:ascii="Times New Roman" w:eastAsia="Times New Roman" w:hAnsi="Times New Roman" w:cs="Times New Roman"/>
          <w:sz w:val="24"/>
          <w:szCs w:val="24"/>
          <w:lang w:val="pt-PT" w:eastAsia="zh-CN"/>
        </w:rPr>
        <w:t xml:space="preserve">Por ex.: a administração pública é em grande parte o sinónimo de um crescimento poder do governo central, mas as repartições governamentais locais e as comunidades podem assumir a responsabilidade pela planificação e implementação para o desenvolvimento, desde que o governo esteja comprometido com a divulgação da autoridade e um reforço dos órgãos locais. E assim, criar associações dos ou nos órgãos locais e centrais baseada na própria divisão de funções locais. Mas, haver responsabilidade local na planificação e administração não significa que as autoridades centrais não tenham envolvimentos significativos. </w:t>
      </w:r>
    </w:p>
    <w:p w:rsidR="003012DD" w:rsidRPr="00802CF7" w:rsidRDefault="00DB08D5" w:rsidP="00802CF7">
      <w:pPr>
        <w:tabs>
          <w:tab w:val="center" w:pos="4680"/>
        </w:tabs>
        <w:spacing w:line="360" w:lineRule="auto"/>
        <w:ind w:left="60" w:firstLine="82"/>
        <w:contextualSpacing/>
        <w:jc w:val="both"/>
        <w:rPr>
          <w:rFonts w:ascii="Times New Roman" w:eastAsia="Times New Roman" w:hAnsi="Times New Roman" w:cs="Times New Roman"/>
          <w:sz w:val="24"/>
          <w:szCs w:val="24"/>
          <w:lang w:val="pt-PT" w:eastAsia="zh-CN"/>
        </w:rPr>
      </w:pPr>
      <w:r w:rsidRPr="00802CF7">
        <w:rPr>
          <w:rFonts w:ascii="Times New Roman" w:eastAsia="Times New Roman" w:hAnsi="Times New Roman" w:cs="Times New Roman"/>
          <w:sz w:val="24"/>
          <w:szCs w:val="24"/>
          <w:lang w:val="pt-PT" w:eastAsia="zh-CN"/>
        </w:rPr>
        <w:tab/>
        <w:t xml:space="preserve">        </w:t>
      </w:r>
      <w:r w:rsidR="00567C31" w:rsidRPr="00567C31">
        <w:rPr>
          <w:rFonts w:ascii="Times New Roman" w:eastAsia="Times New Roman" w:hAnsi="Times New Roman" w:cs="Times New Roman"/>
          <w:sz w:val="24"/>
          <w:szCs w:val="24"/>
          <w:lang w:val="pt-PT" w:eastAsia="zh-CN"/>
        </w:rPr>
        <w:t xml:space="preserve">Assim, as actividades educacionais devem ser orientadas para grupos etários e bem específicos. Por exemplo: para as raparigas devem ser aplicadas maior participação e continuidade na educação primária e incluir informações sobre a </w:t>
      </w:r>
      <w:r w:rsidR="0012609D" w:rsidRPr="00567C31">
        <w:rPr>
          <w:rFonts w:ascii="Times New Roman" w:eastAsia="Times New Roman" w:hAnsi="Times New Roman" w:cs="Times New Roman"/>
          <w:sz w:val="24"/>
          <w:szCs w:val="24"/>
          <w:lang w:val="pt-PT" w:eastAsia="zh-CN"/>
        </w:rPr>
        <w:t>saúde</w:t>
      </w:r>
      <w:r w:rsidR="00567C31" w:rsidRPr="00567C31">
        <w:rPr>
          <w:rFonts w:ascii="Times New Roman" w:eastAsia="Times New Roman" w:hAnsi="Times New Roman" w:cs="Times New Roman"/>
          <w:sz w:val="24"/>
          <w:szCs w:val="24"/>
          <w:lang w:val="pt-PT" w:eastAsia="zh-CN"/>
        </w:rPr>
        <w:t xml:space="preserve"> mesmo a nível da educação primária uma vez que, nos adultos e adolescentes são </w:t>
      </w:r>
      <w:r w:rsidR="007257DC" w:rsidRPr="00802CF7">
        <w:rPr>
          <w:rFonts w:ascii="Times New Roman" w:eastAsia="Times New Roman" w:hAnsi="Times New Roman" w:cs="Times New Roman"/>
          <w:sz w:val="24"/>
          <w:szCs w:val="24"/>
          <w:lang w:val="pt-PT" w:eastAsia="zh-CN"/>
        </w:rPr>
        <w:t>ensinadas</w:t>
      </w:r>
      <w:r w:rsidR="00567C31" w:rsidRPr="00567C31">
        <w:rPr>
          <w:rFonts w:ascii="Times New Roman" w:eastAsia="Times New Roman" w:hAnsi="Times New Roman" w:cs="Times New Roman"/>
          <w:sz w:val="24"/>
          <w:szCs w:val="24"/>
          <w:lang w:val="pt-PT" w:eastAsia="zh-CN"/>
        </w:rPr>
        <w:t xml:space="preserve"> as maneiras como se comportar na vida familiar.</w:t>
      </w:r>
      <w:r w:rsidR="007257DC" w:rsidRPr="00802CF7">
        <w:rPr>
          <w:rFonts w:ascii="Times New Roman" w:eastAsia="Times New Roman" w:hAnsi="Times New Roman" w:cs="Times New Roman"/>
          <w:sz w:val="24"/>
          <w:szCs w:val="24"/>
          <w:lang w:val="pt-PT" w:eastAsia="zh-CN"/>
        </w:rPr>
        <w:t xml:space="preserve"> </w:t>
      </w:r>
      <w:r w:rsidR="00567C31" w:rsidRPr="00567C31">
        <w:rPr>
          <w:rFonts w:ascii="Times New Roman" w:eastAsia="Times New Roman" w:hAnsi="Times New Roman" w:cs="Times New Roman"/>
          <w:sz w:val="24"/>
          <w:szCs w:val="24"/>
          <w:lang w:val="pt-PT" w:eastAsia="zh-CN"/>
        </w:rPr>
        <w:t>Confiar as comunidades a responsabilidade pelo desenvolvimento é também uma forma de mobilizar novos recursos para complementar o esforço do governo.</w:t>
      </w:r>
      <w:r w:rsidR="002141AA" w:rsidRPr="00802CF7">
        <w:rPr>
          <w:rFonts w:ascii="Times New Roman" w:eastAsia="Times New Roman" w:hAnsi="Times New Roman" w:cs="Times New Roman"/>
          <w:sz w:val="24"/>
          <w:szCs w:val="24"/>
          <w:lang w:val="pt-PT" w:eastAsia="zh-CN"/>
        </w:rPr>
        <w:t xml:space="preserve"> </w:t>
      </w:r>
      <w:r w:rsidR="007257DC" w:rsidRPr="00802CF7">
        <w:rPr>
          <w:rFonts w:ascii="Times New Roman" w:eastAsia="Times New Roman" w:hAnsi="Times New Roman" w:cs="Times New Roman"/>
          <w:sz w:val="24"/>
          <w:szCs w:val="24"/>
          <w:lang w:val="pt-PT" w:eastAsia="zh-CN"/>
        </w:rPr>
        <w:t>V</w:t>
      </w:r>
      <w:r w:rsidR="0060712D" w:rsidRPr="00802CF7">
        <w:rPr>
          <w:rFonts w:ascii="Times New Roman" w:eastAsia="Times New Roman" w:hAnsi="Times New Roman" w:cs="Times New Roman"/>
          <w:sz w:val="24"/>
          <w:szCs w:val="24"/>
          <w:lang w:val="pt-PT" w:eastAsia="zh-CN"/>
        </w:rPr>
        <w:t>isto que</w:t>
      </w:r>
      <w:r w:rsidR="00567C31" w:rsidRPr="00567C31">
        <w:rPr>
          <w:rFonts w:ascii="Times New Roman" w:eastAsia="Times New Roman" w:hAnsi="Times New Roman" w:cs="Times New Roman"/>
          <w:sz w:val="24"/>
          <w:szCs w:val="24"/>
          <w:lang w:val="pt-PT" w:eastAsia="zh-CN"/>
        </w:rPr>
        <w:t>,</w:t>
      </w:r>
      <w:r w:rsidR="0060712D" w:rsidRPr="00802CF7">
        <w:rPr>
          <w:rFonts w:ascii="Times New Roman" w:eastAsia="Times New Roman" w:hAnsi="Times New Roman" w:cs="Times New Roman"/>
          <w:sz w:val="24"/>
          <w:szCs w:val="24"/>
          <w:lang w:val="pt-PT" w:eastAsia="zh-CN"/>
        </w:rPr>
        <w:t xml:space="preserve"> para</w:t>
      </w:r>
      <w:r w:rsidR="00567C31" w:rsidRPr="00567C31">
        <w:rPr>
          <w:rFonts w:ascii="Times New Roman" w:eastAsia="Times New Roman" w:hAnsi="Times New Roman" w:cs="Times New Roman"/>
          <w:sz w:val="24"/>
          <w:szCs w:val="24"/>
          <w:lang w:val="pt-PT" w:eastAsia="zh-CN"/>
        </w:rPr>
        <w:t xml:space="preserve"> reforçar a organização e a responsabilidade local requer que os recursos da comunidade sejam devotados aos objectivos da comunidade e não usados como um meio de preencher as falhas nos orçamentos dos programas do governo pois melhorar o nível de vida das comunidades e reforçar as organizações locais requer que as pessoas tenham acesso aos necessários conhecimentos e informações bem como a oportunidade para a adquirir os conhecimentos necessários para a realizarem eficientemente as suas funções, (UNICEF 1988:72).</w:t>
      </w:r>
    </w:p>
    <w:p w:rsidR="003012DD" w:rsidRPr="003012DD" w:rsidRDefault="003012DD" w:rsidP="00802CF7">
      <w:pPr>
        <w:keepNext/>
        <w:keepLines/>
        <w:spacing w:before="200" w:after="0" w:line="360" w:lineRule="auto"/>
        <w:outlineLvl w:val="1"/>
        <w:rPr>
          <w:rFonts w:ascii="Times New Roman" w:eastAsia="Times New Roman" w:hAnsi="Times New Roman" w:cs="Times New Roman"/>
          <w:b/>
          <w:bCs/>
          <w:sz w:val="24"/>
          <w:szCs w:val="24"/>
          <w:lang w:val="pt-PT"/>
        </w:rPr>
      </w:pPr>
      <w:bookmarkStart w:id="0" w:name="_Toc519497246"/>
      <w:r w:rsidRPr="003012DD">
        <w:rPr>
          <w:rFonts w:ascii="Times New Roman" w:eastAsia="Times New Roman" w:hAnsi="Times New Roman" w:cs="Times New Roman"/>
          <w:b/>
          <w:bCs/>
          <w:sz w:val="24"/>
          <w:szCs w:val="24"/>
          <w:lang w:val="pt-PT"/>
        </w:rPr>
        <w:t>Consumo do Álcool</w:t>
      </w:r>
      <w:bookmarkEnd w:id="0"/>
      <w:r w:rsidRPr="003012DD">
        <w:rPr>
          <w:rFonts w:ascii="Times New Roman" w:eastAsia="Times New Roman" w:hAnsi="Times New Roman" w:cs="Times New Roman"/>
          <w:b/>
          <w:bCs/>
          <w:sz w:val="24"/>
          <w:szCs w:val="24"/>
          <w:lang w:val="pt-PT"/>
        </w:rPr>
        <w:t xml:space="preserve"> </w:t>
      </w:r>
    </w:p>
    <w:p w:rsidR="003012DD" w:rsidRPr="003012DD" w:rsidRDefault="003012DD" w:rsidP="00802CF7">
      <w:pPr>
        <w:spacing w:after="0" w:line="360" w:lineRule="auto"/>
        <w:jc w:val="both"/>
        <w:rPr>
          <w:rFonts w:ascii="Times New Roman" w:eastAsia="Times New Roman" w:hAnsi="Times New Roman" w:cs="Times New Roman"/>
          <w:sz w:val="24"/>
          <w:szCs w:val="24"/>
          <w:lang w:val="pt-PT" w:eastAsia="zh-TW"/>
        </w:rPr>
      </w:pPr>
      <w:r w:rsidRPr="003012DD">
        <w:rPr>
          <w:rFonts w:ascii="Times New Roman" w:eastAsia="Times New Roman" w:hAnsi="Times New Roman" w:cs="Times New Roman"/>
          <w:sz w:val="24"/>
          <w:szCs w:val="24"/>
          <w:lang w:val="pt-PT"/>
        </w:rPr>
        <w:t xml:space="preserve">          De acordo com Joaquim (2017), o trabalho de Veblen, (1965), publicado em 1899, foi o primeiro trabalho que analisou o consumo inteiramente sob o ponto de vista social, relatando-o como marcante característica cultural da sociedade ocidental moderna. A ideia central defendida no livro é de que o indivíduo é, por sua própria condição, um ser social cuja identidade e necessidades são construídas colectivamente. Assim, para </w:t>
      </w:r>
      <w:r w:rsidR="0012609D" w:rsidRPr="003012DD">
        <w:rPr>
          <w:rFonts w:ascii="Times New Roman" w:eastAsia="Times New Roman" w:hAnsi="Times New Roman" w:cs="Times New Roman"/>
          <w:sz w:val="24"/>
          <w:szCs w:val="24"/>
          <w:lang w:val="pt-PT"/>
        </w:rPr>
        <w:t xml:space="preserve">Joaquim </w:t>
      </w:r>
      <w:r w:rsidRPr="003012DD">
        <w:rPr>
          <w:rFonts w:ascii="Times New Roman" w:eastAsia="Times New Roman" w:hAnsi="Times New Roman" w:cs="Times New Roman"/>
          <w:sz w:val="24"/>
          <w:szCs w:val="24"/>
          <w:lang w:val="pt-PT"/>
        </w:rPr>
        <w:t xml:space="preserve">(2017), O consumo surge a partir da interacção com o outro, como um mecanismo de aproximação ou diferenciação dos indivíduos de uma mesma sociedade, de acordo com o seu nível, papel social e </w:t>
      </w:r>
      <w:r w:rsidR="007257DC" w:rsidRPr="00802CF7">
        <w:rPr>
          <w:rFonts w:ascii="Times New Roman" w:eastAsia="Times New Roman" w:hAnsi="Times New Roman" w:cs="Times New Roman"/>
          <w:sz w:val="24"/>
          <w:szCs w:val="24"/>
          <w:lang w:val="pt-PT"/>
        </w:rPr>
        <w:t xml:space="preserve">também como expressão de status, </w:t>
      </w:r>
      <w:r w:rsidR="007257DC" w:rsidRPr="00567C31">
        <w:rPr>
          <w:rFonts w:ascii="Times New Roman" w:eastAsia="Times New Roman" w:hAnsi="Times New Roman" w:cs="Times New Roman"/>
          <w:sz w:val="24"/>
          <w:szCs w:val="24"/>
          <w:lang w:val="pt-PT" w:eastAsia="zh-TW"/>
        </w:rPr>
        <w:t>Com isso, concordamos com a ideia de que, a</w:t>
      </w:r>
      <w:r w:rsidR="007257DC" w:rsidRPr="00567C31">
        <w:rPr>
          <w:rFonts w:ascii="Times New Roman" w:eastAsia="Times New Roman" w:hAnsi="Times New Roman" w:cs="Times New Roman"/>
          <w:sz w:val="24"/>
          <w:szCs w:val="24"/>
          <w:lang w:val="pt-PT" w:eastAsia="zh-CN"/>
        </w:rPr>
        <w:t xml:space="preserve"> análise da situação social envolve não só os factos técnicos mas também outros tipos de factos relacionados a estrutura da comunidade, tais como atitudes que acompanham o processo da socialização, as técnicas e estratégias, bem como os objectivos da pesquisa social incluem o reforço da auto-suficiência familiar e comunitária, por isso dá-se maior atenção as prioridades familiares a partir dum diálogo permanente sobre as opções e eficácias a nível das escolhas socia</w:t>
      </w:r>
      <w:r w:rsidR="007257DC" w:rsidRPr="00567C31">
        <w:rPr>
          <w:rFonts w:ascii="Times New Roman" w:eastAsia="Times New Roman" w:hAnsi="Times New Roman" w:cs="Times New Roman"/>
          <w:sz w:val="24"/>
          <w:szCs w:val="24"/>
          <w:lang w:val="pt-PT" w:eastAsia="zh-TW"/>
        </w:rPr>
        <w:t>i</w:t>
      </w:r>
      <w:r w:rsidR="007257DC" w:rsidRPr="00567C31">
        <w:rPr>
          <w:rFonts w:ascii="Times New Roman" w:eastAsia="Times New Roman" w:hAnsi="Times New Roman" w:cs="Times New Roman"/>
          <w:sz w:val="24"/>
          <w:szCs w:val="24"/>
          <w:lang w:val="pt-PT" w:eastAsia="zh-CN"/>
        </w:rPr>
        <w:t>s tais como o modo de vida que precisa seguir, (UNICEF, 1988:74).</w:t>
      </w:r>
    </w:p>
    <w:p w:rsidR="003012DD" w:rsidRPr="003012DD" w:rsidRDefault="003012DD" w:rsidP="00802CF7">
      <w:pPr>
        <w:spacing w:after="0" w:line="360" w:lineRule="auto"/>
        <w:rPr>
          <w:rFonts w:ascii="Times New Roman" w:eastAsia="Times New Roman" w:hAnsi="Times New Roman" w:cs="Times New Roman"/>
          <w:sz w:val="24"/>
          <w:szCs w:val="24"/>
          <w:lang w:val="pt-PT"/>
        </w:rPr>
      </w:pPr>
    </w:p>
    <w:p w:rsidR="003012DD" w:rsidRPr="003012DD" w:rsidRDefault="003012DD" w:rsidP="00802CF7">
      <w:pPr>
        <w:spacing w:after="0" w:line="360" w:lineRule="auto"/>
        <w:jc w:val="both"/>
        <w:rPr>
          <w:rFonts w:ascii="Times New Roman" w:eastAsia="Times New Roman" w:hAnsi="Times New Roman" w:cs="Times New Roman"/>
          <w:sz w:val="24"/>
          <w:szCs w:val="24"/>
          <w:lang w:val="pt-PT"/>
        </w:rPr>
      </w:pPr>
      <w:r w:rsidRPr="003012DD">
        <w:rPr>
          <w:rFonts w:ascii="Times New Roman" w:eastAsia="Times New Roman" w:hAnsi="Times New Roman" w:cs="Times New Roman"/>
          <w:sz w:val="24"/>
          <w:szCs w:val="24"/>
          <w:lang w:val="pt-PT"/>
        </w:rPr>
        <w:t xml:space="preserve">           Segundo Duarte (2010) aponta os anos 70 do século XX como a data de emergência da antropologia do consumo. A produção antropológica, nomeadamente a ligada à corrente substantivista da antropologia económica, desafiava pressupostos como os da escolha racional ou da maximização do lucro, mas continuava a situar os debates ao nível da especificidade das sociedades pré-industriais, pré-capitalistas. Desta forma, os estudos realizados por Teodoro (S/D), e Costa et al, (2004) demonstram que o álcool sendo uma substância tóxica para o organismo traz consigo efeitos negativos para a saúde como é o caso da danificação do fígado, ataques cardiovasculares, aparecimento de úlceras gastro-intestinais e cancro, que podem afectar não só a vida pessoal do consumidor como também a vida familiar, escolar, ocupacional e social. Cit. Joaquim (2017).</w:t>
      </w:r>
    </w:p>
    <w:p w:rsidR="003012DD" w:rsidRPr="003012DD" w:rsidRDefault="003012DD" w:rsidP="00802CF7">
      <w:pPr>
        <w:spacing w:after="0" w:line="360" w:lineRule="auto"/>
        <w:jc w:val="both"/>
        <w:rPr>
          <w:rFonts w:ascii="Times New Roman" w:eastAsia="Times New Roman" w:hAnsi="Times New Roman" w:cs="Times New Roman"/>
          <w:sz w:val="24"/>
          <w:szCs w:val="24"/>
          <w:lang w:val="pt-PT"/>
        </w:rPr>
      </w:pPr>
      <w:r w:rsidRPr="00B67363">
        <w:rPr>
          <w:rFonts w:ascii="Times New Roman" w:eastAsia="Times New Roman" w:hAnsi="Times New Roman" w:cs="Times New Roman"/>
          <w:sz w:val="24"/>
          <w:szCs w:val="24"/>
          <w:lang w:val="pt-PT"/>
        </w:rPr>
        <w:t xml:space="preserve">           </w:t>
      </w:r>
      <w:r w:rsidR="00CB3E5A" w:rsidRPr="00802CF7">
        <w:rPr>
          <w:rFonts w:ascii="Times New Roman" w:eastAsia="Times New Roman" w:hAnsi="Times New Roman" w:cs="Times New Roman"/>
          <w:sz w:val="24"/>
          <w:szCs w:val="24"/>
          <w:lang w:val="pt-PT"/>
        </w:rPr>
        <w:t xml:space="preserve">Assim </w:t>
      </w:r>
      <w:r w:rsidR="0012609D" w:rsidRPr="00802CF7">
        <w:rPr>
          <w:rFonts w:ascii="Times New Roman" w:eastAsia="Times New Roman" w:hAnsi="Times New Roman" w:cs="Times New Roman"/>
          <w:sz w:val="24"/>
          <w:szCs w:val="24"/>
          <w:lang w:val="pt-PT"/>
        </w:rPr>
        <w:t>para Cavazos</w:t>
      </w:r>
      <w:r w:rsidRPr="003012DD">
        <w:rPr>
          <w:rFonts w:ascii="Times New Roman" w:eastAsia="Times New Roman" w:hAnsi="Times New Roman" w:cs="Times New Roman"/>
          <w:sz w:val="24"/>
          <w:szCs w:val="24"/>
          <w:lang w:val="pt-PT"/>
        </w:rPr>
        <w:t xml:space="preserve"> (1989), o consumo de bebidas alcoólicas causa várias mudanças acentuadas no comportamento aumentando deste modo a incidência de uma variedade de actos agressivos, problemas nas funções mentais, bem como alterando seriamente a capacidade de apreender informações e de se lembrar delas. Ainda na mesma perspectiva do autor os indivíduos consumidores de bebidas alcoólicas aparecem na sociedade como meras vítimas de sistema social, pois percebidos como coagidos ao mesmo devido a exposição e disponibilidade das mesmas em quase todos os locais de lazer. </w:t>
      </w:r>
    </w:p>
    <w:p w:rsidR="003012DD" w:rsidRPr="003012DD" w:rsidRDefault="003012DD" w:rsidP="00802CF7">
      <w:pPr>
        <w:keepNext/>
        <w:keepLines/>
        <w:spacing w:before="200" w:after="0" w:line="360" w:lineRule="auto"/>
        <w:outlineLvl w:val="1"/>
        <w:rPr>
          <w:rFonts w:ascii="Times New Roman" w:eastAsia="Times New Roman" w:hAnsi="Times New Roman" w:cs="Times New Roman"/>
          <w:b/>
          <w:bCs/>
          <w:sz w:val="24"/>
          <w:szCs w:val="24"/>
          <w:lang w:val="pt-PT"/>
        </w:rPr>
      </w:pPr>
      <w:bookmarkStart w:id="1" w:name="_Toc519497247"/>
      <w:r w:rsidRPr="003012DD">
        <w:rPr>
          <w:rFonts w:ascii="Times New Roman" w:eastAsia="Times New Roman" w:hAnsi="Times New Roman" w:cs="Times New Roman"/>
          <w:b/>
          <w:bCs/>
          <w:sz w:val="24"/>
          <w:szCs w:val="24"/>
          <w:lang w:val="pt-PT"/>
        </w:rPr>
        <w:t>Sexualidade e Saúde</w:t>
      </w:r>
      <w:bookmarkEnd w:id="1"/>
    </w:p>
    <w:p w:rsidR="003012DD" w:rsidRPr="003012DD" w:rsidRDefault="003012DD" w:rsidP="00802CF7">
      <w:pPr>
        <w:spacing w:line="360" w:lineRule="auto"/>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 xml:space="preserve">         Para (NEGREIROS, 2004) a sexualidade diz respeito a um conjunto de características humanas que se traduz nas diferentes formas de expressar a energia vital, chamada por Freud de libido, que quer dizer energia pela qual se manifesta a capacidade de se ligar às pessoas, ao prazer/desprazer, aos desejos, às necessidades, à vida. Comumente, as pessoas associam sexualidade ao acto sexual e/ou aos órgãos genitais, considerando-os como sinónimos. Embora o sexo seja uma das dimensões importantes da sexualidade, esta é muito mais que actividade sexual e não se limita à genetalidade ou a uma função biológica responsável pela reprodução.  </w:t>
      </w:r>
    </w:p>
    <w:p w:rsidR="003012DD" w:rsidRPr="003012DD" w:rsidRDefault="003012DD" w:rsidP="00802CF7">
      <w:pPr>
        <w:spacing w:line="360" w:lineRule="auto"/>
        <w:ind w:firstLine="708"/>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 xml:space="preserve">Ao pensarmos um pouco mais sobre o assunto, pode-se perceber que o corpo como um todo é fonte de prazer, pelo fato de propiciar, desde nosso nascimento, o sentir, o perceber e o comunicar o mundo. A sexualidade é uma das dimensões do ser, em outras palavras: cada um de nós tem uma identidade sexual que integra o modo de ser de cada um e que é inseparável da nossa humanidade (DEPUTTE, 1997 &amp; THALER-DEMERS, 2001 </w:t>
      </w:r>
      <w:r w:rsidRPr="003012DD">
        <w:rPr>
          <w:rFonts w:ascii="Times New Roman" w:eastAsia="Calibri" w:hAnsi="Times New Roman" w:cs="Times New Roman"/>
          <w:i/>
          <w:sz w:val="24"/>
          <w:szCs w:val="24"/>
          <w:lang w:val="pt-PT"/>
        </w:rPr>
        <w:t>apud</w:t>
      </w:r>
      <w:r w:rsidRPr="003012DD">
        <w:rPr>
          <w:rFonts w:ascii="Times New Roman" w:eastAsia="Calibri" w:hAnsi="Times New Roman" w:cs="Times New Roman"/>
          <w:sz w:val="24"/>
          <w:szCs w:val="24"/>
          <w:lang w:val="pt-PT"/>
        </w:rPr>
        <w:t xml:space="preserve"> LOURENÇO, 2002: 24).</w:t>
      </w:r>
    </w:p>
    <w:p w:rsidR="002547ED" w:rsidRPr="00802CF7" w:rsidRDefault="003012DD" w:rsidP="00802CF7">
      <w:pPr>
        <w:spacing w:line="360" w:lineRule="auto"/>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 xml:space="preserve">          Conforme Lourenço (2002), em sentido amplo, a sexualidade se expressa no estilo de vida que adoptamos, no modo como se demonstram os afectos, na percepção erotizada dos estímulos sensoriais e também nos papéis de género – jeito adoptado para ser mulher ou para ser homem, que tem implicações nas relações estabelecidas entre homens e mulheres. </w:t>
      </w:r>
    </w:p>
    <w:p w:rsidR="003012DD" w:rsidRPr="003012DD" w:rsidRDefault="003012DD" w:rsidP="00802CF7">
      <w:pPr>
        <w:spacing w:line="360" w:lineRule="auto"/>
        <w:ind w:firstLine="708"/>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A sexualidade envolve, além do corpo, os sentimentos, a história de vida, os costumes, as relações afectivas e a cultura. Portanto, é uma dimensão fundamental de todas as etapas da vida de homens e mulheres, presente desde o nascimento até a morte, e abarca aspectos físicos, psicoemocionais e socioculturais.</w:t>
      </w:r>
    </w:p>
    <w:p w:rsidR="003012DD" w:rsidRPr="003012DD" w:rsidRDefault="003012DD" w:rsidP="00802CF7">
      <w:pPr>
        <w:spacing w:line="360" w:lineRule="auto"/>
        <w:ind w:firstLine="708"/>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De acordo com as definições da OMS, a sexualidade é vivida e expressa por meio de pensamentos, fantasias, desejos, crenças, atitudes, valores, comportamentos, prát</w:t>
      </w:r>
      <w:r w:rsidR="00EB440A" w:rsidRPr="00802CF7">
        <w:rPr>
          <w:rFonts w:ascii="Times New Roman" w:eastAsia="Calibri" w:hAnsi="Times New Roman" w:cs="Times New Roman"/>
          <w:sz w:val="24"/>
          <w:szCs w:val="24"/>
          <w:lang w:val="pt-PT"/>
        </w:rPr>
        <w:t xml:space="preserve">icas, papéis e relacionamentos. </w:t>
      </w:r>
      <w:r w:rsidR="00F100AD" w:rsidRPr="00802CF7">
        <w:rPr>
          <w:rFonts w:ascii="Times New Roman" w:eastAsia="Calibri" w:hAnsi="Times New Roman" w:cs="Times New Roman"/>
          <w:sz w:val="24"/>
          <w:szCs w:val="24"/>
          <w:lang w:val="pt-PT"/>
        </w:rPr>
        <w:t>Em algum</w:t>
      </w:r>
      <w:r w:rsidRPr="003012DD">
        <w:rPr>
          <w:rFonts w:ascii="Times New Roman" w:eastAsia="Calibri" w:hAnsi="Times New Roman" w:cs="Times New Roman"/>
          <w:sz w:val="24"/>
          <w:szCs w:val="24"/>
          <w:lang w:val="pt-PT"/>
        </w:rPr>
        <w:t>as sociedades, as expressões da sexualidade são alvo de normas morais, religiosas ou científicas, que vão sendo aprendidas pelas pessoas desde a infância. Em nossa sociedade, por exemplo, a sexualidade foi histórica e culturalmente limitada em suas possibilidades de vivência, devido a tabus, mitos, preconceitos e relações desiguais de poder entre homens e mulheres (CASTRO &amp; SILVA</w:t>
      </w:r>
      <w:r w:rsidRPr="003012DD">
        <w:rPr>
          <w:rFonts w:ascii="Times New Roman" w:eastAsia="Calibri" w:hAnsi="Times New Roman" w:cs="Times New Roman"/>
          <w:i/>
          <w:sz w:val="24"/>
          <w:szCs w:val="24"/>
          <w:lang w:val="pt-PT"/>
        </w:rPr>
        <w:t>etal</w:t>
      </w:r>
      <w:r w:rsidRPr="003012DD">
        <w:rPr>
          <w:rFonts w:ascii="Times New Roman" w:eastAsia="Calibri" w:hAnsi="Times New Roman" w:cs="Times New Roman"/>
          <w:sz w:val="24"/>
          <w:szCs w:val="24"/>
          <w:lang w:val="pt-PT"/>
        </w:rPr>
        <w:t>:2004).</w:t>
      </w:r>
    </w:p>
    <w:p w:rsidR="003012DD" w:rsidRPr="003012DD" w:rsidRDefault="003012DD" w:rsidP="00802CF7">
      <w:pPr>
        <w:spacing w:line="360" w:lineRule="auto"/>
        <w:ind w:firstLine="708"/>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 xml:space="preserve">Actualmente tem sido preocupação a não rotulação ou estigmatização de comportamentos sexuais em “normais” e “anormais”. Busca-se discutir os comportamentos e as práticas sexuais sem preconceitos, considerando que são relativos, dependendo da cultura, do contexto histórico, social e de vida da pessoa. </w:t>
      </w:r>
    </w:p>
    <w:p w:rsidR="002141AA" w:rsidRPr="001A0595" w:rsidRDefault="003012DD" w:rsidP="00802CF7">
      <w:pPr>
        <w:keepNext/>
        <w:keepLines/>
        <w:spacing w:before="200" w:after="0" w:line="360" w:lineRule="auto"/>
        <w:outlineLvl w:val="1"/>
        <w:rPr>
          <w:rFonts w:ascii="Times New Roman" w:eastAsia="Times New Roman" w:hAnsi="Times New Roman" w:cs="Times New Roman"/>
          <w:b/>
          <w:bCs/>
          <w:sz w:val="24"/>
          <w:szCs w:val="24"/>
          <w:lang w:val="pt-PT"/>
        </w:rPr>
      </w:pPr>
      <w:bookmarkStart w:id="2" w:name="_Toc519497248"/>
      <w:r w:rsidRPr="003012DD">
        <w:rPr>
          <w:rFonts w:ascii="Times New Roman" w:eastAsia="Times New Roman" w:hAnsi="Times New Roman" w:cs="Times New Roman"/>
          <w:b/>
          <w:bCs/>
          <w:sz w:val="24"/>
          <w:szCs w:val="24"/>
          <w:lang w:val="pt-PT"/>
        </w:rPr>
        <w:t>Ciclo de Respostas aos Estímulos Sexuais</w:t>
      </w:r>
      <w:bookmarkEnd w:id="2"/>
      <w:r w:rsidRPr="003012DD">
        <w:rPr>
          <w:rFonts w:ascii="Times New Roman" w:eastAsia="Calibri" w:hAnsi="Times New Roman" w:cs="Times New Roman"/>
          <w:sz w:val="24"/>
          <w:szCs w:val="24"/>
          <w:lang w:val="pt-PT"/>
        </w:rPr>
        <w:t xml:space="preserve">      </w:t>
      </w:r>
    </w:p>
    <w:p w:rsidR="003012DD" w:rsidRPr="003012DD" w:rsidRDefault="003012DD" w:rsidP="00802CF7">
      <w:pPr>
        <w:spacing w:line="360" w:lineRule="auto"/>
        <w:ind w:firstLine="708"/>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 xml:space="preserve"> As reflexões a sexualidade remetem aos conceitos de normal e de patológico. Antes dos estudos populacionais de Kinsey (Kinsey</w:t>
      </w:r>
      <w:r w:rsidRPr="003012DD">
        <w:rPr>
          <w:rFonts w:ascii="Times New Roman" w:eastAsia="Calibri" w:hAnsi="Times New Roman" w:cs="Times New Roman"/>
          <w:i/>
          <w:sz w:val="24"/>
          <w:szCs w:val="24"/>
          <w:lang w:val="pt-PT"/>
        </w:rPr>
        <w:t>etal</w:t>
      </w:r>
      <w:r w:rsidRPr="003012DD">
        <w:rPr>
          <w:rFonts w:ascii="Times New Roman" w:eastAsia="Calibri" w:hAnsi="Times New Roman" w:cs="Times New Roman"/>
          <w:sz w:val="24"/>
          <w:szCs w:val="24"/>
          <w:lang w:val="pt-PT"/>
        </w:rPr>
        <w:t>., 1948), “normalidade” quanto à actividade sexual era a conduta heterossexual, com excitação exclusiva dos órgãos sexuais primários. Onde os seus estudos revelaram que, as diferentes práticas sexuais que ocorriam entre os americanos envolviam, de forma ampla e irrestrita, os corpos de ambos os parceiros, concentrando-se nos genitais somente para a finalização do acto (ABDO &amp;</w:t>
      </w:r>
      <w:r w:rsidR="00EB440A" w:rsidRPr="00802CF7">
        <w:rPr>
          <w:rFonts w:ascii="Times New Roman" w:eastAsia="Calibri" w:hAnsi="Times New Roman" w:cs="Times New Roman"/>
          <w:sz w:val="24"/>
          <w:szCs w:val="24"/>
          <w:lang w:val="pt-PT"/>
        </w:rPr>
        <w:t xml:space="preserve"> FLEURY, 2006). </w:t>
      </w:r>
      <w:r w:rsidRPr="003012DD">
        <w:rPr>
          <w:rFonts w:ascii="Times New Roman" w:eastAsia="Calibri" w:hAnsi="Times New Roman" w:cs="Times New Roman"/>
          <w:sz w:val="24"/>
          <w:szCs w:val="24"/>
          <w:lang w:val="pt-PT"/>
        </w:rPr>
        <w:t>Por sua vez, Masters e Johnson, pesquisadores americanos, empreenderam nos anos 60 estudo histórico e pioneiro na área da fisiologia sexual. Com esse estudo desenvolveram um modelo de ciclo de resposta sexual constituído por quatro fases: excitação, platô, orgasmo e resolução. Cada uma dessas fases apresenta mudanças físicas características observadas tanto em homens como em mulheres (ABDO &amp;FLEURY, 2006).</w:t>
      </w:r>
    </w:p>
    <w:p w:rsidR="003012DD" w:rsidRPr="003012DD" w:rsidRDefault="003012DD" w:rsidP="00802CF7">
      <w:pPr>
        <w:spacing w:line="360" w:lineRule="auto"/>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 xml:space="preserve">         Na década de 1970, Helen Kaplan, psicanalista americana, propôs nova concepção da resposta sexual em três fases: desejo, excitação e orgasmo. Para a autora, antes da fase de excitação, há o desejo e não se justifica o platô, em vista de ser a excitação crescente, o que conduz ao orgasmo (KAPLAN, 1977). A partir da associação dos modelos propostos por Masters e Johnson e por Kaplan, a Associação Psiquiátrica Americana (2002) estabeleceu o novo modelo para o ciclo das respostas aos estímulos sexuais, definindo a resposta sexual saudável como um conjunto de quatro etapas sucessivas:</w:t>
      </w:r>
    </w:p>
    <w:p w:rsidR="003012DD" w:rsidRPr="00802CF7" w:rsidRDefault="003012DD" w:rsidP="00802CF7">
      <w:pPr>
        <w:pStyle w:val="PargrafodaLista"/>
        <w:numPr>
          <w:ilvl w:val="0"/>
          <w:numId w:val="6"/>
        </w:numPr>
        <w:spacing w:line="360" w:lineRule="auto"/>
        <w:jc w:val="both"/>
        <w:rPr>
          <w:rFonts w:ascii="Times New Roman" w:eastAsia="Calibri" w:hAnsi="Times New Roman" w:cs="Times New Roman"/>
          <w:i/>
          <w:sz w:val="20"/>
          <w:szCs w:val="20"/>
          <w:lang w:val="pt-PT"/>
        </w:rPr>
      </w:pPr>
      <w:r w:rsidRPr="00802CF7">
        <w:rPr>
          <w:rFonts w:ascii="Times New Roman" w:eastAsia="Calibri" w:hAnsi="Times New Roman" w:cs="Times New Roman"/>
          <w:i/>
          <w:sz w:val="20"/>
          <w:szCs w:val="20"/>
          <w:lang w:val="pt-PT"/>
        </w:rPr>
        <w:t>Fase de desejo sexual: o desejo sexual é vivido pela pessoa como sensações específicas que a fazem procurar ou ser receptiva à experiência sexual. As fontes que estimulam o desejo sexual variam de pessoa para pessoa. Muitos factores influenciam negativamente no desejo sexual, como estar doente, deprimido(a), ansioso(a), achar que sexo é errado, estar com raiva do(a) parceiro(a), sentir-se explorado(a) de alguma forma pelo(a) outro(a), ter medo do envolvimento afectivo, entre outros.</w:t>
      </w:r>
    </w:p>
    <w:p w:rsidR="003012DD" w:rsidRPr="00802CF7" w:rsidRDefault="003012DD" w:rsidP="00802CF7">
      <w:pPr>
        <w:pStyle w:val="PargrafodaLista"/>
        <w:numPr>
          <w:ilvl w:val="0"/>
          <w:numId w:val="6"/>
        </w:numPr>
        <w:spacing w:line="360" w:lineRule="auto"/>
        <w:jc w:val="both"/>
        <w:rPr>
          <w:rFonts w:ascii="Times New Roman" w:eastAsia="Calibri" w:hAnsi="Times New Roman" w:cs="Times New Roman"/>
          <w:i/>
          <w:sz w:val="20"/>
          <w:szCs w:val="20"/>
          <w:lang w:val="pt-PT"/>
        </w:rPr>
      </w:pPr>
      <w:r w:rsidRPr="00802CF7">
        <w:rPr>
          <w:rFonts w:ascii="Times New Roman" w:eastAsia="Calibri" w:hAnsi="Times New Roman" w:cs="Times New Roman"/>
          <w:i/>
          <w:sz w:val="20"/>
          <w:szCs w:val="20"/>
          <w:lang w:val="pt-PT"/>
        </w:rPr>
        <w:t>Fase de excitação: fase de preparação para o ato sexual, desencadeada pelo desejo. Estímulos psicológicos (pensamentos e fantasias) e/ou físicos (tato, olfacto, gustação, audição e visão) podem levar à excitação. Junto com sensações de prazer, surgem alterações corporais que são representadas basicamente, no homem, pela erecção, e na mulher, pelo vaso congestão da vagina e da vulva e pela lubrificação vaginal.</w:t>
      </w:r>
    </w:p>
    <w:p w:rsidR="003012DD" w:rsidRPr="00802CF7" w:rsidRDefault="003012DD" w:rsidP="00802CF7">
      <w:pPr>
        <w:pStyle w:val="PargrafodaLista"/>
        <w:numPr>
          <w:ilvl w:val="0"/>
          <w:numId w:val="6"/>
        </w:numPr>
        <w:spacing w:line="360" w:lineRule="auto"/>
        <w:jc w:val="both"/>
        <w:rPr>
          <w:rFonts w:ascii="Times New Roman" w:eastAsia="Calibri" w:hAnsi="Times New Roman" w:cs="Times New Roman"/>
          <w:i/>
          <w:sz w:val="20"/>
          <w:szCs w:val="20"/>
          <w:lang w:val="pt-PT"/>
        </w:rPr>
      </w:pPr>
      <w:r w:rsidRPr="00802CF7">
        <w:rPr>
          <w:rFonts w:ascii="Times New Roman" w:eastAsia="Calibri" w:hAnsi="Times New Roman" w:cs="Times New Roman"/>
          <w:i/>
          <w:sz w:val="20"/>
          <w:szCs w:val="20"/>
          <w:lang w:val="pt-PT"/>
        </w:rPr>
        <w:t xml:space="preserve">Fase de orgasmo: é o clímax de prazer sexual, que ocorre após uma fase de crescente excitação. No homem, junto com o prazer, ocorre a sensação de não conseguir mais segurar a ejaculação e, então, ela ocorre. Na mulher, ocorrem contracções musculares rítmicas em volta da entrada da vagina. </w:t>
      </w:r>
    </w:p>
    <w:p w:rsidR="003012DD" w:rsidRPr="00802CF7" w:rsidRDefault="003012DD" w:rsidP="00802CF7">
      <w:pPr>
        <w:pStyle w:val="PargrafodaLista"/>
        <w:numPr>
          <w:ilvl w:val="0"/>
          <w:numId w:val="6"/>
        </w:numPr>
        <w:spacing w:line="360" w:lineRule="auto"/>
        <w:jc w:val="both"/>
        <w:rPr>
          <w:rFonts w:ascii="Times New Roman" w:eastAsia="Calibri" w:hAnsi="Times New Roman" w:cs="Times New Roman"/>
          <w:i/>
          <w:sz w:val="20"/>
          <w:szCs w:val="20"/>
          <w:lang w:val="pt-PT"/>
        </w:rPr>
      </w:pPr>
      <w:r w:rsidRPr="00802CF7">
        <w:rPr>
          <w:rFonts w:ascii="Times New Roman" w:eastAsia="Calibri" w:hAnsi="Times New Roman" w:cs="Times New Roman"/>
          <w:i/>
          <w:sz w:val="20"/>
          <w:szCs w:val="20"/>
          <w:lang w:val="pt-PT"/>
        </w:rPr>
        <w:t xml:space="preserve">Fase de resolução: é um período em que o organismo retorna às condições físicas e emocionais usuais, considerando que, nas fases anteriores, a respiração, a circulação periférica, os batimentos cardíacos, a pressão arterial, a sudorese, entre outras manifestações do organismo, tenderiam a se pronunciar. </w:t>
      </w:r>
    </w:p>
    <w:p w:rsidR="003012DD" w:rsidRPr="003012DD" w:rsidRDefault="003012DD" w:rsidP="00802CF7">
      <w:pPr>
        <w:spacing w:line="360" w:lineRule="auto"/>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Todas essas fases também podem ser vivenciadas na masturbação, que é um componente da sexualidade e consiste no toque em áreas que dão prazer ao indivíduo, que incluem os genitais e/ou outras partes do corpo, com a finalidade de obter prazer. Assim, no entender dessa Associação, deixar de vivenciar alguma dessas fases, numa actividade sexual, não significa necessariamente que a pessoa está com algum problema. Não experimentar alguma das fases descritas pode ser uma situação transitória, dependendo de diversos factores circunstanciais de ordem biológica, psicológica ou sociocultural.</w:t>
      </w:r>
    </w:p>
    <w:p w:rsidR="0006016A" w:rsidRPr="00802CF7" w:rsidRDefault="003012DD" w:rsidP="00802CF7">
      <w:pPr>
        <w:spacing w:line="360" w:lineRule="auto"/>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 xml:space="preserve">          Podem ocorrer queixas de dificuldades nas relações sexuais</w:t>
      </w:r>
      <w:r w:rsidR="0012609D">
        <w:rPr>
          <w:rFonts w:ascii="Times New Roman" w:eastAsia="Calibri" w:hAnsi="Times New Roman" w:cs="Times New Roman"/>
          <w:sz w:val="24"/>
          <w:szCs w:val="24"/>
          <w:lang w:val="pt-PT"/>
        </w:rPr>
        <w:t xml:space="preserve"> e </w:t>
      </w:r>
      <w:r w:rsidRPr="003012DD">
        <w:rPr>
          <w:rFonts w:ascii="Times New Roman" w:eastAsia="Calibri" w:hAnsi="Times New Roman" w:cs="Times New Roman"/>
          <w:sz w:val="24"/>
          <w:szCs w:val="24"/>
          <w:lang w:val="pt-PT"/>
        </w:rPr>
        <w:t>gerar insatisfação sexual</w:t>
      </w:r>
      <w:r w:rsidR="0012609D">
        <w:rPr>
          <w:rFonts w:ascii="Times New Roman" w:eastAsia="Calibri" w:hAnsi="Times New Roman" w:cs="Times New Roman"/>
          <w:sz w:val="24"/>
          <w:szCs w:val="24"/>
          <w:lang w:val="pt-PT"/>
        </w:rPr>
        <w:t xml:space="preserve">. </w:t>
      </w:r>
      <w:r w:rsidRPr="003012DD">
        <w:rPr>
          <w:rFonts w:ascii="Times New Roman" w:eastAsia="Calibri" w:hAnsi="Times New Roman" w:cs="Times New Roman"/>
          <w:sz w:val="24"/>
          <w:szCs w:val="24"/>
          <w:lang w:val="pt-PT"/>
        </w:rPr>
        <w:t xml:space="preserve">Nas dificuldades, incluem-se, por exemplo: incapacidade de relaxar, medo ou receio de intimidade, dificuldade de comunicação com o parceiro, ansiedade quanto ao desempenho sexual, diminuição do desejo, entre </w:t>
      </w:r>
      <w:r w:rsidR="0012609D" w:rsidRPr="003012DD">
        <w:rPr>
          <w:rFonts w:ascii="Times New Roman" w:eastAsia="Calibri" w:hAnsi="Times New Roman" w:cs="Times New Roman"/>
          <w:sz w:val="24"/>
          <w:szCs w:val="24"/>
          <w:lang w:val="pt-PT"/>
        </w:rPr>
        <w:t>outras. Quando</w:t>
      </w:r>
      <w:r w:rsidRPr="003012DD">
        <w:rPr>
          <w:rFonts w:ascii="Times New Roman" w:eastAsia="Calibri" w:hAnsi="Times New Roman" w:cs="Times New Roman"/>
          <w:sz w:val="24"/>
          <w:szCs w:val="24"/>
          <w:lang w:val="pt-PT"/>
        </w:rPr>
        <w:t xml:space="preserve"> as dificuldades sexuais se tornam persistentes e recorrentes a ponto de causar sofrimento, estas devem ser investigadas com atenção, para que se possa identificar se a situação corresponde ou não a um quadro de disfunção sexual. (idem)</w:t>
      </w:r>
      <w:bookmarkStart w:id="3" w:name="_Toc519497249"/>
    </w:p>
    <w:p w:rsidR="003012DD" w:rsidRPr="0012609D" w:rsidRDefault="003012DD" w:rsidP="00802CF7">
      <w:pPr>
        <w:keepNext/>
        <w:keepLines/>
        <w:spacing w:before="200" w:after="0" w:line="360" w:lineRule="auto"/>
        <w:outlineLvl w:val="1"/>
        <w:rPr>
          <w:rFonts w:ascii="Times New Roman" w:eastAsia="Times New Roman" w:hAnsi="Times New Roman" w:cs="Times New Roman"/>
          <w:b/>
          <w:bCs/>
          <w:color w:val="4F81BD"/>
          <w:sz w:val="24"/>
          <w:szCs w:val="24"/>
          <w:lang w:val="pt-PT"/>
        </w:rPr>
      </w:pPr>
      <w:r w:rsidRPr="0012609D">
        <w:rPr>
          <w:rFonts w:ascii="Times New Roman" w:eastAsia="Times New Roman" w:hAnsi="Times New Roman" w:cs="Times New Roman"/>
          <w:b/>
          <w:bCs/>
          <w:sz w:val="24"/>
          <w:szCs w:val="24"/>
          <w:lang w:val="pt-PT"/>
        </w:rPr>
        <w:t xml:space="preserve">A definição de saúde reprodutiva </w:t>
      </w:r>
      <w:bookmarkEnd w:id="3"/>
    </w:p>
    <w:p w:rsidR="00EB440A" w:rsidRPr="00802CF7" w:rsidRDefault="003012DD" w:rsidP="00802CF7">
      <w:pPr>
        <w:spacing w:line="360" w:lineRule="auto"/>
        <w:ind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“A saúde reprodutiva é um estado geral de bem-estar físico, mental e social, e não simplesmente de ausência de doenças ou de indisposições, em todos os aspectos relacionados com o sistema reprodutivo e as suas funções e processos. Consequentemente, a saúde abrange a capacidade do desfrute de uma vida sexual satisfatória sem riscos e de procriar em liberdade para decidir o que fazer ou não fazer, quando, com quem e com que frequência.</w:t>
      </w:r>
      <w:r w:rsidR="00EB440A" w:rsidRPr="00802CF7">
        <w:rPr>
          <w:rFonts w:ascii="Times New Roman" w:eastAsia="Calibri" w:hAnsi="Times New Roman" w:cs="Times New Roman"/>
          <w:sz w:val="24"/>
          <w:szCs w:val="24"/>
          <w:lang w:val="pt-PT"/>
        </w:rPr>
        <w:t xml:space="preserve"> </w:t>
      </w:r>
      <w:r w:rsidRPr="003012DD">
        <w:rPr>
          <w:rFonts w:ascii="Times New Roman" w:eastAsia="Calibri" w:hAnsi="Times New Roman" w:cs="Times New Roman"/>
          <w:sz w:val="24"/>
          <w:szCs w:val="24"/>
          <w:lang w:val="pt-PT"/>
        </w:rPr>
        <w:t xml:space="preserve">Esta última condição leva implícito o direito do homem e da mulher a obter informação e de planificação da sua família segundo a sua escolha, assim como de outros métodos para a regulação da fecundidade que não estejam legalmente proibidos, e o acesso a métodos seguros, eficazes, disponíveis e aceitáveis, o direito a receber serviços adequados de atenção da saúde que permitam a realização da gravidez e dos partos sem riscos e dêm aos casais as máximas possibilidades de ter filhos/as sãs/sãos. </w:t>
      </w:r>
    </w:p>
    <w:p w:rsidR="00EB440A" w:rsidRPr="00802CF7" w:rsidRDefault="003012DD" w:rsidP="00802CF7">
      <w:pPr>
        <w:spacing w:line="360" w:lineRule="auto"/>
        <w:ind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De acordo com esta definição de saúde reprodutiva, a atenção da saúde reprodutiva define-se como o conjunto de métodos, técnicas e serviços que contribuam para a saúde e o bem-estar reprodutivo ao evitar e resolver problemas relacionados com a saúde reprodutiva. Também inclui a saúde sexual, cujo objectivo é o desenvolvimento da vida e das relações pessoais e não meramente a assistência e a atenção em matéria de reprodução e de doenças de transmissão sexual” (Parágrafo, 1996: 72).</w:t>
      </w:r>
    </w:p>
    <w:p w:rsidR="003012DD" w:rsidRPr="003012DD" w:rsidRDefault="003012DD" w:rsidP="00802CF7">
      <w:pPr>
        <w:spacing w:line="360" w:lineRule="auto"/>
        <w:ind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 xml:space="preserve">A nível das políticas públicas a política de população do país incorpora entre os seus objectivos e estratégias várias recomendações do Plano de Acção da CIPD. Especificamente, no objectivo nº 5, podem observar-se de forma generalizada estas orientações quando se apela a “proporcionar à população informação, formação e outros meios que permitam às mulheres, homens e adolescentes gerir a sua vida reprodutiva e sexual, em conformidade com os seus desejos, capacidades individuais e sentido de responsabilidade cívica e social” </w:t>
      </w:r>
      <w:bookmarkStart w:id="4" w:name="_Hlk19170330"/>
      <w:r w:rsidRPr="003012DD">
        <w:rPr>
          <w:rFonts w:ascii="Times New Roman" w:eastAsia="Calibri" w:hAnsi="Times New Roman" w:cs="Times New Roman"/>
          <w:sz w:val="24"/>
          <w:szCs w:val="24"/>
          <w:lang w:val="pt-PT"/>
        </w:rPr>
        <w:t xml:space="preserve">(Conselho de Ministros, 1996:80). </w:t>
      </w:r>
      <w:bookmarkEnd w:id="4"/>
      <w:r w:rsidRPr="003012DD">
        <w:rPr>
          <w:rFonts w:ascii="Times New Roman" w:eastAsia="Calibri" w:hAnsi="Times New Roman" w:cs="Times New Roman"/>
          <w:sz w:val="24"/>
          <w:szCs w:val="24"/>
          <w:lang w:val="pt-PT"/>
        </w:rPr>
        <w:t xml:space="preserve">Da mesma forma, dentro das estratégias que acompanham este objectivo, coloca-se por um lado, a necessidade de “ajudar os casais e os indivíduos a atingirem os seus objectivos reprodutivos, no contexto da promoção de uma saúde sã, da responsabilidade e bem-estar da família, do respeito pela dignidade de todos os indivíduos ao direito de escolher, livre e responsavelmente o número, o espaçamento e quando devem ter os seus filhos”. </w:t>
      </w:r>
    </w:p>
    <w:p w:rsidR="00D777B0" w:rsidRDefault="003012DD" w:rsidP="00802CF7">
      <w:pPr>
        <w:spacing w:line="360" w:lineRule="auto"/>
        <w:ind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Por outro lado, indica-se que são necessárias duas actividades consideradas importantes para a saúde sexual:</w:t>
      </w:r>
    </w:p>
    <w:p w:rsidR="00D777B0" w:rsidRPr="00D777B0" w:rsidRDefault="003012DD" w:rsidP="00D777B0">
      <w:pPr>
        <w:pStyle w:val="PargrafodaLista"/>
        <w:spacing w:line="360" w:lineRule="auto"/>
        <w:ind w:left="3000"/>
        <w:jc w:val="both"/>
        <w:rPr>
          <w:rFonts w:ascii="Times New Roman" w:eastAsia="Calibri" w:hAnsi="Times New Roman" w:cs="Times New Roman"/>
          <w:sz w:val="24"/>
          <w:szCs w:val="24"/>
          <w:lang w:val="pt-PT"/>
        </w:rPr>
      </w:pPr>
      <w:r w:rsidRPr="00D777B0">
        <w:rPr>
          <w:rFonts w:ascii="Times New Roman" w:eastAsia="Calibri" w:hAnsi="Times New Roman" w:cs="Times New Roman"/>
          <w:i/>
          <w:iCs/>
          <w:sz w:val="24"/>
          <w:szCs w:val="24"/>
          <w:lang w:val="pt-PT"/>
        </w:rPr>
        <w:t xml:space="preserve">“Prevenir situações de gravidez não desejada e reduzir complicações e acidentes relacionados com gravidez e parto, assim como a morbidade e mortalidade materna e perinatal”,. “Melhorar o acesso e a qualidade dos serviços preventivos e curativos em todas as componentes relacionadas com a abordagem abrangente de saúde reprodutiva, que inclui a atenção pré-natal, atenção ao parto, pós-parto e outros como a prevenção do HIV/SIDA. </w:t>
      </w:r>
      <w:r w:rsidR="00D777B0" w:rsidRPr="003012DD">
        <w:rPr>
          <w:rFonts w:ascii="Times New Roman" w:eastAsia="Calibri" w:hAnsi="Times New Roman" w:cs="Times New Roman"/>
          <w:sz w:val="24"/>
          <w:szCs w:val="24"/>
          <w:lang w:val="pt-PT"/>
        </w:rPr>
        <w:t>(Conselho de Ministros, 1996:80).</w:t>
      </w:r>
    </w:p>
    <w:p w:rsidR="003012DD" w:rsidRPr="00D777B0" w:rsidRDefault="003012DD" w:rsidP="00D777B0">
      <w:pPr>
        <w:spacing w:line="360" w:lineRule="auto"/>
        <w:ind w:left="780"/>
        <w:jc w:val="both"/>
        <w:rPr>
          <w:rFonts w:ascii="Times New Roman" w:eastAsia="Calibri" w:hAnsi="Times New Roman" w:cs="Times New Roman"/>
          <w:sz w:val="24"/>
          <w:szCs w:val="24"/>
          <w:lang w:val="pt-PT"/>
        </w:rPr>
      </w:pPr>
      <w:r w:rsidRPr="00D777B0">
        <w:rPr>
          <w:rFonts w:ascii="Times New Roman" w:eastAsia="Calibri" w:hAnsi="Times New Roman" w:cs="Times New Roman"/>
          <w:sz w:val="24"/>
          <w:szCs w:val="24"/>
          <w:lang w:val="pt-PT"/>
        </w:rPr>
        <w:t>Finalmente indica-se o desenvolvimento de actividades específicas e integradas com outras instituições afins, sobre informação, educação, comunicação e aconselhamento em matéria de educação familiar e saúde reprodutiva para jovens e adolescentes” (idem).</w:t>
      </w:r>
      <w:r w:rsidR="00EB440A" w:rsidRPr="00D777B0">
        <w:rPr>
          <w:rFonts w:ascii="Times New Roman" w:eastAsia="Calibri" w:hAnsi="Times New Roman" w:cs="Times New Roman"/>
          <w:sz w:val="24"/>
          <w:szCs w:val="24"/>
          <w:lang w:val="pt-PT"/>
        </w:rPr>
        <w:t xml:space="preserve"> </w:t>
      </w:r>
      <w:r w:rsidRPr="00D777B0">
        <w:rPr>
          <w:rFonts w:ascii="Times New Roman" w:eastAsia="Calibri" w:hAnsi="Times New Roman" w:cs="Times New Roman"/>
          <w:sz w:val="24"/>
          <w:szCs w:val="24"/>
          <w:lang w:val="pt-PT"/>
        </w:rPr>
        <w:t xml:space="preserve">Contudo, reconhece-se que as relações entre homens e mulheres são relações assimétricas e, portanto, de poder. No entanto e subtilmente, não se identifica nestas relações quem domina o outro; finaliza-se com a proposta de duas acções que por si mesmas podem eliminar as relações de carácter subalterno entre os homens e as mulheres. É aqui que numa perspectiva de género e a partir da óptica dos direitos humanos, que se propõe no PAIPP: </w:t>
      </w:r>
    </w:p>
    <w:p w:rsidR="003012DD" w:rsidRPr="003012DD" w:rsidRDefault="003012DD" w:rsidP="00802CF7">
      <w:pPr>
        <w:spacing w:line="360" w:lineRule="auto"/>
        <w:ind w:left="2160"/>
        <w:jc w:val="both"/>
        <w:rPr>
          <w:rFonts w:ascii="Times New Roman" w:eastAsia="Calibri" w:hAnsi="Times New Roman" w:cs="Times New Roman"/>
          <w:sz w:val="24"/>
          <w:szCs w:val="24"/>
          <w:lang w:val="pt-PT"/>
        </w:rPr>
      </w:pPr>
      <w:r w:rsidRPr="003012DD">
        <w:rPr>
          <w:rFonts w:ascii="Times New Roman" w:eastAsia="Calibri" w:hAnsi="Times New Roman" w:cs="Times New Roman"/>
          <w:i/>
          <w:sz w:val="20"/>
          <w:szCs w:val="20"/>
          <w:lang w:val="pt-PT"/>
        </w:rPr>
        <w:t>A busca da promoção da igualdade e equidade de sexo-género requer que as desiguais relações de poder que marcam as relações entre homens e mulheres sejam desconstruídas através de acções afirmativas que promovam a igualdade de oportunidades de realização de direitos, deveres, desejos e potencialidades de homens e mulheres, sendo a educação um dos instrumentos de maior importância para a redução dessas desigualdades</w:t>
      </w:r>
      <w:r w:rsidRPr="003012DD">
        <w:rPr>
          <w:rFonts w:ascii="Times New Roman" w:eastAsia="Calibri" w:hAnsi="Times New Roman" w:cs="Times New Roman"/>
          <w:sz w:val="24"/>
          <w:szCs w:val="24"/>
          <w:lang w:val="pt-PT"/>
        </w:rPr>
        <w:t xml:space="preserve"> (Gabinete Técnico de População, 2002:70).</w:t>
      </w:r>
    </w:p>
    <w:p w:rsidR="00C70E89" w:rsidRPr="00802CF7" w:rsidRDefault="003012DD" w:rsidP="00802CF7">
      <w:pPr>
        <w:spacing w:line="360" w:lineRule="auto"/>
        <w:ind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 xml:space="preserve">Em síntese, no que respeita aos direitos sexuais e reprodutivos (excluindo o relacionado com o HIV/SIDA), tal como garantidos no Artigo nº 14 do Protocolo sobre os Direitos das Mulheres (Carta Africana) e recomendados pela CIPD, podemos afirmar que: </w:t>
      </w:r>
    </w:p>
    <w:p w:rsidR="00C70E89" w:rsidRPr="00802CF7" w:rsidRDefault="003012DD" w:rsidP="00D777B0">
      <w:pPr>
        <w:pStyle w:val="PargrafodaLista"/>
        <w:numPr>
          <w:ilvl w:val="0"/>
          <w:numId w:val="16"/>
        </w:numPr>
        <w:spacing w:line="360" w:lineRule="auto"/>
        <w:jc w:val="both"/>
        <w:rPr>
          <w:rFonts w:ascii="Times New Roman" w:eastAsia="Calibri" w:hAnsi="Times New Roman" w:cs="Times New Roman"/>
          <w:i/>
          <w:sz w:val="20"/>
          <w:szCs w:val="20"/>
          <w:lang w:val="pt-PT"/>
        </w:rPr>
      </w:pPr>
      <w:r w:rsidRPr="00802CF7">
        <w:rPr>
          <w:rFonts w:ascii="Times New Roman" w:eastAsia="Calibri" w:hAnsi="Times New Roman" w:cs="Times New Roman"/>
          <w:i/>
          <w:sz w:val="20"/>
          <w:szCs w:val="20"/>
          <w:lang w:val="pt-PT"/>
        </w:rPr>
        <w:t xml:space="preserve">O regulamento para aplicação da Política Nacional de População menciona os direitos sexuais e reprodutivos e desenvolve programas dirigidos aos adolescentes na área do Sida, mas sobretudo a partir de uma abordagem ABC (Abster-se das relações sexuais, ser fiel à/ao parceira/o ou usar preservativo, correspondente às iniciais em Inglês23), em vez de adoptar um enfoque baseado no livre exercício dos direitos individuais. Na área da saúde e educação o enfoque é posto na saúde reprodutiva, incluindo todas as provisões deste artigo, com algumas restrições para o aborto </w:t>
      </w:r>
    </w:p>
    <w:p w:rsidR="003012DD" w:rsidRPr="001A0595" w:rsidRDefault="003012DD" w:rsidP="00D777B0">
      <w:pPr>
        <w:pStyle w:val="PargrafodaLista"/>
        <w:numPr>
          <w:ilvl w:val="0"/>
          <w:numId w:val="16"/>
        </w:numPr>
        <w:spacing w:line="360" w:lineRule="auto"/>
        <w:jc w:val="both"/>
        <w:rPr>
          <w:rFonts w:ascii="Times New Roman" w:eastAsia="Calibri" w:hAnsi="Times New Roman" w:cs="Times New Roman"/>
          <w:i/>
          <w:sz w:val="20"/>
          <w:szCs w:val="20"/>
          <w:lang w:val="pt-PT"/>
        </w:rPr>
      </w:pPr>
      <w:r w:rsidRPr="00802CF7">
        <w:rPr>
          <w:rFonts w:ascii="Times New Roman" w:eastAsia="Calibri" w:hAnsi="Times New Roman" w:cs="Times New Roman"/>
          <w:i/>
          <w:sz w:val="20"/>
          <w:szCs w:val="20"/>
          <w:lang w:val="pt-PT"/>
        </w:rPr>
        <w:t xml:space="preserve">A implementação destas políticas e regulamentos está comprometida pela pouca extensão da rede sanitária e ausência de programas para desenvolver alternativas na comunidade. </w:t>
      </w:r>
    </w:p>
    <w:p w:rsidR="00D05356" w:rsidRPr="001A0595" w:rsidRDefault="003012DD" w:rsidP="001A0595">
      <w:pPr>
        <w:keepNext/>
        <w:keepLines/>
        <w:spacing w:before="200" w:after="0" w:line="360" w:lineRule="auto"/>
        <w:outlineLvl w:val="1"/>
        <w:rPr>
          <w:rFonts w:ascii="Times New Roman" w:eastAsia="Times New Roman" w:hAnsi="Times New Roman" w:cs="Times New Roman"/>
          <w:b/>
          <w:bCs/>
          <w:sz w:val="24"/>
          <w:szCs w:val="24"/>
          <w:lang w:val="pt-PT"/>
        </w:rPr>
      </w:pPr>
      <w:bookmarkStart w:id="5" w:name="_Toc519497250"/>
      <w:r w:rsidRPr="003012DD">
        <w:rPr>
          <w:rFonts w:ascii="Times New Roman" w:eastAsia="Times New Roman" w:hAnsi="Times New Roman" w:cs="Times New Roman"/>
          <w:b/>
          <w:bCs/>
          <w:sz w:val="24"/>
          <w:szCs w:val="24"/>
          <w:lang w:val="pt-PT"/>
        </w:rPr>
        <w:t>Abordando a saúde sexual na atenção básica</w:t>
      </w:r>
      <w:bookmarkEnd w:id="5"/>
    </w:p>
    <w:p w:rsidR="00D05356" w:rsidRPr="00802CF7" w:rsidRDefault="003012DD" w:rsidP="00802CF7">
      <w:pPr>
        <w:spacing w:line="360" w:lineRule="auto"/>
        <w:ind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A Organização Mundial de Saúde (OMS) define saúde sexual como um estado físico, emocional, mental e social de bem-estar em relação à sexualidade; não é meramente ausência de doenças, disfunções ou debilidades. A saúde sexual requer abordagem positiva e respeitosa da sexualidade, das relações sexuais, tanto quanto a possibilidade de ter experiências prazerosas e sexo seguro, livre de coerção, discriminação e violência. Para se alcançar e manter a saúde sexual, os direitos sexuais de todas as pessoas devem ser respeitados, protegidos e satisfeitos.</w:t>
      </w:r>
      <w:r w:rsidR="00D05356" w:rsidRPr="00802CF7">
        <w:rPr>
          <w:rFonts w:ascii="Times New Roman" w:eastAsia="Calibri" w:hAnsi="Times New Roman" w:cs="Times New Roman"/>
          <w:sz w:val="24"/>
          <w:szCs w:val="24"/>
          <w:lang w:val="pt-PT"/>
        </w:rPr>
        <w:t xml:space="preserve"> </w:t>
      </w:r>
      <w:r w:rsidRPr="003012DD">
        <w:rPr>
          <w:rFonts w:ascii="Times New Roman" w:eastAsia="Calibri" w:hAnsi="Times New Roman" w:cs="Times New Roman"/>
          <w:sz w:val="24"/>
          <w:szCs w:val="24"/>
          <w:lang w:val="pt-PT"/>
        </w:rPr>
        <w:t>A saúde sexual é um tema importante a ser incorporado às acções desenvolvidas na Atenção Básica, com a finalidade de contribuir para uma melhor qualidade de vida e de saúde das pessoas. Tradicionalmente, as questões relacionadas à saúde sexual são pouco ou mesmo não são abordadas.</w:t>
      </w:r>
    </w:p>
    <w:p w:rsidR="003012DD" w:rsidRPr="003012DD" w:rsidRDefault="003012DD" w:rsidP="00802CF7">
      <w:pPr>
        <w:spacing w:line="360" w:lineRule="auto"/>
        <w:ind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Os profissionais de saúde, em geral, sentem dificuldades de abordar os aspectos relacionados à sexualidade ou à saúde sexual de seus pacientes. Trata-se de uma questão que levanta polémicas, na medida em que a compreensão da sexualidade está muito marcada por preconceitos e tabus, e os profissionais de saúde não se sentem preparados ou se sentem desconfortáveis em lidar com o tema. As equipes de Atenção Básica/Saúde da Família têm um papel fundamental na promoção da saúde sexual e da saúde reprodutiva e na identificação das dificuldades e disfunções sexuais, tendo em vista a sua actuação mais próxima das pessoas em seu contexto familiar e social.</w:t>
      </w:r>
    </w:p>
    <w:p w:rsidR="00D05356" w:rsidRPr="001A0595" w:rsidRDefault="003012DD" w:rsidP="001A0595">
      <w:pPr>
        <w:keepNext/>
        <w:keepLines/>
        <w:spacing w:before="200" w:after="0" w:line="360" w:lineRule="auto"/>
        <w:outlineLvl w:val="1"/>
        <w:rPr>
          <w:rFonts w:ascii="Times New Roman" w:eastAsia="Times New Roman" w:hAnsi="Times New Roman" w:cs="Times New Roman"/>
          <w:b/>
          <w:bCs/>
          <w:sz w:val="24"/>
          <w:szCs w:val="24"/>
          <w:lang w:val="pt-PT"/>
        </w:rPr>
      </w:pPr>
      <w:bookmarkStart w:id="6" w:name="_Toc519497251"/>
      <w:r w:rsidRPr="003012DD">
        <w:rPr>
          <w:rFonts w:ascii="Times New Roman" w:eastAsia="Times New Roman" w:hAnsi="Times New Roman" w:cs="Times New Roman"/>
          <w:b/>
          <w:bCs/>
          <w:sz w:val="24"/>
          <w:szCs w:val="24"/>
          <w:lang w:val="pt-PT"/>
        </w:rPr>
        <w:t>Saúde Reprodutiva Na Atenção Básica</w:t>
      </w:r>
      <w:bookmarkEnd w:id="6"/>
    </w:p>
    <w:p w:rsidR="003012DD" w:rsidRPr="003012DD" w:rsidRDefault="003012DD" w:rsidP="00802CF7">
      <w:pPr>
        <w:spacing w:line="360" w:lineRule="auto"/>
        <w:ind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 xml:space="preserve">O programa de acções resultante da IV Conferência Internacional sobre População e Desenvolvimento, realizada no Cairo, em 1994, estabelece, entre outras metas importantes, que todos os países deveriam se esforçar para que, até o ano de 2015, a saúde reprodutiva esteja ao alcance de todas as pessoas, de idades apropriadas, por meio de um sistema de Atenção Básica à Saúde (NACIONES UNIDAS, 1995 </w:t>
      </w:r>
      <w:r w:rsidRPr="003012DD">
        <w:rPr>
          <w:rFonts w:ascii="Times New Roman" w:eastAsia="Calibri" w:hAnsi="Times New Roman" w:cs="Times New Roman"/>
          <w:i/>
          <w:sz w:val="24"/>
          <w:szCs w:val="24"/>
          <w:lang w:val="pt-PT"/>
        </w:rPr>
        <w:t>apud</w:t>
      </w:r>
      <w:r w:rsidRPr="003012DD">
        <w:rPr>
          <w:rFonts w:ascii="Times New Roman" w:eastAsia="Calibri" w:hAnsi="Times New Roman" w:cs="Times New Roman"/>
          <w:sz w:val="24"/>
          <w:szCs w:val="24"/>
          <w:lang w:val="pt-PT"/>
        </w:rPr>
        <w:t xml:space="preserve"> CORRÊA, &amp; JANUZZI, 2006). Nesse mesmo documento, o conceito sobre saúde reprodutiva avançou em relação às concepções anteriores, por incorporar de forma explícita os homens nas questões relativas à saúde reprodutiva e também por atribuir devida importância à saúde sexual no contexto da atenção à saúde reprodutiva. </w:t>
      </w:r>
    </w:p>
    <w:p w:rsidR="003012DD" w:rsidRPr="003012DD" w:rsidRDefault="003012DD" w:rsidP="00802CF7">
      <w:pPr>
        <w:spacing w:line="360" w:lineRule="auto"/>
        <w:ind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O Ministério da Saúde define Atenção Básica como um conjunto de acções, no âmbito individual ou colectivo, que abrange a promoção e a protecção da saúde, a prevenção de agravos, o diagnóstico, o tratamento, a reabilitação e a manutenção da saúde. Deve ser desenvolvida sob a forma de trabalho em equipa e ser dirigida a populações de territórios bem delimitados, pelas quais a equipe assume responsabilidade sanitária (BRASIL, 2007).</w:t>
      </w:r>
    </w:p>
    <w:p w:rsidR="00D05356" w:rsidRPr="001A0595" w:rsidRDefault="003012DD" w:rsidP="001A0595">
      <w:pPr>
        <w:keepNext/>
        <w:keepLines/>
        <w:spacing w:before="200" w:after="0" w:line="360" w:lineRule="auto"/>
        <w:outlineLvl w:val="1"/>
        <w:rPr>
          <w:rFonts w:ascii="Times New Roman" w:eastAsia="Times New Roman" w:hAnsi="Times New Roman" w:cs="Times New Roman"/>
          <w:b/>
          <w:bCs/>
          <w:sz w:val="24"/>
          <w:szCs w:val="24"/>
          <w:lang w:val="pt-PT"/>
        </w:rPr>
      </w:pPr>
      <w:bookmarkStart w:id="7" w:name="_Toc519497253"/>
      <w:r w:rsidRPr="003012DD">
        <w:rPr>
          <w:rFonts w:ascii="Times New Roman" w:eastAsia="Times New Roman" w:hAnsi="Times New Roman" w:cs="Times New Roman"/>
          <w:b/>
          <w:bCs/>
          <w:sz w:val="24"/>
          <w:szCs w:val="24"/>
          <w:lang w:val="pt-PT"/>
        </w:rPr>
        <w:t xml:space="preserve">Planeamento Reprodutivo </w:t>
      </w:r>
      <w:r w:rsidR="00D777B0">
        <w:rPr>
          <w:rFonts w:ascii="Times New Roman" w:eastAsia="Times New Roman" w:hAnsi="Times New Roman" w:cs="Times New Roman"/>
          <w:b/>
          <w:bCs/>
          <w:sz w:val="24"/>
          <w:szCs w:val="24"/>
          <w:lang w:val="pt-PT"/>
        </w:rPr>
        <w:t>e</w:t>
      </w:r>
      <w:r w:rsidRPr="003012DD">
        <w:rPr>
          <w:rFonts w:ascii="Times New Roman" w:eastAsia="Times New Roman" w:hAnsi="Times New Roman" w:cs="Times New Roman"/>
          <w:b/>
          <w:bCs/>
          <w:sz w:val="24"/>
          <w:szCs w:val="24"/>
          <w:lang w:val="pt-PT"/>
        </w:rPr>
        <w:t xml:space="preserve"> Controle de Natalidade</w:t>
      </w:r>
      <w:bookmarkEnd w:id="7"/>
    </w:p>
    <w:p w:rsidR="003012DD" w:rsidRPr="003012DD" w:rsidRDefault="003012DD" w:rsidP="00802CF7">
      <w:pPr>
        <w:spacing w:line="360" w:lineRule="auto"/>
        <w:ind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É</w:t>
      </w:r>
      <w:r w:rsidR="00D777B0">
        <w:rPr>
          <w:rFonts w:ascii="Times New Roman" w:eastAsia="Calibri" w:hAnsi="Times New Roman" w:cs="Times New Roman"/>
          <w:sz w:val="24"/>
          <w:szCs w:val="24"/>
          <w:lang w:val="pt-PT"/>
        </w:rPr>
        <w:t xml:space="preserve"> </w:t>
      </w:r>
      <w:r w:rsidRPr="003012DD">
        <w:rPr>
          <w:rFonts w:ascii="Times New Roman" w:eastAsia="Calibri" w:hAnsi="Times New Roman" w:cs="Times New Roman"/>
          <w:sz w:val="24"/>
          <w:szCs w:val="24"/>
          <w:lang w:val="pt-PT"/>
        </w:rPr>
        <w:t xml:space="preserve">frequente a utilização do termo controle de natalidade como sinónimo de planeamento reprodutivo, todavia se tratam de conceitos diferentes. O controle de natalidade implica imposições do governo sobre a vida reprodutiva de homens e mulheres. O planeamento reprodutivo baseia-se no respeito aos direitos sexuais e aos direitos reprodutivos. Existem teorias que correlacionam pobreza e número de filhos. Entretanto, sobre a questão de uma possível “explosão demográfica”, no Brasil, os dados demonstram o contrário. </w:t>
      </w:r>
    </w:p>
    <w:p w:rsidR="00467BDE" w:rsidRDefault="003012DD" w:rsidP="00802CF7">
      <w:pPr>
        <w:spacing w:line="360" w:lineRule="auto"/>
        <w:ind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 xml:space="preserve">O processo de declínio da fecundidade, sobretudo a partir dos anos 80, generalizou-se por todas as regiões e estratos sociais, de modo que, mesmo as regiões que antes tinham fecundidade elevada, experimentaram notável declínio de seu valor. Essa acentuada queda da fecundidade não se fez acompanhar de alterações significativas na situação de pobreza e desigualdades sociais existentes. Segundo relatórios do Banco Mundial, durante as últimas duas décadas, o processo de concentração de renda se acentuou. De acordo com </w:t>
      </w:r>
      <w:r w:rsidR="00467BDE">
        <w:rPr>
          <w:rFonts w:ascii="Times New Roman" w:eastAsia="Calibri" w:hAnsi="Times New Roman" w:cs="Times New Roman"/>
          <w:sz w:val="24"/>
          <w:szCs w:val="24"/>
          <w:lang w:val="pt-PT"/>
        </w:rPr>
        <w:t>os</w:t>
      </w:r>
      <w:r w:rsidRPr="003012DD">
        <w:rPr>
          <w:rFonts w:ascii="Times New Roman" w:eastAsia="Calibri" w:hAnsi="Times New Roman" w:cs="Times New Roman"/>
          <w:sz w:val="24"/>
          <w:szCs w:val="24"/>
          <w:lang w:val="pt-PT"/>
        </w:rPr>
        <w:t xml:space="preserve"> relatórios</w:t>
      </w:r>
      <w:r w:rsidR="00467BDE">
        <w:rPr>
          <w:rFonts w:ascii="Times New Roman" w:eastAsia="Calibri" w:hAnsi="Times New Roman" w:cs="Times New Roman"/>
          <w:sz w:val="24"/>
          <w:szCs w:val="24"/>
          <w:lang w:val="pt-PT"/>
        </w:rPr>
        <w:t xml:space="preserve"> internacional</w:t>
      </w:r>
      <w:r w:rsidRPr="003012DD">
        <w:rPr>
          <w:rFonts w:ascii="Times New Roman" w:eastAsia="Calibri" w:hAnsi="Times New Roman" w:cs="Times New Roman"/>
          <w:sz w:val="24"/>
          <w:szCs w:val="24"/>
          <w:lang w:val="pt-PT"/>
        </w:rPr>
        <w:t>, a</w:t>
      </w:r>
      <w:r w:rsidR="00467BDE">
        <w:rPr>
          <w:rFonts w:ascii="Times New Roman" w:eastAsia="Calibri" w:hAnsi="Times New Roman" w:cs="Times New Roman"/>
          <w:sz w:val="24"/>
          <w:szCs w:val="24"/>
          <w:lang w:val="pt-PT"/>
        </w:rPr>
        <w:t>s</w:t>
      </w:r>
      <w:r w:rsidRPr="003012DD">
        <w:rPr>
          <w:rFonts w:ascii="Times New Roman" w:eastAsia="Calibri" w:hAnsi="Times New Roman" w:cs="Times New Roman"/>
          <w:sz w:val="24"/>
          <w:szCs w:val="24"/>
          <w:lang w:val="pt-PT"/>
        </w:rPr>
        <w:t xml:space="preserve"> sociedade</w:t>
      </w:r>
      <w:r w:rsidR="00467BDE">
        <w:rPr>
          <w:rFonts w:ascii="Times New Roman" w:eastAsia="Calibri" w:hAnsi="Times New Roman" w:cs="Times New Roman"/>
          <w:sz w:val="24"/>
          <w:szCs w:val="24"/>
          <w:lang w:val="pt-PT"/>
        </w:rPr>
        <w:t xml:space="preserve">s </w:t>
      </w:r>
      <w:r w:rsidRPr="003012DD">
        <w:rPr>
          <w:rFonts w:ascii="Times New Roman" w:eastAsia="Calibri" w:hAnsi="Times New Roman" w:cs="Times New Roman"/>
          <w:sz w:val="24"/>
          <w:szCs w:val="24"/>
          <w:lang w:val="pt-PT"/>
        </w:rPr>
        <w:t xml:space="preserve">tem se caracterizado como uma das mais desiguais, em comparação com outras nações (BRASIL, 2005d). </w:t>
      </w:r>
    </w:p>
    <w:p w:rsidR="003012DD" w:rsidRPr="003012DD" w:rsidRDefault="003012DD" w:rsidP="00802CF7">
      <w:pPr>
        <w:spacing w:line="360" w:lineRule="auto"/>
        <w:ind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 xml:space="preserve">Os indicadores também apontam que essa situação é pior entre as mulheres, de um modo geral, </w:t>
      </w:r>
      <w:r w:rsidRPr="003012DD">
        <w:rPr>
          <w:rFonts w:ascii="Times New Roman" w:eastAsia="Calibri" w:hAnsi="Times New Roman" w:cs="Times New Roman"/>
          <w:i/>
          <w:sz w:val="24"/>
          <w:szCs w:val="24"/>
          <w:lang w:val="pt-PT"/>
        </w:rPr>
        <w:t>afrodescendente</w:t>
      </w:r>
      <w:r w:rsidRPr="003012DD">
        <w:rPr>
          <w:rFonts w:ascii="Times New Roman" w:eastAsia="Calibri" w:hAnsi="Times New Roman" w:cs="Times New Roman"/>
          <w:sz w:val="24"/>
          <w:szCs w:val="24"/>
          <w:lang w:val="pt-PT"/>
        </w:rPr>
        <w:t xml:space="preserve"> (BRASIL, 2005). </w:t>
      </w:r>
      <w:r w:rsidR="00467BDE">
        <w:rPr>
          <w:rFonts w:ascii="Times New Roman" w:eastAsia="Calibri" w:hAnsi="Times New Roman" w:cs="Times New Roman"/>
          <w:sz w:val="24"/>
          <w:szCs w:val="24"/>
          <w:lang w:val="pt-PT"/>
        </w:rPr>
        <w:t>Por ex. o</w:t>
      </w:r>
      <w:r w:rsidRPr="003012DD">
        <w:rPr>
          <w:rFonts w:ascii="Times New Roman" w:eastAsia="Calibri" w:hAnsi="Times New Roman" w:cs="Times New Roman"/>
          <w:sz w:val="24"/>
          <w:szCs w:val="24"/>
          <w:lang w:val="pt-PT"/>
        </w:rPr>
        <w:t xml:space="preserve"> governo brasileiro pauta-se pelo respeito e garantia dos direitos sexuais e dos direitos reprodutivos e, nesse sentido, coloca-se claramente contrário a qualquer política com carácter controle da natalidade, ou seja, que implique imposições do governo sobre a vida reprodutiva de homens e mulheres. A superação da situação de pobreza existente no País passa pela implementação de políticas que promovam o desenvolvimento sustentável e a distribuição mais igualitária da riqueza, diminuindo dessa forma as enormes desigualdades existentes.</w:t>
      </w:r>
    </w:p>
    <w:p w:rsidR="003012DD" w:rsidRPr="003012DD" w:rsidRDefault="003012DD" w:rsidP="00802CF7">
      <w:pPr>
        <w:keepNext/>
        <w:keepLines/>
        <w:spacing w:before="200" w:after="0" w:line="360" w:lineRule="auto"/>
        <w:outlineLvl w:val="1"/>
        <w:rPr>
          <w:rFonts w:ascii="Times New Roman" w:eastAsia="Times New Roman" w:hAnsi="Times New Roman" w:cs="Times New Roman"/>
          <w:b/>
          <w:bCs/>
          <w:sz w:val="24"/>
          <w:szCs w:val="24"/>
          <w:lang w:val="pt-PT"/>
        </w:rPr>
      </w:pPr>
      <w:bookmarkStart w:id="8" w:name="_Toc519497254"/>
      <w:r w:rsidRPr="003012DD">
        <w:rPr>
          <w:rFonts w:ascii="Times New Roman" w:eastAsia="Times New Roman" w:hAnsi="Times New Roman" w:cs="Times New Roman"/>
          <w:b/>
          <w:bCs/>
          <w:sz w:val="24"/>
          <w:szCs w:val="24"/>
          <w:lang w:val="pt-PT"/>
        </w:rPr>
        <w:t>Anticoncepção</w:t>
      </w:r>
      <w:bookmarkEnd w:id="8"/>
    </w:p>
    <w:p w:rsidR="003012DD" w:rsidRPr="003012DD" w:rsidRDefault="003012DD" w:rsidP="00802CF7">
      <w:pPr>
        <w:spacing w:line="360" w:lineRule="auto"/>
        <w:ind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 xml:space="preserve">Para (ALDRIGHI, &amp; PETTA, </w:t>
      </w:r>
      <w:r w:rsidR="00467BDE" w:rsidRPr="003012DD">
        <w:rPr>
          <w:rFonts w:ascii="Times New Roman" w:eastAsia="Calibri" w:hAnsi="Times New Roman" w:cs="Times New Roman"/>
          <w:sz w:val="24"/>
          <w:szCs w:val="24"/>
          <w:lang w:val="pt-PT"/>
        </w:rPr>
        <w:t>2005) A</w:t>
      </w:r>
      <w:r w:rsidRPr="003012DD">
        <w:rPr>
          <w:rFonts w:ascii="Times New Roman" w:eastAsia="Calibri" w:hAnsi="Times New Roman" w:cs="Times New Roman"/>
          <w:sz w:val="24"/>
          <w:szCs w:val="24"/>
          <w:lang w:val="pt-PT"/>
        </w:rPr>
        <w:t xml:space="preserve"> atenção em anticoncepção pressupõe a oferta de informações, de aconselhamento, de acompanhamento clínico e de um leque de métodos e técnicas anticoncepcionais, cientificamente aceitos, que não coloquem em risco a vida e a saúde das pessoas, para homens, mulheres, adultos (as) e adolescentes, num contexto de escolha livre e informada. Na atenção em anticoncepção, é muito importante oferecer diferentes opções de métodos anticoncepcionais para todas as etapas da vida reprodutiva, de modo que as pessoas tenham a possibilidade de escolher o método mais apropriado às suas necessidades e circunstâncias de vida. Entre tanto, embora a oferta de diversos métodos e técnicas contraceptivas tem-se verificado alguma resistência na adopção dos métodos e técnicas nas comunidades por conta da influência que os hábitos, costumes e crenças exercem sobre a população.</w:t>
      </w:r>
    </w:p>
    <w:p w:rsidR="003012DD" w:rsidRPr="003012DD" w:rsidRDefault="003012DD" w:rsidP="00802CF7">
      <w:pPr>
        <w:spacing w:line="360" w:lineRule="auto"/>
        <w:ind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Em meio a uma realidade global de índices elevados de doenças transmissíveis por via sexual, torna-se imprescindível a abordagem da prevenção das DTS/HIV/Sida, dando-se ênfase à dupla protecção, que é dada pelo uso combinado do preservativo masculino ou feminino com algum outro método anticoncepcional, tendo como finalidade promover, ao mesmo tempo, a prevenção da gravidez e a prevenção da infecção pelo HIV/Sida e por outras DTS</w:t>
      </w:r>
      <w:r w:rsidR="00467BDE">
        <w:rPr>
          <w:rFonts w:ascii="Times New Roman" w:eastAsia="Calibri" w:hAnsi="Times New Roman" w:cs="Times New Roman"/>
          <w:sz w:val="24"/>
          <w:szCs w:val="24"/>
          <w:lang w:val="pt-PT"/>
        </w:rPr>
        <w:t>,</w:t>
      </w:r>
      <w:r w:rsidR="00467BDE" w:rsidRPr="00467BDE">
        <w:rPr>
          <w:rFonts w:ascii="Times New Roman" w:eastAsia="Calibri" w:hAnsi="Times New Roman" w:cs="Times New Roman"/>
          <w:sz w:val="24"/>
          <w:szCs w:val="24"/>
          <w:lang w:val="pt-PT"/>
        </w:rPr>
        <w:t xml:space="preserve"> </w:t>
      </w:r>
      <w:r w:rsidR="00467BDE" w:rsidRPr="003012DD">
        <w:rPr>
          <w:rFonts w:ascii="Times New Roman" w:eastAsia="Calibri" w:hAnsi="Times New Roman" w:cs="Times New Roman"/>
          <w:sz w:val="24"/>
          <w:szCs w:val="24"/>
          <w:lang w:val="pt-PT"/>
        </w:rPr>
        <w:t>(ALDRIGHI, &amp; PETTA, 2005)</w:t>
      </w:r>
      <w:r w:rsidR="00467BDE">
        <w:rPr>
          <w:rFonts w:ascii="Times New Roman" w:eastAsia="Calibri" w:hAnsi="Times New Roman" w:cs="Times New Roman"/>
          <w:sz w:val="24"/>
          <w:szCs w:val="24"/>
          <w:lang w:val="pt-PT"/>
        </w:rPr>
        <w:t>.</w:t>
      </w:r>
    </w:p>
    <w:p w:rsidR="00D05356" w:rsidRPr="001A0595" w:rsidRDefault="00931B91" w:rsidP="001A0595">
      <w:pPr>
        <w:keepNext/>
        <w:keepLines/>
        <w:spacing w:before="200" w:after="0" w:line="360" w:lineRule="auto"/>
        <w:outlineLvl w:val="1"/>
        <w:rPr>
          <w:rFonts w:ascii="Times New Roman" w:eastAsia="Times New Roman" w:hAnsi="Times New Roman" w:cs="Times New Roman"/>
          <w:b/>
          <w:bCs/>
          <w:sz w:val="24"/>
          <w:szCs w:val="24"/>
          <w:lang w:val="pt-PT"/>
        </w:rPr>
      </w:pPr>
      <w:bookmarkStart w:id="9" w:name="_Toc519497255"/>
      <w:r w:rsidRPr="001A0595">
        <w:rPr>
          <w:rFonts w:ascii="Times New Roman" w:eastAsia="Times New Roman" w:hAnsi="Times New Roman" w:cs="Times New Roman"/>
          <w:b/>
          <w:bCs/>
          <w:sz w:val="24"/>
          <w:szCs w:val="24"/>
          <w:lang w:val="pt-PT"/>
        </w:rPr>
        <w:t>Anticoncepção n</w:t>
      </w:r>
      <w:r w:rsidR="003012DD" w:rsidRPr="003012DD">
        <w:rPr>
          <w:rFonts w:ascii="Times New Roman" w:eastAsia="Times New Roman" w:hAnsi="Times New Roman" w:cs="Times New Roman"/>
          <w:b/>
          <w:bCs/>
          <w:sz w:val="24"/>
          <w:szCs w:val="24"/>
          <w:lang w:val="pt-PT"/>
        </w:rPr>
        <w:t>a Adolescência</w:t>
      </w:r>
      <w:bookmarkEnd w:id="9"/>
    </w:p>
    <w:p w:rsidR="003012DD" w:rsidRPr="003012DD" w:rsidRDefault="003012DD" w:rsidP="00802CF7">
      <w:pPr>
        <w:spacing w:line="360" w:lineRule="auto"/>
        <w:ind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Para (GUAZZELLI&amp;PETTA, 2005), Os adolescentes e os jovens têm direito de ter acesso a informações e à educação em saúde sexual e saúde reprodutiva e de ter acesso a meios e métodos que os auxiliem a evitar uma gravidez não planeada, bem como a prevenir-se contra as doenças sexualmente transmissíveis, respeitando-se a sua liberdade de escolha.</w:t>
      </w:r>
      <w:r w:rsidR="00D05356" w:rsidRPr="00802CF7">
        <w:rPr>
          <w:rFonts w:ascii="Times New Roman" w:eastAsia="Calibri" w:hAnsi="Times New Roman" w:cs="Times New Roman"/>
          <w:sz w:val="24"/>
          <w:szCs w:val="24"/>
          <w:lang w:val="pt-PT"/>
        </w:rPr>
        <w:t xml:space="preserve"> </w:t>
      </w:r>
      <w:r w:rsidRPr="003012DD">
        <w:rPr>
          <w:rFonts w:ascii="Times New Roman" w:eastAsia="Calibri" w:hAnsi="Times New Roman" w:cs="Times New Roman"/>
          <w:sz w:val="24"/>
          <w:szCs w:val="24"/>
          <w:lang w:val="pt-PT"/>
        </w:rPr>
        <w:t>Nas últimas décadas, vários estudos vêm demonstrando que a primeira relação sexual está acontecendo cada vez mais cedo. É importante que adolescentes e jovens estejam informados sobre sexo seguro e dupla protecção, incentivando-se o uso da camisinha masculina ou feminina em todas as relações sexuais, associada a outro método anticoncepcional. É preciso enfatizar que adolescentes e jovens têm direito a atendimento sem discriminação de qualquer tipo, com garantia de privacidade, segredo e confidencialidade, ou seja, de serem atendidos sozinhos, em espaço privado, onde possa ser reconhecida sua autonomia e individualidade. Por outro lado, recomenda-se que a equipe de saúde busque sempre encorajar o adolescente a dialogar com a sua família, de modo a envolvê-la no acompanhamento dos seus problemas.</w:t>
      </w:r>
    </w:p>
    <w:p w:rsidR="00562DBF" w:rsidRDefault="003012DD" w:rsidP="00802CF7">
      <w:pPr>
        <w:spacing w:line="360" w:lineRule="auto"/>
        <w:ind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Algumas situações são consideradas de excepção quanto ao sigilo, como os atendimentos a pessoas com deficiência intelectual, distúrbios psiquiátricos e nos casos em que há referência explícita ou suspeita de maus-tratos e/ou de abuso sexual (nos casos de maus-tratos e/ou de abuso sexual, é obrigatória a notificação ao Conselho Tutelar ou à Vara da Infância e da Juventude).</w:t>
      </w:r>
    </w:p>
    <w:p w:rsidR="003012DD" w:rsidRPr="003012DD" w:rsidRDefault="003012DD" w:rsidP="00966EB7">
      <w:pPr>
        <w:spacing w:line="360" w:lineRule="auto"/>
        <w:ind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 xml:space="preserve"> Em todos esses casos citados, além de ser determinante a quebra de sigilo, recomenda-se que deverá fazer parte da consulta outro profissional da equipe de saúde, para salvaguardar o profissional de saúde responsável pelo atendimento de possíveis situações que coloquem em questão as suas condutas. Além disso, quando o(a) adolescente não tem capacidade de avaliar seu problema e de conduzir-se por seus próprios meios para solucioná-los, situação em que a não revelação das condições de saúde pode acarretar danos ao paciente, é fundamental a quebra do sigilo para seus pais ou responsáveis legais, de modo a garantir que o(a) adolescente tenha os cuidados necessários à manutenção de sua saúde.</w:t>
      </w:r>
      <w:r w:rsidR="00562DBF">
        <w:rPr>
          <w:rFonts w:ascii="Times New Roman" w:eastAsia="Calibri" w:hAnsi="Times New Roman" w:cs="Times New Roman"/>
          <w:sz w:val="24"/>
          <w:szCs w:val="24"/>
          <w:lang w:val="pt-PT"/>
        </w:rPr>
        <w:t xml:space="preserve"> </w:t>
      </w:r>
      <w:r w:rsidR="00D05356" w:rsidRPr="00802CF7">
        <w:rPr>
          <w:rFonts w:ascii="Times New Roman" w:eastAsia="Calibri" w:hAnsi="Times New Roman" w:cs="Times New Roman"/>
          <w:sz w:val="24"/>
          <w:szCs w:val="24"/>
          <w:lang w:val="pt-PT"/>
        </w:rPr>
        <w:t>Se o</w:t>
      </w:r>
      <w:r w:rsidRPr="003012DD">
        <w:rPr>
          <w:rFonts w:ascii="Times New Roman" w:eastAsia="Calibri" w:hAnsi="Times New Roman" w:cs="Times New Roman"/>
          <w:sz w:val="24"/>
          <w:szCs w:val="24"/>
          <w:lang w:val="pt-PT"/>
        </w:rPr>
        <w:t xml:space="preserve"> adolescente informar que a relação sexual não resulta de violência sexual, o profissional de saúde deve registar tal informação no prontuário e prescrever o método anticoncepcional adequado, salvaguardando-se, dessa forma, de qualquer penalidade legal (GUAZZELLI&amp;PETTA, 2005).</w:t>
      </w:r>
      <w:r w:rsidR="00966EB7">
        <w:rPr>
          <w:rFonts w:ascii="Times New Roman" w:eastAsia="Calibri" w:hAnsi="Times New Roman" w:cs="Times New Roman"/>
          <w:sz w:val="24"/>
          <w:szCs w:val="24"/>
          <w:lang w:val="pt-PT"/>
        </w:rPr>
        <w:t xml:space="preserve"> </w:t>
      </w:r>
      <w:r w:rsidRPr="003012DD">
        <w:rPr>
          <w:rFonts w:ascii="Times New Roman" w:eastAsia="Calibri" w:hAnsi="Times New Roman" w:cs="Times New Roman"/>
          <w:sz w:val="24"/>
          <w:szCs w:val="24"/>
          <w:lang w:val="pt-PT"/>
        </w:rPr>
        <w:t>Sintetizando, os adolescentes têm a faculdade de usar os métodos anticoncepcionais</w:t>
      </w:r>
      <w:r w:rsidR="004D0797" w:rsidRPr="00802CF7">
        <w:rPr>
          <w:rFonts w:ascii="Times New Roman" w:eastAsia="Calibri" w:hAnsi="Times New Roman" w:cs="Times New Roman"/>
          <w:sz w:val="24"/>
          <w:szCs w:val="24"/>
          <w:lang w:val="pt-PT"/>
        </w:rPr>
        <w:t xml:space="preserve"> disponíveis. Porem, uns t</w:t>
      </w:r>
      <w:r w:rsidR="004D0797" w:rsidRPr="003012DD">
        <w:rPr>
          <w:rFonts w:ascii="Times New Roman" w:eastAsia="Calibri" w:hAnsi="Times New Roman" w:cs="Times New Roman"/>
          <w:sz w:val="24"/>
          <w:szCs w:val="24"/>
          <w:lang w:val="pt-PT"/>
        </w:rPr>
        <w:t>êm</w:t>
      </w:r>
      <w:r w:rsidRPr="003012DD">
        <w:rPr>
          <w:rFonts w:ascii="Times New Roman" w:eastAsia="Calibri" w:hAnsi="Times New Roman" w:cs="Times New Roman"/>
          <w:sz w:val="24"/>
          <w:szCs w:val="24"/>
          <w:lang w:val="pt-PT"/>
        </w:rPr>
        <w:t xml:space="preserve"> </w:t>
      </w:r>
      <w:r w:rsidR="004D0797" w:rsidRPr="00802CF7">
        <w:rPr>
          <w:rFonts w:ascii="Times New Roman" w:eastAsia="Calibri" w:hAnsi="Times New Roman" w:cs="Times New Roman"/>
          <w:sz w:val="24"/>
          <w:szCs w:val="24"/>
          <w:lang w:val="pt-PT"/>
        </w:rPr>
        <w:t xml:space="preserve">acesso a informação e </w:t>
      </w:r>
      <w:r w:rsidRPr="003012DD">
        <w:rPr>
          <w:rFonts w:ascii="Times New Roman" w:eastAsia="Calibri" w:hAnsi="Times New Roman" w:cs="Times New Roman"/>
          <w:sz w:val="24"/>
          <w:szCs w:val="24"/>
          <w:lang w:val="pt-PT"/>
        </w:rPr>
        <w:t>outros</w:t>
      </w:r>
      <w:r w:rsidR="004D0797" w:rsidRPr="00802CF7">
        <w:rPr>
          <w:rFonts w:ascii="Times New Roman" w:eastAsia="Calibri" w:hAnsi="Times New Roman" w:cs="Times New Roman"/>
          <w:sz w:val="24"/>
          <w:szCs w:val="24"/>
          <w:lang w:val="pt-PT"/>
        </w:rPr>
        <w:t xml:space="preserve"> não</w:t>
      </w:r>
      <w:r w:rsidRPr="003012DD">
        <w:rPr>
          <w:rFonts w:ascii="Times New Roman" w:eastAsia="Calibri" w:hAnsi="Times New Roman" w:cs="Times New Roman"/>
          <w:sz w:val="24"/>
          <w:szCs w:val="24"/>
          <w:lang w:val="pt-PT"/>
        </w:rPr>
        <w:t>, assumindo a fase.</w:t>
      </w:r>
    </w:p>
    <w:p w:rsidR="003012DD" w:rsidRPr="00802CF7" w:rsidRDefault="003012DD" w:rsidP="00802CF7">
      <w:pPr>
        <w:pStyle w:val="PargrafodaLista"/>
        <w:numPr>
          <w:ilvl w:val="0"/>
          <w:numId w:val="9"/>
        </w:numPr>
        <w:spacing w:line="360" w:lineRule="auto"/>
        <w:jc w:val="both"/>
        <w:rPr>
          <w:rFonts w:ascii="Times New Roman" w:eastAsia="Calibri" w:hAnsi="Times New Roman" w:cs="Times New Roman"/>
          <w:i/>
          <w:sz w:val="20"/>
          <w:szCs w:val="20"/>
          <w:lang w:val="pt-PT"/>
        </w:rPr>
      </w:pPr>
      <w:r w:rsidRPr="00802CF7">
        <w:rPr>
          <w:rFonts w:ascii="Times New Roman" w:eastAsia="Calibri" w:hAnsi="Times New Roman" w:cs="Times New Roman"/>
          <w:i/>
          <w:sz w:val="20"/>
          <w:szCs w:val="20"/>
          <w:lang w:val="pt-PT"/>
        </w:rPr>
        <w:t xml:space="preserve">A escolha do método anticoncepcional deve ser livre e informada, respeitando-se os critérios de elegibilidade clínica. </w:t>
      </w:r>
    </w:p>
    <w:p w:rsidR="003012DD" w:rsidRPr="00802CF7" w:rsidRDefault="003012DD" w:rsidP="00802CF7">
      <w:pPr>
        <w:pStyle w:val="PargrafodaLista"/>
        <w:numPr>
          <w:ilvl w:val="0"/>
          <w:numId w:val="9"/>
        </w:numPr>
        <w:spacing w:line="360" w:lineRule="auto"/>
        <w:jc w:val="both"/>
        <w:rPr>
          <w:rFonts w:ascii="Times New Roman" w:eastAsia="Calibri" w:hAnsi="Times New Roman" w:cs="Times New Roman"/>
          <w:i/>
          <w:sz w:val="20"/>
          <w:szCs w:val="20"/>
          <w:lang w:val="pt-PT"/>
        </w:rPr>
      </w:pPr>
      <w:r w:rsidRPr="00802CF7">
        <w:rPr>
          <w:rFonts w:ascii="Times New Roman" w:eastAsia="Calibri" w:hAnsi="Times New Roman" w:cs="Times New Roman"/>
          <w:i/>
          <w:sz w:val="20"/>
          <w:szCs w:val="20"/>
          <w:lang w:val="pt-PT"/>
        </w:rPr>
        <w:t xml:space="preserve">Estimular sempre o uso da camisinha masculina ou feminina em todas as relações sexuais, por ser o único método que protege contra as DTS/HIV/Sida. A camisinha pode ser usada associada a outro método anticoncepcional – dupla protecção ou isoladamente. Enfatizar a importância da dupla protecção. </w:t>
      </w:r>
    </w:p>
    <w:p w:rsidR="003012DD" w:rsidRPr="00802CF7" w:rsidRDefault="003012DD" w:rsidP="00802CF7">
      <w:pPr>
        <w:pStyle w:val="PargrafodaLista"/>
        <w:numPr>
          <w:ilvl w:val="0"/>
          <w:numId w:val="9"/>
        </w:numPr>
        <w:spacing w:line="360" w:lineRule="auto"/>
        <w:jc w:val="both"/>
        <w:rPr>
          <w:rFonts w:ascii="Times New Roman" w:eastAsia="Calibri" w:hAnsi="Times New Roman" w:cs="Times New Roman"/>
          <w:sz w:val="24"/>
          <w:szCs w:val="24"/>
          <w:lang w:val="pt-PT"/>
        </w:rPr>
      </w:pPr>
      <w:r w:rsidRPr="00802CF7">
        <w:rPr>
          <w:rFonts w:ascii="Times New Roman" w:eastAsia="Calibri" w:hAnsi="Times New Roman" w:cs="Times New Roman"/>
          <w:i/>
          <w:sz w:val="20"/>
          <w:szCs w:val="20"/>
          <w:lang w:val="pt-PT"/>
        </w:rPr>
        <w:t xml:space="preserve">Em geral, não há restrições ao uso de anticoncepcionais hormonais na adolescência. Os anticoncepcionais hormonais combinados, compostos de estrogénio e progestogênio (anticoncepcionais orais combinados, injectável mensal, adesivo anticoncepcionaltransdérmico e anel vaginal), podem ser usados desde a menarca. Deve-se, entretanto, evitar o uso de anticoncepcionais só de progestogênio (injectável trimestral e da pílula só de progesterona – minipílula) antes dos 18 anos, pelo possível risco de diminuição da calcificação óssea, pois, para mulheres com menos de 18 anos, há uma preocupação teórica em relação ao efeito hipoestrogênico, especialmente do injectável trimestral </w:t>
      </w:r>
      <w:r w:rsidRPr="00802CF7">
        <w:rPr>
          <w:rFonts w:ascii="Times New Roman" w:eastAsia="Calibri" w:hAnsi="Times New Roman" w:cs="Times New Roman"/>
          <w:sz w:val="24"/>
          <w:szCs w:val="24"/>
          <w:lang w:val="pt-PT"/>
        </w:rPr>
        <w:t xml:space="preserve">(DIAZ &amp;ALDRIGHI, 2005). </w:t>
      </w:r>
    </w:p>
    <w:p w:rsidR="003012DD" w:rsidRPr="003012DD" w:rsidRDefault="003012DD" w:rsidP="00802CF7">
      <w:pPr>
        <w:spacing w:line="360" w:lineRule="auto"/>
        <w:ind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Quando o injectável trimestral é usado na menarca, o bloqueio do eixo hipotálamo-hipófiseovário causa supressão na produção de estrogénio, que aumentaria a reabsorção óssea (idem).</w:t>
      </w:r>
    </w:p>
    <w:p w:rsidR="003012DD" w:rsidRPr="00802CF7" w:rsidRDefault="003012DD" w:rsidP="00802CF7">
      <w:pPr>
        <w:pStyle w:val="PargrafodaLista"/>
        <w:numPr>
          <w:ilvl w:val="0"/>
          <w:numId w:val="12"/>
        </w:numPr>
        <w:spacing w:line="360" w:lineRule="auto"/>
        <w:jc w:val="both"/>
        <w:rPr>
          <w:rFonts w:ascii="Times New Roman" w:eastAsia="Calibri" w:hAnsi="Times New Roman" w:cs="Times New Roman"/>
          <w:i/>
          <w:sz w:val="20"/>
          <w:szCs w:val="20"/>
          <w:lang w:val="pt-PT"/>
        </w:rPr>
      </w:pPr>
      <w:r w:rsidRPr="00802CF7">
        <w:rPr>
          <w:rFonts w:ascii="Times New Roman" w:eastAsia="Calibri" w:hAnsi="Times New Roman" w:cs="Times New Roman"/>
          <w:i/>
          <w:sz w:val="20"/>
          <w:szCs w:val="20"/>
          <w:lang w:val="pt-PT"/>
        </w:rPr>
        <w:t>O diafragma é um óptimo método para adolescentes motivadas a usá-lo e bem orientadas. O DIU deve ser usado com cuidado e com acompanhamento rigoroso da menarca até 19 anos de idade, em jovens nulíparas. Há preocupações pelo risco de expulsão e de inf</w:t>
      </w:r>
      <w:r w:rsidR="00D05356" w:rsidRPr="00802CF7">
        <w:rPr>
          <w:rFonts w:ascii="Times New Roman" w:eastAsia="Calibri" w:hAnsi="Times New Roman" w:cs="Times New Roman"/>
          <w:i/>
          <w:sz w:val="20"/>
          <w:szCs w:val="20"/>
          <w:lang w:val="pt-PT"/>
        </w:rPr>
        <w:t>ecções em mulheres muito joven, o</w:t>
      </w:r>
      <w:r w:rsidRPr="00802CF7">
        <w:rPr>
          <w:rFonts w:ascii="Times New Roman" w:eastAsia="Calibri" w:hAnsi="Times New Roman" w:cs="Times New Roman"/>
          <w:i/>
          <w:sz w:val="20"/>
          <w:szCs w:val="20"/>
          <w:lang w:val="pt-PT"/>
        </w:rPr>
        <w:t xml:space="preserve"> DIU não é indicado para as adolescentes que têm mais de um parceiro sexual ou cujos parceiros têm outros parceiros/parceiras e não usam camisinha em todas as relações sexuais, pois nessas situações existe risco maior de contrair doenças sexualmente transmissíveis (DST). </w:t>
      </w:r>
    </w:p>
    <w:p w:rsidR="00A639F1" w:rsidRPr="00802CF7" w:rsidRDefault="003012DD" w:rsidP="00802CF7">
      <w:pPr>
        <w:pStyle w:val="PargrafodaLista"/>
        <w:numPr>
          <w:ilvl w:val="0"/>
          <w:numId w:val="12"/>
        </w:numPr>
        <w:spacing w:line="360" w:lineRule="auto"/>
        <w:jc w:val="both"/>
        <w:rPr>
          <w:rFonts w:ascii="Times New Roman" w:eastAsia="Calibri" w:hAnsi="Times New Roman" w:cs="Times New Roman"/>
          <w:sz w:val="20"/>
          <w:szCs w:val="20"/>
          <w:lang w:val="pt-PT"/>
        </w:rPr>
      </w:pPr>
      <w:r w:rsidRPr="00802CF7">
        <w:rPr>
          <w:rFonts w:ascii="Times New Roman" w:eastAsia="Calibri" w:hAnsi="Times New Roman" w:cs="Times New Roman"/>
          <w:i/>
          <w:sz w:val="20"/>
          <w:szCs w:val="20"/>
          <w:lang w:val="pt-PT"/>
        </w:rPr>
        <w:t>Os métodos comportamentais (tabela, muco cervical, temperatura basal, entre outros) são pouco recomendados para adolescentes, pois a irregularidade menstrual é muito comum nessa fase e, além disso, são métodos que exigem disciplina e planeamento e as relações sexuais nessa fase, em geral, não são planejadas.</w:t>
      </w:r>
    </w:p>
    <w:p w:rsidR="003012DD" w:rsidRPr="00802CF7" w:rsidRDefault="003012DD" w:rsidP="00802CF7">
      <w:pPr>
        <w:pStyle w:val="PargrafodaLista"/>
        <w:numPr>
          <w:ilvl w:val="0"/>
          <w:numId w:val="12"/>
        </w:numPr>
        <w:spacing w:line="360" w:lineRule="auto"/>
        <w:jc w:val="both"/>
        <w:rPr>
          <w:rFonts w:ascii="Times New Roman" w:eastAsia="Calibri" w:hAnsi="Times New Roman" w:cs="Times New Roman"/>
          <w:sz w:val="20"/>
          <w:szCs w:val="20"/>
          <w:lang w:val="pt-PT"/>
        </w:rPr>
      </w:pPr>
      <w:r w:rsidRPr="00802CF7">
        <w:rPr>
          <w:rFonts w:ascii="Times New Roman" w:eastAsia="Calibri" w:hAnsi="Times New Roman" w:cs="Times New Roman"/>
          <w:i/>
          <w:sz w:val="20"/>
          <w:szCs w:val="20"/>
          <w:lang w:val="pt-PT"/>
        </w:rPr>
        <w:t xml:space="preserve"> A anticoncepção oral de emergência é um método muito importante para os adolescentes, porque pertencem a um grupo que tem maior risco de ter relações sexuais desprotegidas. É importante que os adolescentes conheçam esse método e saibam que deve ser usado em carácter de excepção, somente em situações emergenciais, e não como m</w:t>
      </w:r>
      <w:r w:rsidR="00D05356" w:rsidRPr="00802CF7">
        <w:rPr>
          <w:rFonts w:ascii="Times New Roman" w:eastAsia="Calibri" w:hAnsi="Times New Roman" w:cs="Times New Roman"/>
          <w:i/>
          <w:sz w:val="20"/>
          <w:szCs w:val="20"/>
          <w:lang w:val="pt-PT"/>
        </w:rPr>
        <w:t>étodo anticoncepcional regular, e o</w:t>
      </w:r>
      <w:r w:rsidRPr="00802CF7">
        <w:rPr>
          <w:rFonts w:ascii="Times New Roman" w:eastAsia="Calibri" w:hAnsi="Times New Roman" w:cs="Times New Roman"/>
          <w:i/>
          <w:sz w:val="20"/>
          <w:szCs w:val="20"/>
          <w:lang w:val="pt-PT"/>
        </w:rPr>
        <w:t>s métodos cirúrgicos – laqueadura tubária e vasectomia – só se justificam nos casos em que existem condições clínicas ou genéticas que façam com que seja imperativo evitar a gravidez permanentemente</w:t>
      </w:r>
      <w:r w:rsidRPr="00802CF7">
        <w:rPr>
          <w:rFonts w:ascii="Times New Roman" w:eastAsia="Calibri" w:hAnsi="Times New Roman" w:cs="Times New Roman"/>
          <w:i/>
          <w:sz w:val="24"/>
          <w:szCs w:val="24"/>
          <w:lang w:val="pt-PT"/>
        </w:rPr>
        <w:t>.</w:t>
      </w:r>
      <w:r w:rsidR="00D05356" w:rsidRPr="00802CF7">
        <w:rPr>
          <w:rFonts w:ascii="Times New Roman" w:eastAsia="Calibri" w:hAnsi="Times New Roman" w:cs="Times New Roman"/>
          <w:i/>
          <w:sz w:val="24"/>
          <w:szCs w:val="24"/>
          <w:lang w:val="pt-PT"/>
        </w:rPr>
        <w:t xml:space="preserve"> </w:t>
      </w:r>
      <w:r w:rsidR="00D05356" w:rsidRPr="00802CF7">
        <w:rPr>
          <w:rFonts w:ascii="Times New Roman" w:eastAsia="Calibri" w:hAnsi="Times New Roman" w:cs="Times New Roman"/>
          <w:sz w:val="24"/>
          <w:szCs w:val="24"/>
          <w:lang w:val="pt-PT"/>
        </w:rPr>
        <w:t>(DIAZ &amp; ALDRIGHI, 2005).</w:t>
      </w:r>
    </w:p>
    <w:p w:rsidR="003012DD" w:rsidRPr="003012DD" w:rsidRDefault="003012DD" w:rsidP="00802CF7">
      <w:pPr>
        <w:keepNext/>
        <w:keepLines/>
        <w:spacing w:before="200" w:after="0" w:line="360" w:lineRule="auto"/>
        <w:outlineLvl w:val="1"/>
        <w:rPr>
          <w:rFonts w:ascii="Times New Roman" w:eastAsia="Times New Roman" w:hAnsi="Times New Roman" w:cs="Times New Roman"/>
          <w:b/>
          <w:bCs/>
          <w:sz w:val="24"/>
          <w:szCs w:val="24"/>
          <w:lang w:val="pt-PT"/>
        </w:rPr>
      </w:pPr>
      <w:bookmarkStart w:id="10" w:name="_Toc519497256"/>
      <w:r w:rsidRPr="003012DD">
        <w:rPr>
          <w:rFonts w:ascii="Times New Roman" w:eastAsia="Times New Roman" w:hAnsi="Times New Roman" w:cs="Times New Roman"/>
          <w:b/>
          <w:bCs/>
          <w:sz w:val="24"/>
          <w:szCs w:val="24"/>
          <w:lang w:val="pt-PT"/>
        </w:rPr>
        <w:t>Violência Sexual</w:t>
      </w:r>
      <w:bookmarkEnd w:id="10"/>
    </w:p>
    <w:p w:rsidR="003012DD" w:rsidRPr="003012DD" w:rsidRDefault="003012DD" w:rsidP="00966EB7">
      <w:pPr>
        <w:tabs>
          <w:tab w:val="center" w:pos="4680"/>
        </w:tabs>
        <w:spacing w:line="360" w:lineRule="auto"/>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ab/>
        <w:t xml:space="preserve">            A violência é um problema de todos os segmentos da sociedade. É questão de saúde pública, porque afecta a saúde individual e colectiva e exige, para sua prevenção e enfrentamento, a formulação de políticas específicas e a qualificação das equipes para a devida assistência. Constitui-se em evento complexo que, além das sequelas físicas, quando não leva à morte, deixa sequelas emocionais graves, que podem comprometer de forma permanente a saúde, inclusive a saúde sexual e saúde reprodutiva da pessoa atingida por esse mal. Causa prejuízos económicos, por causa dos dias de ausência do trabalho, pelos danos mentais e emocionais que provocam nas vítimas e em suas famílias e pelos anos de produtividade ou de vida perdidos.</w:t>
      </w:r>
      <w:r w:rsidRPr="003012DD">
        <w:rPr>
          <w:rFonts w:ascii="Times New Roman" w:eastAsia="Calibri" w:hAnsi="Times New Roman" w:cs="Times New Roman"/>
          <w:sz w:val="24"/>
          <w:szCs w:val="24"/>
          <w:lang w:val="pt-PT"/>
        </w:rPr>
        <w:tab/>
        <w:t xml:space="preserve">Considera-se que existe violência quando: </w:t>
      </w:r>
    </w:p>
    <w:p w:rsidR="00966EB7" w:rsidRDefault="003012DD" w:rsidP="00966EB7">
      <w:pPr>
        <w:spacing w:line="360" w:lineRule="auto"/>
        <w:ind w:left="2160"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i/>
          <w:sz w:val="20"/>
          <w:szCs w:val="20"/>
          <w:lang w:val="pt-PT"/>
        </w:rPr>
        <w:t>[...] em uma situação de interacção, um ou vários atores agem de maneira directa ou indirecta, maciça ou esparsa, causando danos a uma ou a mais pessoas em graus variáveis, seja em sua integridade física, seja em sua integridade moral, em suas posses, ou em suas participações simbólicas e culturais</w:t>
      </w:r>
      <w:r w:rsidRPr="003012DD">
        <w:rPr>
          <w:rFonts w:ascii="Times New Roman" w:eastAsia="Calibri" w:hAnsi="Times New Roman" w:cs="Times New Roman"/>
          <w:sz w:val="24"/>
          <w:szCs w:val="24"/>
          <w:lang w:val="pt-PT"/>
        </w:rPr>
        <w:t xml:space="preserve"> (MICHAUD, 1989:50).</w:t>
      </w:r>
    </w:p>
    <w:p w:rsidR="003012DD" w:rsidRPr="003012DD" w:rsidRDefault="003012DD" w:rsidP="00966EB7">
      <w:pPr>
        <w:spacing w:line="360" w:lineRule="auto"/>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A (OMS, 2002) revela, em seu Relatório Mundial sobre Violência e Saúde, que todo ano mais de um milhão de pessoas perdem a vida e muitas outras sofrem lesões fatais por causas violentas.</w:t>
      </w:r>
    </w:p>
    <w:p w:rsidR="003012DD" w:rsidRPr="003012DD" w:rsidRDefault="003012DD" w:rsidP="00802CF7">
      <w:pPr>
        <w:keepNext/>
        <w:keepLines/>
        <w:spacing w:before="200" w:after="0" w:line="360" w:lineRule="auto"/>
        <w:outlineLvl w:val="1"/>
        <w:rPr>
          <w:rFonts w:ascii="Times New Roman" w:eastAsia="Times New Roman" w:hAnsi="Times New Roman" w:cs="Times New Roman"/>
          <w:b/>
          <w:bCs/>
          <w:sz w:val="24"/>
          <w:szCs w:val="24"/>
          <w:lang w:val="pt-PT"/>
        </w:rPr>
      </w:pPr>
      <w:bookmarkStart w:id="11" w:name="_Toc519497257"/>
      <w:r w:rsidRPr="003012DD">
        <w:rPr>
          <w:rFonts w:ascii="Times New Roman" w:eastAsia="Times New Roman" w:hAnsi="Times New Roman" w:cs="Times New Roman"/>
          <w:b/>
          <w:bCs/>
          <w:sz w:val="24"/>
          <w:szCs w:val="24"/>
          <w:lang w:val="pt-PT"/>
        </w:rPr>
        <w:t xml:space="preserve">DTS </w:t>
      </w:r>
      <w:r w:rsidR="0012184B" w:rsidRPr="003012DD">
        <w:rPr>
          <w:rFonts w:ascii="Times New Roman" w:eastAsia="Times New Roman" w:hAnsi="Times New Roman" w:cs="Times New Roman"/>
          <w:b/>
          <w:bCs/>
          <w:sz w:val="24"/>
          <w:szCs w:val="24"/>
          <w:lang w:val="pt-PT"/>
        </w:rPr>
        <w:t>Não Virais</w:t>
      </w:r>
      <w:bookmarkEnd w:id="11"/>
    </w:p>
    <w:p w:rsidR="003012DD" w:rsidRPr="003012DD" w:rsidRDefault="003012DD" w:rsidP="00802CF7">
      <w:pPr>
        <w:spacing w:line="360" w:lineRule="auto"/>
        <w:ind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 xml:space="preserve">Para (BRASIL, 2005) A prevalência das DST em situações de violência sexual é elevada e o risco de infecção depende de diversas variáveis. Entre elas, inclui-se o tipo de violência sofrida (vaginal, oral, anal); o número de agressores; a ocorrência de traumatismos genitais; a idade e susceptibilidade da pessoa; a condição himenal; a presença de DST ou úlcera genital prévia; e a forma de constrangimento utilizada pelo agressor. Grande parte das infecções genitais decorrentes da violência sexual pode ser evitada. Gonorreia, sífilis, clamidiose, tricomoníase e cancro mole podem ser prevenidos com o uso de medicação adequada. </w:t>
      </w:r>
    </w:p>
    <w:p w:rsidR="003012DD" w:rsidRPr="003012DD" w:rsidRDefault="003012DD" w:rsidP="00802CF7">
      <w:pPr>
        <w:spacing w:line="360" w:lineRule="auto"/>
        <w:ind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A equipe deve estar apta a realizar a profilaxia das DST não virais em pessoas que foram vítimas de violência sexual, que visa à protecção contra os agentes mais prevalentes e de repercussão clínica relevante. A profilaxia está indicada em situações de exposição com risco de transmissão dos agentes, independentemente da presença ou gravidade das lesões físicas e idade da pessoa. É importante ressaltar que em todo atendimento à pessoa vítima de violência sexual devem ser solicitados tipo sanguíneo, sorologia para sífilis, cultura de secreção vaginal e do canal cervical, sorologia para hepatite tipo B e sorologia anti-HIV.</w:t>
      </w:r>
    </w:p>
    <w:p w:rsidR="003012DD" w:rsidRPr="003012DD" w:rsidRDefault="00014EA3" w:rsidP="00802CF7">
      <w:pPr>
        <w:keepNext/>
        <w:keepLines/>
        <w:spacing w:before="200" w:after="0" w:line="360" w:lineRule="auto"/>
        <w:outlineLvl w:val="1"/>
        <w:rPr>
          <w:rFonts w:ascii="Times New Roman" w:eastAsia="Times New Roman" w:hAnsi="Times New Roman" w:cs="Times New Roman"/>
          <w:b/>
          <w:bCs/>
          <w:sz w:val="24"/>
          <w:szCs w:val="24"/>
          <w:lang w:val="pt-PT"/>
        </w:rPr>
      </w:pPr>
      <w:bookmarkStart w:id="12" w:name="_Toc519497258"/>
      <w:r w:rsidRPr="003012DD">
        <w:rPr>
          <w:rFonts w:ascii="Times New Roman" w:eastAsia="Times New Roman" w:hAnsi="Times New Roman" w:cs="Times New Roman"/>
          <w:b/>
          <w:bCs/>
          <w:sz w:val="24"/>
          <w:szCs w:val="24"/>
          <w:lang w:val="pt-PT"/>
        </w:rPr>
        <w:t xml:space="preserve">Prevenção De </w:t>
      </w:r>
      <w:r w:rsidR="003012DD" w:rsidRPr="003012DD">
        <w:rPr>
          <w:rFonts w:ascii="Times New Roman" w:eastAsia="Times New Roman" w:hAnsi="Times New Roman" w:cs="Times New Roman"/>
          <w:b/>
          <w:bCs/>
          <w:sz w:val="24"/>
          <w:szCs w:val="24"/>
          <w:lang w:val="pt-PT"/>
        </w:rPr>
        <w:t xml:space="preserve">DST </w:t>
      </w:r>
      <w:r w:rsidRPr="003012DD">
        <w:rPr>
          <w:rFonts w:ascii="Times New Roman" w:eastAsia="Times New Roman" w:hAnsi="Times New Roman" w:cs="Times New Roman"/>
          <w:b/>
          <w:bCs/>
          <w:sz w:val="24"/>
          <w:szCs w:val="24"/>
          <w:lang w:val="pt-PT"/>
        </w:rPr>
        <w:t>Não Virais</w:t>
      </w:r>
      <w:bookmarkEnd w:id="12"/>
    </w:p>
    <w:p w:rsidR="007E2530" w:rsidRPr="00802CF7" w:rsidRDefault="003012DD" w:rsidP="00802CF7">
      <w:pPr>
        <w:spacing w:line="360" w:lineRule="auto"/>
        <w:ind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 xml:space="preserve">Não deverão receber profilaxia de DST não virais casos de violência sexual em que ocorra exposição crónica e repetida com o agressor, situação comum em violência sexual intrafamiliar, ou quando ocorrer uso de preservativo, masculino ou feminino, durante todo o crime sexual. Não é possível estabelecer, com exactidão, o tempo limite para a introdução da profilaxia das DST não virais em situações de violência sexual. </w:t>
      </w:r>
      <w:r w:rsidR="007E2530" w:rsidRPr="00802CF7">
        <w:rPr>
          <w:rFonts w:ascii="Times New Roman" w:eastAsia="Calibri" w:hAnsi="Times New Roman" w:cs="Times New Roman"/>
          <w:sz w:val="24"/>
          <w:szCs w:val="24"/>
          <w:lang w:val="pt-PT"/>
        </w:rPr>
        <w:t xml:space="preserve">      </w:t>
      </w:r>
    </w:p>
    <w:p w:rsidR="003012DD" w:rsidRPr="003012DD" w:rsidRDefault="003012DD" w:rsidP="00802CF7">
      <w:pPr>
        <w:spacing w:line="360" w:lineRule="auto"/>
        <w:ind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Diferentemente do que ocorre na profilaxia da infecção pelo HIV, a prevenção das DST não virais pode ser eventualmente postergada, em função das condições de adesão da pessoa ou mesmo por intolerância gástrica, mais prevalente em situações de estreses. Essa medida não acarreta, necessariamente, danos para o tratamento</w:t>
      </w:r>
      <w:r w:rsidR="00EC2D12">
        <w:rPr>
          <w:rFonts w:ascii="Times New Roman" w:eastAsia="Calibri" w:hAnsi="Times New Roman" w:cs="Times New Roman"/>
          <w:sz w:val="24"/>
          <w:szCs w:val="24"/>
          <w:lang w:val="pt-PT"/>
        </w:rPr>
        <w:t>, e</w:t>
      </w:r>
      <w:r w:rsidRPr="003012DD">
        <w:rPr>
          <w:rFonts w:ascii="Times New Roman" w:eastAsia="Calibri" w:hAnsi="Times New Roman" w:cs="Times New Roman"/>
          <w:sz w:val="24"/>
          <w:szCs w:val="24"/>
          <w:lang w:val="pt-PT"/>
        </w:rPr>
        <w:t xml:space="preserve">ntretanto, recomenda-se que seja realizada precocemente, sempre que possível. </w:t>
      </w:r>
    </w:p>
    <w:p w:rsidR="003012DD" w:rsidRPr="003012DD" w:rsidRDefault="003012DD" w:rsidP="00802CF7">
      <w:pPr>
        <w:keepNext/>
        <w:keepLines/>
        <w:spacing w:before="480" w:after="0" w:line="360" w:lineRule="auto"/>
        <w:outlineLvl w:val="0"/>
        <w:rPr>
          <w:rFonts w:ascii="Times New Roman" w:eastAsia="Times New Roman" w:hAnsi="Times New Roman" w:cs="Times New Roman"/>
          <w:b/>
          <w:bCs/>
          <w:sz w:val="24"/>
          <w:szCs w:val="24"/>
          <w:lang w:val="pt-PT"/>
        </w:rPr>
      </w:pPr>
      <w:bookmarkStart w:id="13" w:name="_Toc519497259"/>
      <w:r w:rsidRPr="003012DD">
        <w:rPr>
          <w:rFonts w:ascii="Times New Roman" w:eastAsia="Times New Roman" w:hAnsi="Times New Roman" w:cs="Times New Roman"/>
          <w:b/>
          <w:bCs/>
          <w:sz w:val="24"/>
          <w:szCs w:val="24"/>
          <w:lang w:val="pt-PT"/>
        </w:rPr>
        <w:t>Legislação</w:t>
      </w:r>
      <w:bookmarkEnd w:id="13"/>
    </w:p>
    <w:p w:rsidR="003012DD" w:rsidRPr="003012DD" w:rsidRDefault="003012DD" w:rsidP="00966EB7">
      <w:pPr>
        <w:spacing w:line="360" w:lineRule="auto"/>
        <w:ind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Segundo, (Lei de Família 2004), A violência contra as mulheres tem servido sobretudo como meio de controlo por parte da sociedade patriarcal e contribui para retirar às mulheres o controlo sobre as suas vidas, para além de todos os problemas associados, ao criar problemas de saúde, incapacidade de trabalho, dificuldades em sustentar a família e na interacção com a comunidade.</w:t>
      </w:r>
      <w:r w:rsidR="00966EB7">
        <w:rPr>
          <w:rFonts w:ascii="Times New Roman" w:eastAsia="Calibri" w:hAnsi="Times New Roman" w:cs="Times New Roman"/>
          <w:sz w:val="24"/>
          <w:szCs w:val="24"/>
          <w:lang w:val="pt-PT"/>
        </w:rPr>
        <w:t xml:space="preserve"> </w:t>
      </w:r>
      <w:r w:rsidRPr="003012DD">
        <w:rPr>
          <w:rFonts w:ascii="Times New Roman" w:eastAsia="Calibri" w:hAnsi="Times New Roman" w:cs="Times New Roman"/>
          <w:sz w:val="24"/>
          <w:szCs w:val="24"/>
          <w:lang w:val="pt-PT"/>
        </w:rPr>
        <w:t xml:space="preserve">A violência na sua expressão física, psicológica ou sexual é uma realidade presente em quase todos os relacionamentos afectivos, e tem tido como resultado o condicionamento do comportamento das raparigas/mulheres. Nesta área, em Moçambique não se dispõe de legislação adequada para combater a violência contra as mulheres, incluindo a violência e o abuso sexual e a violência doméstica, para além de que os serviços de apoio legal, policial, psicológico e de saúde às vítimas de violência são ainda insuficientes, não existindo programas de educação para a igualdade, que poderiam ajudar a reduzir a tolerância da sociedade quanto a estes tipos de violência. </w:t>
      </w:r>
    </w:p>
    <w:p w:rsidR="003012DD" w:rsidRPr="003012DD" w:rsidRDefault="003012DD" w:rsidP="00802CF7">
      <w:pPr>
        <w:spacing w:line="360" w:lineRule="auto"/>
        <w:ind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No que respeita à legislação, desde 1996 que se encontra inscrito no Plano do Ministério da Justiça a revisão de todas as leis que contenham provisões que discriminem as mulheres, tendo sido criada uma Comissão de Reforma Legal para tratar dos seguintes dossiers: Lei de Família (já aprovada em 2004), Lei das Sucessões e Herança (em discussão a nova proposta) e o Código Penal (em discussão).</w:t>
      </w:r>
    </w:p>
    <w:p w:rsidR="003012DD" w:rsidRPr="003012DD" w:rsidRDefault="00966EB7" w:rsidP="00802CF7">
      <w:pPr>
        <w:keepNext/>
        <w:keepLines/>
        <w:spacing w:before="200" w:after="0" w:line="360" w:lineRule="auto"/>
        <w:outlineLvl w:val="1"/>
        <w:rPr>
          <w:rFonts w:ascii="Times New Roman" w:eastAsia="Times New Roman" w:hAnsi="Times New Roman" w:cs="Times New Roman"/>
          <w:b/>
          <w:bCs/>
          <w:sz w:val="24"/>
          <w:szCs w:val="24"/>
          <w:lang w:val="pt-PT"/>
        </w:rPr>
      </w:pPr>
      <w:bookmarkStart w:id="14" w:name="_Toc519497261"/>
      <w:r w:rsidRPr="003012DD">
        <w:rPr>
          <w:rFonts w:ascii="Times New Roman" w:eastAsia="Times New Roman" w:hAnsi="Times New Roman" w:cs="Times New Roman"/>
          <w:b/>
          <w:bCs/>
          <w:sz w:val="24"/>
          <w:szCs w:val="24"/>
          <w:lang w:val="pt-PT"/>
        </w:rPr>
        <w:t>Organização E Sistema funcional</w:t>
      </w:r>
      <w:r w:rsidR="008A030A" w:rsidRPr="003012DD">
        <w:rPr>
          <w:rFonts w:ascii="Times New Roman" w:eastAsia="Times New Roman" w:hAnsi="Times New Roman" w:cs="Times New Roman"/>
          <w:b/>
          <w:bCs/>
          <w:sz w:val="24"/>
          <w:szCs w:val="24"/>
          <w:lang w:val="pt-PT"/>
        </w:rPr>
        <w:t xml:space="preserve"> Dos Rit</w:t>
      </w:r>
      <w:r w:rsidR="008A030A">
        <w:rPr>
          <w:rFonts w:ascii="Times New Roman" w:eastAsia="Times New Roman" w:hAnsi="Times New Roman" w:cs="Times New Roman"/>
          <w:b/>
          <w:bCs/>
          <w:sz w:val="24"/>
          <w:szCs w:val="24"/>
          <w:lang w:val="pt-PT"/>
        </w:rPr>
        <w:t>uai</w:t>
      </w:r>
      <w:r w:rsidR="008A030A" w:rsidRPr="003012DD">
        <w:rPr>
          <w:rFonts w:ascii="Times New Roman" w:eastAsia="Times New Roman" w:hAnsi="Times New Roman" w:cs="Times New Roman"/>
          <w:b/>
          <w:bCs/>
          <w:sz w:val="24"/>
          <w:szCs w:val="24"/>
          <w:lang w:val="pt-PT"/>
        </w:rPr>
        <w:t>s</w:t>
      </w:r>
      <w:bookmarkEnd w:id="14"/>
      <w:r w:rsidR="008A030A">
        <w:rPr>
          <w:rFonts w:ascii="Times New Roman" w:eastAsia="Times New Roman" w:hAnsi="Times New Roman" w:cs="Times New Roman"/>
          <w:b/>
          <w:bCs/>
          <w:sz w:val="24"/>
          <w:szCs w:val="24"/>
          <w:lang w:val="pt-PT"/>
        </w:rPr>
        <w:t xml:space="preserve"> De Iniciação</w:t>
      </w:r>
    </w:p>
    <w:p w:rsidR="003012DD" w:rsidRPr="003012DD" w:rsidRDefault="003012DD" w:rsidP="00966EB7">
      <w:pPr>
        <w:spacing w:line="360" w:lineRule="auto"/>
        <w:ind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 xml:space="preserve">Os ritos são classificados em transições de aprendizagens da adolescência para a fase </w:t>
      </w:r>
      <w:r w:rsidR="008A030A" w:rsidRPr="003012DD">
        <w:rPr>
          <w:rFonts w:ascii="Times New Roman" w:eastAsia="Calibri" w:hAnsi="Times New Roman" w:cs="Times New Roman"/>
          <w:sz w:val="24"/>
          <w:szCs w:val="24"/>
          <w:lang w:val="pt-PT"/>
        </w:rPr>
        <w:t>adulta, o</w:t>
      </w:r>
      <w:r w:rsidRPr="003012DD">
        <w:rPr>
          <w:rFonts w:ascii="Times New Roman" w:eastAsia="Calibri" w:hAnsi="Times New Roman" w:cs="Times New Roman"/>
          <w:sz w:val="24"/>
          <w:szCs w:val="24"/>
          <w:lang w:val="pt-PT"/>
        </w:rPr>
        <w:t xml:space="preserve"> que Terrin (2004) designa por rituais ligados ao ciclo da vida. Segundo este autor, o os ritos significam ordem estabelecida, a qual passa por uma expressão cultural comunitária, porém sem qualquer prescrição discursiva ou de sistema de pensamento para a sua identificação prática. Com esta asserção o autor denuncia o carácter complexo do rito, distintamente, daquilo que seriam, por exemplo, os rituais acompanhantes.</w:t>
      </w:r>
      <w:r w:rsidR="00966EB7">
        <w:rPr>
          <w:rFonts w:ascii="Times New Roman" w:eastAsia="Calibri" w:hAnsi="Times New Roman" w:cs="Times New Roman"/>
          <w:sz w:val="24"/>
          <w:szCs w:val="24"/>
          <w:lang w:val="pt-PT"/>
        </w:rPr>
        <w:t xml:space="preserve"> </w:t>
      </w:r>
      <w:r w:rsidRPr="003012DD">
        <w:rPr>
          <w:rFonts w:ascii="Times New Roman" w:eastAsia="Calibri" w:hAnsi="Times New Roman" w:cs="Times New Roman"/>
          <w:sz w:val="24"/>
          <w:szCs w:val="24"/>
          <w:lang w:val="pt-PT"/>
        </w:rPr>
        <w:t>A par de uma aproximação de carácter mais religioso, ligada a práticas periódicas de consagração de rituais de sacralidade mitológica, de gestualidade ou instrumentalismo em crenças (aonde perfila a abordagem de Turner, 1974), Terrin (2004)  aponta ainda uma outra linha conceptual, de autores como Goody (1961), que encara o</w:t>
      </w:r>
      <w:r w:rsidR="008A030A">
        <w:rPr>
          <w:rFonts w:ascii="Times New Roman" w:eastAsia="Calibri" w:hAnsi="Times New Roman" w:cs="Times New Roman"/>
          <w:sz w:val="24"/>
          <w:szCs w:val="24"/>
          <w:lang w:val="pt-PT"/>
        </w:rPr>
        <w:t>s</w:t>
      </w:r>
      <w:r w:rsidRPr="003012DD">
        <w:rPr>
          <w:rFonts w:ascii="Times New Roman" w:eastAsia="Calibri" w:hAnsi="Times New Roman" w:cs="Times New Roman"/>
          <w:sz w:val="24"/>
          <w:szCs w:val="24"/>
          <w:lang w:val="pt-PT"/>
        </w:rPr>
        <w:t xml:space="preserve"> rito</w:t>
      </w:r>
      <w:r w:rsidR="008A030A">
        <w:rPr>
          <w:rFonts w:ascii="Times New Roman" w:eastAsia="Calibri" w:hAnsi="Times New Roman" w:cs="Times New Roman"/>
          <w:sz w:val="24"/>
          <w:szCs w:val="24"/>
          <w:lang w:val="pt-PT"/>
        </w:rPr>
        <w:t>s</w:t>
      </w:r>
      <w:r w:rsidRPr="003012DD">
        <w:rPr>
          <w:rFonts w:ascii="Times New Roman" w:eastAsia="Calibri" w:hAnsi="Times New Roman" w:cs="Times New Roman"/>
          <w:sz w:val="24"/>
          <w:szCs w:val="24"/>
          <w:lang w:val="pt-PT"/>
        </w:rPr>
        <w:t xml:space="preserve"> enquanto manifestação de performances simbólico-místicas.</w:t>
      </w:r>
    </w:p>
    <w:p w:rsidR="003012DD" w:rsidRPr="003012DD" w:rsidRDefault="003012DD" w:rsidP="00802CF7">
      <w:pPr>
        <w:keepNext/>
        <w:keepLines/>
        <w:spacing w:before="200" w:after="0" w:line="360" w:lineRule="auto"/>
        <w:outlineLvl w:val="2"/>
        <w:rPr>
          <w:rFonts w:ascii="Times New Roman" w:eastAsia="Times New Roman" w:hAnsi="Times New Roman" w:cs="Times New Roman"/>
          <w:b/>
          <w:bCs/>
          <w:sz w:val="24"/>
          <w:szCs w:val="24"/>
          <w:lang w:val="pt-PT"/>
        </w:rPr>
      </w:pPr>
      <w:bookmarkStart w:id="15" w:name="_Toc519497262"/>
      <w:r w:rsidRPr="003012DD">
        <w:rPr>
          <w:rFonts w:ascii="Times New Roman" w:eastAsia="Times New Roman" w:hAnsi="Times New Roman" w:cs="Times New Roman"/>
          <w:b/>
          <w:bCs/>
          <w:sz w:val="24"/>
          <w:szCs w:val="24"/>
          <w:lang w:val="pt-PT"/>
        </w:rPr>
        <w:t>Sexualidade</w:t>
      </w:r>
      <w:bookmarkEnd w:id="15"/>
    </w:p>
    <w:p w:rsidR="003012DD" w:rsidRDefault="003012DD" w:rsidP="00802CF7">
      <w:pPr>
        <w:spacing w:line="360" w:lineRule="auto"/>
        <w:ind w:firstLine="720"/>
        <w:jc w:val="both"/>
        <w:rPr>
          <w:rFonts w:ascii="Times New Roman" w:eastAsia="Calibri" w:hAnsi="Times New Roman" w:cs="Times New Roman"/>
          <w:sz w:val="24"/>
          <w:szCs w:val="24"/>
          <w:lang w:val="pt-PT"/>
        </w:rPr>
      </w:pPr>
      <w:r w:rsidRPr="003012DD">
        <w:rPr>
          <w:rFonts w:ascii="Times New Roman" w:eastAsia="Calibri" w:hAnsi="Times New Roman" w:cs="Times New Roman"/>
          <w:sz w:val="24"/>
          <w:szCs w:val="24"/>
          <w:lang w:val="pt-PT"/>
        </w:rPr>
        <w:t xml:space="preserve">Ao nível do conhecimento, a primeira percepção que os jovens raparigas e rapazes têm sobre sexo, acontece no período que vai da pré-puberdade (por volta dos 10 anos) à puberdade, variando esta idade com o maior ou menor impacto que diferentes factores, que fazem parte da sua socialização, têm, de acordo com o sector social de pertença (escola, fora da escola, rural, urbano). São eles: a convivência na rua/bairro; a influência de amigos; a rádio, a televisão (incluindo filmes, muitos dos quais pornográficos, telenovelas e mensagens que estes meios tentam passar no que se refere às ITS/DTS/SIDA) e os médios em geral, os ritos de iniciação, que no nosso estudo marcaram apenas o caso da Zambézia e, em particular, o distrito do Alto Molocué. E tal como já foi verificado em outros estudos (Osório e Arthur, 2002), </w:t>
      </w:r>
      <w:r w:rsidR="008A030A">
        <w:rPr>
          <w:rFonts w:ascii="Times New Roman" w:eastAsia="Calibri" w:hAnsi="Times New Roman" w:cs="Times New Roman"/>
          <w:sz w:val="24"/>
          <w:szCs w:val="24"/>
          <w:lang w:val="pt-PT"/>
        </w:rPr>
        <w:t>os</w:t>
      </w:r>
      <w:r w:rsidRPr="003012DD">
        <w:rPr>
          <w:rFonts w:ascii="Times New Roman" w:eastAsia="Calibri" w:hAnsi="Times New Roman" w:cs="Times New Roman"/>
          <w:sz w:val="24"/>
          <w:szCs w:val="24"/>
          <w:lang w:val="pt-PT"/>
        </w:rPr>
        <w:t xml:space="preserve"> factores que representam, por um lado, uma alteração profunda aos meios de pertença, marcando assim uma ruptura com valores culturais-identitários e são, por outro lado, fundamentais na construção de uma identidade de género, produzindo alterações sociais. </w:t>
      </w:r>
    </w:p>
    <w:p w:rsidR="00E74F09" w:rsidRPr="00E74F09" w:rsidRDefault="00E74F09" w:rsidP="00E74F09">
      <w:pPr>
        <w:spacing w:line="360" w:lineRule="auto"/>
        <w:jc w:val="both"/>
        <w:rPr>
          <w:rFonts w:ascii="Times New Roman" w:eastAsia="Calibri" w:hAnsi="Times New Roman" w:cs="Times New Roman"/>
          <w:b/>
          <w:bCs/>
          <w:sz w:val="24"/>
          <w:szCs w:val="24"/>
          <w:lang w:val="pt-PT"/>
        </w:rPr>
      </w:pPr>
      <w:r w:rsidRPr="00E74F09">
        <w:rPr>
          <w:rFonts w:ascii="Times New Roman" w:eastAsia="Calibri" w:hAnsi="Times New Roman" w:cs="Times New Roman"/>
          <w:b/>
          <w:bCs/>
          <w:sz w:val="24"/>
          <w:szCs w:val="24"/>
          <w:lang w:val="pt-PT"/>
        </w:rPr>
        <w:t>Conclusão</w:t>
      </w:r>
    </w:p>
    <w:p w:rsidR="00772477" w:rsidRDefault="002A659C" w:rsidP="00966EB7">
      <w:pPr>
        <w:spacing w:line="360" w:lineRule="auto"/>
        <w:ind w:firstLine="720"/>
        <w:jc w:val="both"/>
        <w:rPr>
          <w:rFonts w:ascii="Times New Roman" w:eastAsia="Calibri" w:hAnsi="Times New Roman" w:cs="Times New Roman"/>
          <w:sz w:val="24"/>
          <w:szCs w:val="24"/>
          <w:lang w:val="pt-PT"/>
        </w:rPr>
      </w:pPr>
      <w:r w:rsidRPr="00B67363">
        <w:rPr>
          <w:rFonts w:ascii="Times New Roman" w:hAnsi="Times New Roman" w:cs="Times New Roman"/>
          <w:sz w:val="24"/>
          <w:szCs w:val="24"/>
          <w:lang w:val="pt-PT"/>
        </w:rPr>
        <w:t xml:space="preserve">Esse artigo permite perceber a interação estabelecidas entre os vendedores e os consumidores para </w:t>
      </w:r>
      <w:r w:rsidRPr="00802CF7">
        <w:rPr>
          <w:rFonts w:ascii="Times New Roman" w:eastAsia="Calibri" w:hAnsi="Times New Roman" w:cs="Times New Roman"/>
          <w:sz w:val="24"/>
          <w:szCs w:val="24"/>
          <w:lang w:val="pt-PT"/>
        </w:rPr>
        <w:t>r</w:t>
      </w:r>
      <w:r w:rsidRPr="00EB3DF2">
        <w:rPr>
          <w:rFonts w:ascii="Times New Roman" w:eastAsia="Calibri" w:hAnsi="Times New Roman" w:cs="Times New Roman"/>
          <w:sz w:val="24"/>
          <w:szCs w:val="24"/>
          <w:lang w:val="pt-PT"/>
        </w:rPr>
        <w:t xml:space="preserve">elacionar os hábitos, </w:t>
      </w:r>
      <w:r w:rsidRPr="00802CF7">
        <w:rPr>
          <w:rFonts w:ascii="Times New Roman" w:eastAsia="Calibri" w:hAnsi="Times New Roman" w:cs="Times New Roman"/>
          <w:sz w:val="24"/>
          <w:szCs w:val="24"/>
          <w:lang w:val="pt-PT"/>
        </w:rPr>
        <w:t>as crenças e alguma</w:t>
      </w:r>
      <w:r w:rsidRPr="00EB3DF2">
        <w:rPr>
          <w:rFonts w:ascii="Times New Roman" w:eastAsia="Calibri" w:hAnsi="Times New Roman" w:cs="Times New Roman"/>
          <w:sz w:val="24"/>
          <w:szCs w:val="24"/>
          <w:lang w:val="pt-PT"/>
        </w:rPr>
        <w:t>s</w:t>
      </w:r>
      <w:r w:rsidRPr="00802CF7">
        <w:rPr>
          <w:rFonts w:ascii="Times New Roman" w:eastAsia="Calibri" w:hAnsi="Times New Roman" w:cs="Times New Roman"/>
          <w:sz w:val="24"/>
          <w:szCs w:val="24"/>
          <w:lang w:val="pt-PT"/>
        </w:rPr>
        <w:t xml:space="preserve"> atitudes</w:t>
      </w:r>
      <w:r w:rsidRPr="00EB3DF2">
        <w:rPr>
          <w:rFonts w:ascii="Times New Roman" w:eastAsia="Calibri" w:hAnsi="Times New Roman" w:cs="Times New Roman"/>
          <w:sz w:val="24"/>
          <w:szCs w:val="24"/>
          <w:lang w:val="pt-PT"/>
        </w:rPr>
        <w:t xml:space="preserve"> frequentes </w:t>
      </w:r>
      <w:r w:rsidRPr="00802CF7">
        <w:rPr>
          <w:rFonts w:ascii="Times New Roman" w:eastAsia="Calibri" w:hAnsi="Times New Roman" w:cs="Times New Roman"/>
          <w:sz w:val="24"/>
          <w:szCs w:val="24"/>
          <w:lang w:val="pt-PT"/>
        </w:rPr>
        <w:t>quanto</w:t>
      </w:r>
      <w:r w:rsidRPr="00EB3DF2">
        <w:rPr>
          <w:rFonts w:ascii="Times New Roman" w:eastAsia="Calibri" w:hAnsi="Times New Roman" w:cs="Times New Roman"/>
          <w:sz w:val="24"/>
          <w:szCs w:val="24"/>
          <w:lang w:val="pt-PT"/>
        </w:rPr>
        <w:t xml:space="preserve"> </w:t>
      </w:r>
      <w:r w:rsidRPr="00802CF7">
        <w:rPr>
          <w:rFonts w:ascii="Times New Roman" w:eastAsia="Calibri" w:hAnsi="Times New Roman" w:cs="Times New Roman"/>
          <w:sz w:val="24"/>
          <w:szCs w:val="24"/>
          <w:lang w:val="pt-PT"/>
        </w:rPr>
        <w:t>a</w:t>
      </w:r>
      <w:r w:rsidRPr="00EB3DF2">
        <w:rPr>
          <w:rFonts w:ascii="Times New Roman" w:eastAsia="Calibri" w:hAnsi="Times New Roman" w:cs="Times New Roman"/>
          <w:sz w:val="24"/>
          <w:szCs w:val="24"/>
          <w:lang w:val="pt-PT"/>
        </w:rPr>
        <w:t>os comportamentos de risco.</w:t>
      </w:r>
      <w:r w:rsidRPr="00B67363">
        <w:rPr>
          <w:rFonts w:ascii="Times New Roman" w:hAnsi="Times New Roman" w:cs="Times New Roman"/>
          <w:sz w:val="24"/>
          <w:szCs w:val="24"/>
          <w:lang w:val="pt-PT"/>
        </w:rPr>
        <w:t xml:space="preserve"> </w:t>
      </w:r>
      <w:r w:rsidR="00CB3BB6">
        <w:rPr>
          <w:rFonts w:ascii="Times New Roman" w:hAnsi="Times New Roman" w:cs="Times New Roman"/>
          <w:sz w:val="24"/>
          <w:szCs w:val="24"/>
          <w:lang w:val="pt-PT"/>
        </w:rPr>
        <w:t xml:space="preserve">Visto que, </w:t>
      </w:r>
      <w:r w:rsidR="00CB3BB6">
        <w:rPr>
          <w:rFonts w:ascii="Times New Roman" w:eastAsia="Calibri" w:hAnsi="Times New Roman" w:cs="Times New Roman"/>
          <w:sz w:val="24"/>
          <w:szCs w:val="24"/>
          <w:lang w:val="pt-PT"/>
        </w:rPr>
        <w:t>o</w:t>
      </w:r>
      <w:r w:rsidR="003012DD" w:rsidRPr="003012DD">
        <w:rPr>
          <w:rFonts w:ascii="Times New Roman" w:eastAsia="Calibri" w:hAnsi="Times New Roman" w:cs="Times New Roman"/>
          <w:sz w:val="24"/>
          <w:szCs w:val="24"/>
          <w:lang w:val="pt-PT"/>
        </w:rPr>
        <w:t>s estudos que tratam da socialização dos jovens e a sua sexualidade (Osório &amp; Arthur, 2002; Osório, 2005) fazem frequentes referências ao facto dos ritos de iniciação ainda continuarem em prática em várias regiões de Moçambique, em particular nas rurais</w:t>
      </w:r>
      <w:r w:rsidR="00CB3BB6">
        <w:rPr>
          <w:rFonts w:ascii="Times New Roman" w:eastAsia="Calibri" w:hAnsi="Times New Roman" w:cs="Times New Roman"/>
          <w:sz w:val="24"/>
          <w:szCs w:val="24"/>
          <w:lang w:val="pt-PT"/>
        </w:rPr>
        <w:t xml:space="preserve">, dando </w:t>
      </w:r>
      <w:r w:rsidR="003012DD" w:rsidRPr="003012DD">
        <w:rPr>
          <w:rFonts w:ascii="Times New Roman" w:eastAsia="Calibri" w:hAnsi="Times New Roman" w:cs="Times New Roman"/>
          <w:sz w:val="24"/>
          <w:szCs w:val="24"/>
          <w:lang w:val="pt-PT"/>
        </w:rPr>
        <w:t>ênfase</w:t>
      </w:r>
      <w:r w:rsidR="00CB3BB6">
        <w:rPr>
          <w:rFonts w:ascii="Times New Roman" w:eastAsia="Calibri" w:hAnsi="Times New Roman" w:cs="Times New Roman"/>
          <w:sz w:val="24"/>
          <w:szCs w:val="24"/>
          <w:lang w:val="pt-PT"/>
        </w:rPr>
        <w:t xml:space="preserve"> </w:t>
      </w:r>
      <w:r w:rsidR="003012DD" w:rsidRPr="003012DD">
        <w:rPr>
          <w:rFonts w:ascii="Times New Roman" w:eastAsia="Calibri" w:hAnsi="Times New Roman" w:cs="Times New Roman"/>
          <w:sz w:val="24"/>
          <w:szCs w:val="24"/>
          <w:lang w:val="pt-PT"/>
        </w:rPr>
        <w:t xml:space="preserve">ao papel que os mesmos desempenham na formação de identidades masculinas e femininas, com destaque para o facto de acentuarem “a importância da orientação androcrática na construção da identidade feminina” (Andrade </w:t>
      </w:r>
      <w:r w:rsidR="003012DD" w:rsidRPr="003012DD">
        <w:rPr>
          <w:rFonts w:ascii="Times New Roman" w:eastAsia="Calibri" w:hAnsi="Times New Roman" w:cs="Times New Roman"/>
          <w:i/>
          <w:sz w:val="24"/>
          <w:szCs w:val="24"/>
          <w:lang w:val="pt-PT"/>
        </w:rPr>
        <w:t>etal</w:t>
      </w:r>
      <w:r w:rsidR="003012DD" w:rsidRPr="003012DD">
        <w:rPr>
          <w:rFonts w:ascii="Times New Roman" w:eastAsia="Calibri" w:hAnsi="Times New Roman" w:cs="Times New Roman"/>
          <w:sz w:val="24"/>
          <w:szCs w:val="24"/>
          <w:lang w:val="pt-PT"/>
        </w:rPr>
        <w:t xml:space="preserve">., 1998), que, por sua vez, reforça, valoriza e mantém sempre presente a dominação masculina, “sendo o lugar por excelência da aprendizagem e interiorização das práticas” (Osório &amp; Arthur, 2002). </w:t>
      </w:r>
      <w:r w:rsidR="00ED2D3B" w:rsidRPr="00802CF7">
        <w:rPr>
          <w:rFonts w:ascii="Times New Roman" w:eastAsia="Calibri" w:hAnsi="Times New Roman" w:cs="Times New Roman"/>
          <w:sz w:val="24"/>
          <w:szCs w:val="24"/>
          <w:lang w:val="pt-PT"/>
        </w:rPr>
        <w:t xml:space="preserve"> </w:t>
      </w:r>
      <w:r w:rsidR="00CB3BB6">
        <w:rPr>
          <w:rFonts w:ascii="Times New Roman" w:eastAsia="Calibri" w:hAnsi="Times New Roman" w:cs="Times New Roman"/>
          <w:sz w:val="24"/>
          <w:szCs w:val="24"/>
          <w:lang w:val="pt-PT"/>
        </w:rPr>
        <w:t>N</w:t>
      </w:r>
      <w:r w:rsidR="00ED2D3B" w:rsidRPr="00802CF7">
        <w:rPr>
          <w:rFonts w:ascii="Times New Roman" w:eastAsia="Calibri" w:hAnsi="Times New Roman" w:cs="Times New Roman"/>
          <w:sz w:val="24"/>
          <w:szCs w:val="24"/>
          <w:lang w:val="pt-PT"/>
        </w:rPr>
        <w:t>o entanto, da a entender que esses teóricos associam a sexualidade com a pratica dos ritos de iniciação como forma de transição de valores sociais.</w:t>
      </w:r>
    </w:p>
    <w:p w:rsidR="00772477" w:rsidRPr="00966EB7" w:rsidRDefault="00772477" w:rsidP="00966EB7">
      <w:pPr>
        <w:spacing w:line="240" w:lineRule="auto"/>
        <w:jc w:val="both"/>
        <w:rPr>
          <w:rFonts w:ascii="Times New Roman" w:eastAsia="Calibri" w:hAnsi="Times New Roman" w:cs="Times New Roman"/>
          <w:sz w:val="24"/>
          <w:szCs w:val="24"/>
          <w:lang w:val="pt-PT"/>
        </w:rPr>
      </w:pPr>
      <w:r w:rsidRPr="00966EB7">
        <w:rPr>
          <w:rFonts w:ascii="Times New Roman" w:eastAsia="Times New Roman" w:hAnsi="Times New Roman" w:cs="Times New Roman"/>
          <w:b/>
          <w:sz w:val="24"/>
          <w:szCs w:val="24"/>
          <w:lang w:val="pt-PT"/>
        </w:rPr>
        <w:t>Perfil do</w:t>
      </w:r>
      <w:r w:rsidR="00966EB7" w:rsidRPr="00966EB7">
        <w:rPr>
          <w:rFonts w:ascii="Times New Roman" w:eastAsia="Times New Roman" w:hAnsi="Times New Roman" w:cs="Times New Roman"/>
          <w:b/>
          <w:sz w:val="24"/>
          <w:szCs w:val="24"/>
          <w:lang w:val="pt-PT"/>
        </w:rPr>
        <w:t xml:space="preserve"> Aut</w:t>
      </w:r>
      <w:r w:rsidRPr="00966EB7">
        <w:rPr>
          <w:rFonts w:ascii="Times New Roman" w:eastAsia="Times New Roman" w:hAnsi="Times New Roman" w:cs="Times New Roman"/>
          <w:b/>
          <w:sz w:val="24"/>
          <w:szCs w:val="24"/>
          <w:lang w:val="pt-PT"/>
        </w:rPr>
        <w:t>or</w:t>
      </w:r>
    </w:p>
    <w:p w:rsidR="00772477" w:rsidRPr="00966EB7" w:rsidRDefault="00772477" w:rsidP="00966EB7">
      <w:pPr>
        <w:pStyle w:val="PargrafodaLista"/>
        <w:shd w:val="clear" w:color="auto" w:fill="FFFFFF"/>
        <w:spacing w:after="0" w:line="240" w:lineRule="auto"/>
        <w:jc w:val="both"/>
        <w:rPr>
          <w:rFonts w:ascii="Times New Roman" w:eastAsia="Arial Unicode MS" w:hAnsi="Times New Roman" w:cs="Times New Roman"/>
          <w:color w:val="222222"/>
          <w:sz w:val="24"/>
          <w:szCs w:val="24"/>
          <w:lang w:val="pt-PT" w:eastAsia="pt-PT"/>
        </w:rPr>
      </w:pPr>
      <w:r w:rsidRPr="00966EB7">
        <w:rPr>
          <w:rFonts w:ascii="Times New Roman" w:eastAsia="Arial Unicode MS" w:hAnsi="Times New Roman" w:cs="Times New Roman"/>
          <w:b/>
          <w:bCs/>
          <w:color w:val="222222"/>
          <w:sz w:val="24"/>
          <w:szCs w:val="24"/>
          <w:lang w:val="pt-PT" w:eastAsia="pt-PT"/>
        </w:rPr>
        <w:t xml:space="preserve">Tubias Benedito Borge Capaina </w:t>
      </w:r>
      <w:r w:rsidRPr="00966EB7">
        <w:rPr>
          <w:rFonts w:ascii="Times New Roman" w:eastAsia="Arial Unicode MS" w:hAnsi="Times New Roman" w:cs="Times New Roman"/>
          <w:bCs/>
          <w:color w:val="222222"/>
          <w:sz w:val="24"/>
          <w:szCs w:val="24"/>
          <w:lang w:val="pt-PT" w:eastAsia="pt-PT"/>
        </w:rPr>
        <w:t>é formado</w:t>
      </w:r>
      <w:r w:rsidRPr="00966EB7">
        <w:rPr>
          <w:rFonts w:ascii="Times New Roman" w:eastAsia="Arial Unicode MS" w:hAnsi="Times New Roman" w:cs="Times New Roman"/>
          <w:sz w:val="24"/>
          <w:szCs w:val="24"/>
          <w:lang w:val="pt-PT" w:eastAsia="pt-PT"/>
        </w:rPr>
        <w:t xml:space="preserve"> em Psicopedagogia pela </w:t>
      </w:r>
      <w:r w:rsidRPr="00966EB7">
        <w:rPr>
          <w:rFonts w:ascii="Times New Roman" w:eastAsia="Arial Unicode MS" w:hAnsi="Times New Roman" w:cs="Times New Roman"/>
          <w:color w:val="222222"/>
          <w:sz w:val="24"/>
          <w:szCs w:val="24"/>
          <w:lang w:val="pt-PT" w:eastAsia="pt-PT"/>
        </w:rPr>
        <w:t>Universidade Católica de Moçambique (2018)</w:t>
      </w:r>
      <w:r w:rsidRPr="00966EB7">
        <w:rPr>
          <w:rFonts w:ascii="Times New Roman" w:eastAsia="Arial Unicode MS" w:hAnsi="Times New Roman" w:cs="Times New Roman"/>
          <w:b/>
          <w:bCs/>
          <w:color w:val="222222"/>
          <w:sz w:val="24"/>
          <w:szCs w:val="24"/>
          <w:lang w:val="pt-PT" w:eastAsia="pt-PT"/>
        </w:rPr>
        <w:t xml:space="preserve">, </w:t>
      </w:r>
      <w:r w:rsidRPr="00966EB7">
        <w:rPr>
          <w:rFonts w:ascii="Times New Roman" w:eastAsia="Arial Unicode MS" w:hAnsi="Times New Roman" w:cs="Times New Roman"/>
          <w:bCs/>
          <w:color w:val="222222"/>
          <w:sz w:val="24"/>
          <w:szCs w:val="24"/>
          <w:lang w:val="pt-PT" w:eastAsia="pt-PT"/>
        </w:rPr>
        <w:t xml:space="preserve">em </w:t>
      </w:r>
      <w:r w:rsidRPr="00966EB7">
        <w:rPr>
          <w:rFonts w:ascii="Times New Roman" w:eastAsia="Arial Unicode MS" w:hAnsi="Times New Roman" w:cs="Times New Roman"/>
          <w:color w:val="222222"/>
          <w:sz w:val="24"/>
          <w:szCs w:val="24"/>
          <w:lang w:val="pt-BR"/>
        </w:rPr>
        <w:t>Plano de Negócio e Netwhorking</w:t>
      </w:r>
      <w:r w:rsidRPr="00966EB7">
        <w:rPr>
          <w:rFonts w:ascii="Times New Roman" w:eastAsia="Arial Unicode MS" w:hAnsi="Times New Roman" w:cs="Times New Roman"/>
          <w:color w:val="222222"/>
          <w:sz w:val="24"/>
          <w:szCs w:val="24"/>
          <w:lang w:val="pt-BR"/>
        </w:rPr>
        <w:softHyphen/>
      </w:r>
      <w:r w:rsidRPr="00966EB7">
        <w:rPr>
          <w:rFonts w:ascii="Times New Roman" w:eastAsia="Arial Unicode MS" w:hAnsi="Times New Roman" w:cs="Times New Roman"/>
          <w:color w:val="222222"/>
          <w:sz w:val="24"/>
          <w:szCs w:val="24"/>
          <w:lang w:val="pt-BR"/>
        </w:rPr>
        <w:softHyphen/>
        <w:t>pela Universidade Politécnica A Politécnica (2018)</w:t>
      </w:r>
      <w:r w:rsidRPr="00966EB7">
        <w:rPr>
          <w:rFonts w:ascii="Times New Roman" w:eastAsia="Arial Unicode MS" w:hAnsi="Times New Roman" w:cs="Times New Roman"/>
          <w:color w:val="222222"/>
          <w:sz w:val="24"/>
          <w:szCs w:val="24"/>
          <w:lang w:val="pt-PT"/>
        </w:rPr>
        <w:t xml:space="preserve">, </w:t>
      </w:r>
      <w:r w:rsidRPr="00966EB7">
        <w:rPr>
          <w:rFonts w:ascii="Times New Roman" w:eastAsia="Arial Unicode MS" w:hAnsi="Times New Roman" w:cs="Times New Roman"/>
          <w:color w:val="222222"/>
          <w:sz w:val="24"/>
          <w:szCs w:val="24"/>
          <w:lang w:val="pt-PT" w:eastAsia="pt-PT"/>
        </w:rPr>
        <w:t xml:space="preserve">em Gestão de recursos humanos pela Universidade Eduardo Mondlane (2017), </w:t>
      </w:r>
      <w:r w:rsidRPr="00966EB7">
        <w:rPr>
          <w:rFonts w:ascii="Times New Roman" w:eastAsia="Arial Unicode MS" w:hAnsi="Times New Roman" w:cs="Times New Roman"/>
          <w:sz w:val="24"/>
          <w:szCs w:val="24"/>
          <w:lang w:val="pt-PT"/>
        </w:rPr>
        <w:t xml:space="preserve">graduado em </w:t>
      </w:r>
      <w:r w:rsidRPr="00966EB7">
        <w:rPr>
          <w:rFonts w:ascii="Times New Roman" w:eastAsia="Arial Unicode MS" w:hAnsi="Times New Roman" w:cs="Times New Roman"/>
          <w:color w:val="222222"/>
          <w:sz w:val="24"/>
          <w:szCs w:val="24"/>
          <w:lang w:val="pt-PT" w:eastAsia="pt-PT"/>
        </w:rPr>
        <w:t xml:space="preserve">Antropologia Social e Cultural pela Universidade Eduardo Mondlane (2017) e </w:t>
      </w:r>
      <w:r w:rsidRPr="00966EB7">
        <w:rPr>
          <w:rFonts w:ascii="Times New Roman" w:eastAsia="Arial Unicode MS" w:hAnsi="Times New Roman" w:cs="Times New Roman"/>
          <w:sz w:val="24"/>
          <w:szCs w:val="24"/>
          <w:lang w:val="pt-PT"/>
        </w:rPr>
        <w:t xml:space="preserve">Mestrando Gestão do Desenvolvimento na </w:t>
      </w:r>
      <w:r w:rsidRPr="00966EB7">
        <w:rPr>
          <w:rFonts w:ascii="Times New Roman" w:eastAsia="Arial Unicode MS" w:hAnsi="Times New Roman" w:cs="Times New Roman"/>
          <w:color w:val="222222"/>
          <w:sz w:val="24"/>
          <w:szCs w:val="24"/>
          <w:lang w:val="pt-BR"/>
        </w:rPr>
        <w:t>Universidade Católica de Moçambique.</w:t>
      </w:r>
      <w:r w:rsidRPr="00966EB7">
        <w:rPr>
          <w:rFonts w:ascii="Times New Roman" w:eastAsia="Arial Unicode MS" w:hAnsi="Times New Roman" w:cs="Times New Roman"/>
          <w:color w:val="222222"/>
          <w:sz w:val="24"/>
          <w:szCs w:val="24"/>
          <w:lang w:val="pt-PT" w:eastAsia="pt-PT"/>
        </w:rPr>
        <w:t xml:space="preserve">  </w:t>
      </w:r>
    </w:p>
    <w:p w:rsidR="00772477" w:rsidRPr="00966EB7" w:rsidRDefault="00772477" w:rsidP="00966EB7">
      <w:pPr>
        <w:pStyle w:val="PargrafodaLista"/>
        <w:shd w:val="clear" w:color="auto" w:fill="FFFFFF"/>
        <w:spacing w:after="0" w:line="240" w:lineRule="auto"/>
        <w:jc w:val="both"/>
        <w:rPr>
          <w:rFonts w:ascii="Times New Roman" w:eastAsia="Times New Roman" w:hAnsi="Times New Roman" w:cs="Times New Roman"/>
          <w:sz w:val="24"/>
          <w:szCs w:val="24"/>
          <w:lang w:val="pt-PT"/>
        </w:rPr>
      </w:pPr>
    </w:p>
    <w:p w:rsidR="00772477" w:rsidRPr="00966EB7" w:rsidRDefault="00772477" w:rsidP="00966EB7">
      <w:pPr>
        <w:pStyle w:val="PargrafodaLista"/>
        <w:shd w:val="clear" w:color="auto" w:fill="FFFFFF"/>
        <w:spacing w:after="0" w:line="240" w:lineRule="auto"/>
        <w:jc w:val="both"/>
        <w:rPr>
          <w:rFonts w:ascii="Times New Roman" w:eastAsia="Arial Unicode MS" w:hAnsi="Times New Roman" w:cs="Times New Roman"/>
          <w:color w:val="222222"/>
          <w:sz w:val="24"/>
          <w:szCs w:val="24"/>
          <w:lang w:val="pt-PT" w:eastAsia="pt-PT"/>
        </w:rPr>
      </w:pPr>
      <w:r w:rsidRPr="00966EB7">
        <w:rPr>
          <w:rFonts w:ascii="Times New Roman" w:eastAsia="Times New Roman" w:hAnsi="Times New Roman" w:cs="Times New Roman"/>
          <w:sz w:val="24"/>
          <w:szCs w:val="24"/>
          <w:lang w:val="pt-PT"/>
        </w:rPr>
        <w:t xml:space="preserve">Actualmente trabalha </w:t>
      </w:r>
      <w:r w:rsidRPr="00966EB7">
        <w:rPr>
          <w:rFonts w:ascii="Times New Roman" w:eastAsia="Times New Roman" w:hAnsi="Times New Roman" w:cs="Times New Roman"/>
          <w:color w:val="000000"/>
          <w:sz w:val="24"/>
          <w:szCs w:val="24"/>
          <w:lang w:val="pt-PT"/>
        </w:rPr>
        <w:t xml:space="preserve">como </w:t>
      </w:r>
      <w:r w:rsidRPr="00966EB7">
        <w:rPr>
          <w:rFonts w:ascii="Times New Roman" w:eastAsia="Arial Unicode MS" w:hAnsi="Times New Roman" w:cs="Times New Roman"/>
          <w:bCs/>
          <w:color w:val="222222"/>
          <w:sz w:val="24"/>
          <w:szCs w:val="24"/>
          <w:lang w:val="pt-PT" w:eastAsia="pt-PT"/>
        </w:rPr>
        <w:t xml:space="preserve">docente na </w:t>
      </w:r>
      <w:r w:rsidRPr="00966EB7">
        <w:rPr>
          <w:rFonts w:ascii="Times New Roman" w:eastAsia="Times New Roman" w:hAnsi="Times New Roman" w:cs="Times New Roman"/>
          <w:sz w:val="24"/>
          <w:szCs w:val="24"/>
          <w:lang w:val="pt-PT"/>
        </w:rPr>
        <w:t>Univers</w:t>
      </w:r>
      <w:r w:rsidRPr="00966EB7">
        <w:rPr>
          <w:rFonts w:ascii="Times New Roman" w:eastAsia="Times New Roman" w:hAnsi="Times New Roman" w:cs="Times New Roman"/>
          <w:sz w:val="24"/>
          <w:szCs w:val="24"/>
          <w:lang w:val="pt-PT"/>
        </w:rPr>
        <w:t>idade Politécnica A Politécnica</w:t>
      </w:r>
      <w:r w:rsidRPr="00966EB7">
        <w:rPr>
          <w:rFonts w:ascii="Times New Roman" w:eastAsia="Times New Roman" w:hAnsi="Times New Roman" w:cs="Times New Roman"/>
          <w:sz w:val="24"/>
          <w:szCs w:val="24"/>
          <w:lang w:val="pt-PT"/>
        </w:rPr>
        <w:t xml:space="preserve"> e é </w:t>
      </w:r>
      <w:r w:rsidRPr="00966EB7">
        <w:rPr>
          <w:rFonts w:ascii="Times New Roman" w:eastAsia="Times New Roman" w:hAnsi="Times New Roman" w:cs="Times New Roman"/>
          <w:bCs/>
          <w:color w:val="202124"/>
          <w:spacing w:val="3"/>
          <w:sz w:val="24"/>
          <w:szCs w:val="24"/>
          <w:lang w:val="pt-PT"/>
        </w:rPr>
        <w:t>Investigador convidado</w:t>
      </w:r>
      <w:r w:rsidRPr="00966EB7">
        <w:rPr>
          <w:rFonts w:ascii="Times New Roman" w:eastAsia="Times New Roman" w:hAnsi="Times New Roman" w:cs="Times New Roman"/>
          <w:sz w:val="24"/>
          <w:szCs w:val="24"/>
          <w:lang w:val="pt-PT" w:eastAsia="pt-PT"/>
        </w:rPr>
        <w:t xml:space="preserve"> na Universidade Licungo. </w:t>
      </w:r>
    </w:p>
    <w:p w:rsidR="00772477" w:rsidRPr="00966EB7" w:rsidRDefault="00772477" w:rsidP="00966EB7">
      <w:pPr>
        <w:pStyle w:val="PargrafodaLista"/>
        <w:spacing w:line="240" w:lineRule="auto"/>
        <w:jc w:val="both"/>
        <w:rPr>
          <w:rFonts w:ascii="Times New Roman" w:eastAsia="Times New Roman" w:hAnsi="Times New Roman" w:cs="Times New Roman"/>
          <w:color w:val="000000"/>
          <w:sz w:val="24"/>
          <w:szCs w:val="24"/>
          <w:shd w:val="clear" w:color="auto" w:fill="FFFFFF"/>
          <w:lang w:val="pt-PT" w:eastAsia="pt-PT"/>
        </w:rPr>
      </w:pPr>
      <w:r w:rsidRPr="00966EB7">
        <w:rPr>
          <w:rFonts w:ascii="Times New Roman" w:eastAsia="Arial Unicode MS" w:hAnsi="Times New Roman" w:cs="Times New Roman"/>
          <w:color w:val="222222"/>
          <w:sz w:val="24"/>
          <w:szCs w:val="24"/>
          <w:lang w:val="pt-PT" w:eastAsia="pt-PT"/>
        </w:rPr>
        <w:t xml:space="preserve">Linhas de investigação: </w:t>
      </w:r>
      <w:r w:rsidRPr="00966EB7">
        <w:rPr>
          <w:rFonts w:ascii="Times New Roman" w:eastAsia="Arial Unicode MS" w:hAnsi="Times New Roman" w:cs="Times New Roman"/>
          <w:i/>
          <w:color w:val="222222"/>
          <w:sz w:val="24"/>
          <w:szCs w:val="24"/>
          <w:lang w:val="pt-PT" w:eastAsia="pt-PT"/>
        </w:rPr>
        <w:t>Educação, Desenvolvimento e Saúde.</w:t>
      </w:r>
    </w:p>
    <w:p w:rsidR="00772477" w:rsidRPr="00966EB7" w:rsidRDefault="00772477" w:rsidP="00966EB7">
      <w:pPr>
        <w:pStyle w:val="PargrafodaLista"/>
        <w:spacing w:line="240" w:lineRule="auto"/>
        <w:jc w:val="both"/>
        <w:rPr>
          <w:rFonts w:ascii="Times New Roman" w:eastAsia="Calibri" w:hAnsi="Times New Roman" w:cs="Times New Roman"/>
          <w:sz w:val="24"/>
          <w:szCs w:val="24"/>
          <w:lang w:val="pt-PT"/>
        </w:rPr>
      </w:pPr>
      <w:r w:rsidRPr="00966EB7">
        <w:rPr>
          <w:rFonts w:ascii="Times New Roman" w:eastAsia="Arial Unicode MS" w:hAnsi="Times New Roman" w:cs="Times New Roman"/>
          <w:color w:val="222222"/>
          <w:sz w:val="24"/>
          <w:szCs w:val="24"/>
          <w:lang w:val="pt-PT" w:eastAsia="pt-PT"/>
        </w:rPr>
        <w:t>Cell: (+258) 84-75-88-573 ou E-mail: </w:t>
      </w:r>
      <w:hyperlink r:id="rId7" w:tgtFrame="_blank" w:history="1">
        <w:r w:rsidRPr="00966EB7">
          <w:rPr>
            <w:rFonts w:ascii="Times New Roman" w:eastAsia="Arial Unicode MS" w:hAnsi="Times New Roman" w:cs="Times New Roman"/>
            <w:color w:val="1155CC"/>
            <w:sz w:val="24"/>
            <w:szCs w:val="24"/>
            <w:u w:val="single"/>
            <w:lang w:val="pt-PT" w:eastAsia="pt-PT"/>
          </w:rPr>
          <w:t>tubiascapaina@gmail.com</w:t>
        </w:r>
      </w:hyperlink>
    </w:p>
    <w:p w:rsidR="00772477" w:rsidRPr="00966EB7" w:rsidRDefault="00772477" w:rsidP="00966EB7">
      <w:pPr>
        <w:pStyle w:val="PargrafodaLista"/>
        <w:shd w:val="clear" w:color="auto" w:fill="FFFFFF"/>
        <w:spacing w:after="0" w:line="240" w:lineRule="auto"/>
        <w:jc w:val="both"/>
        <w:rPr>
          <w:rFonts w:ascii="Times New Roman" w:eastAsia="Arial Unicode MS" w:hAnsi="Times New Roman" w:cs="Times New Roman"/>
          <w:bCs/>
          <w:color w:val="222222"/>
          <w:sz w:val="24"/>
          <w:szCs w:val="24"/>
          <w:lang w:val="pt-PT" w:eastAsia="pt-PT"/>
        </w:rPr>
      </w:pPr>
      <w:bookmarkStart w:id="16" w:name="_GoBack"/>
      <w:bookmarkEnd w:id="16"/>
      <w:r w:rsidRPr="00966EB7">
        <w:rPr>
          <w:rFonts w:ascii="Times New Roman" w:eastAsia="Arial Unicode MS" w:hAnsi="Times New Roman" w:cs="Times New Roman"/>
          <w:bCs/>
          <w:color w:val="222222"/>
          <w:sz w:val="24"/>
          <w:szCs w:val="24"/>
          <w:lang w:val="pt-PT" w:eastAsia="pt-PT"/>
        </w:rPr>
        <w:t>Docente e Investigador Social.</w:t>
      </w:r>
    </w:p>
    <w:p w:rsidR="00822436" w:rsidRPr="00966EB7" w:rsidRDefault="00822436" w:rsidP="00802CF7">
      <w:pPr>
        <w:keepNext/>
        <w:keepLines/>
        <w:spacing w:before="480" w:after="0" w:line="360" w:lineRule="auto"/>
        <w:outlineLvl w:val="0"/>
        <w:rPr>
          <w:rFonts w:ascii="Times New Roman" w:eastAsia="Times New Roman" w:hAnsi="Times New Roman" w:cs="Times New Roman"/>
          <w:b/>
          <w:bCs/>
          <w:sz w:val="24"/>
          <w:szCs w:val="24"/>
          <w:lang w:val="pt-PT"/>
        </w:rPr>
      </w:pPr>
      <w:bookmarkStart w:id="17" w:name="_Toc519497265"/>
      <w:r w:rsidRPr="00966EB7">
        <w:rPr>
          <w:rFonts w:ascii="Times New Roman" w:eastAsia="Times New Roman" w:hAnsi="Times New Roman" w:cs="Times New Roman"/>
          <w:b/>
          <w:bCs/>
          <w:sz w:val="24"/>
          <w:szCs w:val="24"/>
          <w:lang w:val="pt-PT"/>
        </w:rPr>
        <w:t>Referencias bibliográfica</w:t>
      </w:r>
      <w:bookmarkEnd w:id="17"/>
    </w:p>
    <w:p w:rsidR="00822436" w:rsidRPr="00802CF7" w:rsidRDefault="00822436" w:rsidP="00802CF7">
      <w:pPr>
        <w:pStyle w:val="PargrafodaLista"/>
        <w:numPr>
          <w:ilvl w:val="0"/>
          <w:numId w:val="13"/>
        </w:numPr>
        <w:spacing w:line="360" w:lineRule="auto"/>
        <w:jc w:val="both"/>
        <w:rPr>
          <w:rFonts w:ascii="Times New Roman" w:eastAsia="Calibri" w:hAnsi="Times New Roman" w:cs="Times New Roman"/>
          <w:sz w:val="24"/>
          <w:szCs w:val="24"/>
          <w:lang w:val="pt-PT"/>
        </w:rPr>
      </w:pPr>
      <w:r w:rsidRPr="00802CF7">
        <w:rPr>
          <w:rFonts w:ascii="Times New Roman" w:eastAsia="Calibri" w:hAnsi="Times New Roman" w:cs="Times New Roman"/>
          <w:sz w:val="24"/>
          <w:szCs w:val="24"/>
          <w:lang w:val="pt-PT"/>
        </w:rPr>
        <w:t xml:space="preserve">ANTUNES, Elsa Mourato, &amp; Mendes, Carla Silva. </w:t>
      </w:r>
      <w:r w:rsidRPr="00802CF7">
        <w:rPr>
          <w:rFonts w:ascii="Times New Roman" w:eastAsia="Calibri" w:hAnsi="Times New Roman" w:cs="Times New Roman"/>
          <w:i/>
          <w:sz w:val="24"/>
          <w:szCs w:val="24"/>
          <w:lang w:val="pt-PT"/>
        </w:rPr>
        <w:t>Promover a saúde em saúde escolar</w:t>
      </w:r>
      <w:r w:rsidRPr="00802CF7">
        <w:rPr>
          <w:rFonts w:ascii="Times New Roman" w:eastAsia="Calibri" w:hAnsi="Times New Roman" w:cs="Times New Roman"/>
          <w:sz w:val="24"/>
          <w:szCs w:val="24"/>
          <w:lang w:val="pt-PT"/>
        </w:rPr>
        <w:t xml:space="preserve">. In José Pais Ribeiro &amp; Isabel Leal (Orgs.), </w:t>
      </w:r>
      <w:r w:rsidRPr="00802CF7">
        <w:rPr>
          <w:rFonts w:ascii="Times New Roman" w:eastAsia="Calibri" w:hAnsi="Times New Roman" w:cs="Times New Roman"/>
          <w:i/>
          <w:iCs/>
          <w:sz w:val="24"/>
          <w:szCs w:val="24"/>
          <w:lang w:val="pt-PT"/>
        </w:rPr>
        <w:t>Actas do 5º Congresso Nacional de Psicologia da Saúde</w:t>
      </w:r>
      <w:r w:rsidRPr="00802CF7">
        <w:rPr>
          <w:rFonts w:ascii="Times New Roman" w:eastAsia="Calibri" w:hAnsi="Times New Roman" w:cs="Times New Roman"/>
          <w:sz w:val="24"/>
          <w:szCs w:val="24"/>
          <w:lang w:val="pt-PT"/>
        </w:rPr>
        <w:t>. Lisboa: Fundação Calouste Gulbenkian, 2004.</w:t>
      </w:r>
    </w:p>
    <w:p w:rsidR="00822436" w:rsidRPr="00802CF7" w:rsidRDefault="00822436" w:rsidP="00802CF7">
      <w:pPr>
        <w:pStyle w:val="PargrafodaLista"/>
        <w:numPr>
          <w:ilvl w:val="0"/>
          <w:numId w:val="13"/>
        </w:numPr>
        <w:spacing w:line="360" w:lineRule="auto"/>
        <w:jc w:val="both"/>
        <w:rPr>
          <w:rFonts w:ascii="Times New Roman" w:eastAsia="Calibri" w:hAnsi="Times New Roman" w:cs="Times New Roman"/>
          <w:sz w:val="24"/>
          <w:szCs w:val="24"/>
          <w:lang w:val="pt-PT"/>
        </w:rPr>
      </w:pPr>
      <w:r w:rsidRPr="00802CF7">
        <w:rPr>
          <w:rFonts w:ascii="Times New Roman" w:eastAsia="Calibri" w:hAnsi="Times New Roman" w:cs="Times New Roman"/>
          <w:sz w:val="24"/>
          <w:szCs w:val="24"/>
          <w:lang w:val="pt-BR"/>
        </w:rPr>
        <w:t xml:space="preserve">BENNETT &amp; MURPHY. </w:t>
      </w:r>
      <w:r w:rsidRPr="00802CF7">
        <w:rPr>
          <w:rFonts w:ascii="Times New Roman" w:eastAsia="Calibri" w:hAnsi="Times New Roman" w:cs="Times New Roman"/>
          <w:i/>
          <w:iCs/>
          <w:sz w:val="24"/>
          <w:szCs w:val="24"/>
          <w:lang w:val="pt-PT"/>
        </w:rPr>
        <w:t>Psicologia e Promoção da Saúde</w:t>
      </w:r>
      <w:r w:rsidRPr="00802CF7">
        <w:rPr>
          <w:rFonts w:ascii="Times New Roman" w:eastAsia="Calibri" w:hAnsi="Times New Roman" w:cs="Times New Roman"/>
          <w:sz w:val="24"/>
          <w:szCs w:val="24"/>
          <w:lang w:val="pt-PT"/>
        </w:rPr>
        <w:t>. Climepsi Editores,</w:t>
      </w:r>
      <w:r w:rsidRPr="00802CF7">
        <w:rPr>
          <w:rFonts w:ascii="Times New Roman" w:eastAsia="Calibri" w:hAnsi="Times New Roman" w:cs="Times New Roman"/>
          <w:sz w:val="24"/>
          <w:szCs w:val="24"/>
          <w:lang w:val="pt-BR"/>
        </w:rPr>
        <w:t xml:space="preserve"> 1999.</w:t>
      </w:r>
    </w:p>
    <w:p w:rsidR="00822436" w:rsidRPr="00802CF7" w:rsidRDefault="00822436" w:rsidP="00802CF7">
      <w:pPr>
        <w:pStyle w:val="PargrafodaLista"/>
        <w:numPr>
          <w:ilvl w:val="0"/>
          <w:numId w:val="13"/>
        </w:numPr>
        <w:spacing w:line="360" w:lineRule="auto"/>
        <w:jc w:val="both"/>
        <w:rPr>
          <w:rFonts w:ascii="Times New Roman" w:eastAsia="Calibri" w:hAnsi="Times New Roman" w:cs="Times New Roman"/>
          <w:sz w:val="24"/>
          <w:szCs w:val="24"/>
          <w:lang w:val="pt-PT"/>
        </w:rPr>
      </w:pPr>
      <w:r w:rsidRPr="00802CF7">
        <w:rPr>
          <w:rFonts w:ascii="Times New Roman" w:eastAsia="Calibri" w:hAnsi="Times New Roman" w:cs="Times New Roman"/>
          <w:sz w:val="24"/>
          <w:szCs w:val="24"/>
          <w:lang w:val="pt-PT"/>
        </w:rPr>
        <w:t xml:space="preserve">FERREIRA, A. B. H. </w:t>
      </w:r>
      <w:r w:rsidRPr="00802CF7">
        <w:rPr>
          <w:rFonts w:ascii="Times New Roman" w:eastAsia="Calibri" w:hAnsi="Times New Roman" w:cs="Times New Roman"/>
          <w:i/>
          <w:iCs/>
          <w:sz w:val="24"/>
          <w:szCs w:val="24"/>
          <w:lang w:val="pt-PT"/>
        </w:rPr>
        <w:t>Novo dicionário da língua portuguesa</w:t>
      </w:r>
      <w:r w:rsidRPr="00802CF7">
        <w:rPr>
          <w:rFonts w:ascii="Times New Roman" w:eastAsia="Calibri" w:hAnsi="Times New Roman" w:cs="Times New Roman"/>
          <w:sz w:val="24"/>
          <w:szCs w:val="24"/>
          <w:lang w:val="pt-PT"/>
        </w:rPr>
        <w:t>. 2ª Edição. Rio de Janeiro. Nova Fronteira. 1986.</w:t>
      </w:r>
    </w:p>
    <w:p w:rsidR="00822436" w:rsidRPr="00802CF7" w:rsidRDefault="00822436" w:rsidP="00802CF7">
      <w:pPr>
        <w:pStyle w:val="PargrafodaLista"/>
        <w:numPr>
          <w:ilvl w:val="0"/>
          <w:numId w:val="13"/>
        </w:numPr>
        <w:spacing w:line="360" w:lineRule="auto"/>
        <w:jc w:val="both"/>
        <w:rPr>
          <w:rFonts w:ascii="Times New Roman" w:eastAsia="Calibri" w:hAnsi="Times New Roman" w:cs="Times New Roman"/>
          <w:sz w:val="24"/>
          <w:szCs w:val="24"/>
          <w:lang w:val="pt-PT"/>
        </w:rPr>
      </w:pPr>
      <w:r w:rsidRPr="00802CF7">
        <w:rPr>
          <w:rFonts w:ascii="Times New Roman" w:eastAsia="Times New Roman" w:hAnsi="Times New Roman" w:cs="Times New Roman"/>
          <w:color w:val="00000A"/>
          <w:sz w:val="24"/>
          <w:szCs w:val="24"/>
          <w:lang w:val="pt-PT" w:eastAsia="zh-CN"/>
        </w:rPr>
        <w:t xml:space="preserve">CLAUDE, Dubar. </w:t>
      </w:r>
      <w:r w:rsidRPr="00802CF7">
        <w:rPr>
          <w:rFonts w:ascii="Times New Roman" w:eastAsia="Times New Roman" w:hAnsi="Times New Roman" w:cs="Times New Roman"/>
          <w:i/>
          <w:color w:val="00000A"/>
          <w:sz w:val="24"/>
          <w:szCs w:val="24"/>
          <w:lang w:val="pt-PT" w:eastAsia="zh-CN"/>
        </w:rPr>
        <w:t>A socialização: Construção de identidades sociais e profissionais</w:t>
      </w:r>
      <w:r w:rsidRPr="00802CF7">
        <w:rPr>
          <w:rFonts w:ascii="Times New Roman" w:eastAsia="Times New Roman" w:hAnsi="Times New Roman" w:cs="Times New Roman"/>
          <w:color w:val="00000A"/>
          <w:sz w:val="24"/>
          <w:szCs w:val="24"/>
          <w:lang w:val="pt-PT" w:eastAsia="zh-CN"/>
        </w:rPr>
        <w:t>. Porto editora Lda. 2ed. Lisboa, 1997.</w:t>
      </w:r>
    </w:p>
    <w:p w:rsidR="00822436" w:rsidRPr="00802CF7" w:rsidRDefault="00822436" w:rsidP="00802CF7">
      <w:pPr>
        <w:pStyle w:val="PargrafodaLista"/>
        <w:numPr>
          <w:ilvl w:val="0"/>
          <w:numId w:val="13"/>
        </w:numPr>
        <w:spacing w:line="360" w:lineRule="auto"/>
        <w:jc w:val="both"/>
        <w:rPr>
          <w:rFonts w:ascii="Times New Roman" w:eastAsia="Calibri" w:hAnsi="Times New Roman" w:cs="Times New Roman"/>
          <w:sz w:val="24"/>
          <w:szCs w:val="24"/>
          <w:lang w:val="pt-PT"/>
        </w:rPr>
      </w:pPr>
      <w:r w:rsidRPr="00802CF7">
        <w:rPr>
          <w:rFonts w:ascii="Times New Roman" w:eastAsia="Calibri" w:hAnsi="Times New Roman" w:cs="Times New Roman"/>
          <w:sz w:val="24"/>
          <w:szCs w:val="24"/>
          <w:lang w:val="pt-PT"/>
        </w:rPr>
        <w:t xml:space="preserve">FORTE, Sérgio Henrique Arruda Cavalcante. </w:t>
      </w:r>
      <w:r w:rsidRPr="00802CF7">
        <w:rPr>
          <w:rFonts w:ascii="Times New Roman" w:eastAsia="Calibri" w:hAnsi="Times New Roman" w:cs="Times New Roman"/>
          <w:i/>
          <w:sz w:val="24"/>
          <w:szCs w:val="24"/>
          <w:lang w:val="pt-PT"/>
        </w:rPr>
        <w:t>Manual de elaboração de tese, dissertação e monografia</w:t>
      </w:r>
      <w:r w:rsidRPr="00802CF7">
        <w:rPr>
          <w:rFonts w:ascii="Times New Roman" w:eastAsia="Calibri" w:hAnsi="Times New Roman" w:cs="Times New Roman"/>
          <w:sz w:val="24"/>
          <w:szCs w:val="24"/>
          <w:lang w:val="pt-PT"/>
        </w:rPr>
        <w:t xml:space="preserve">. Fortaleza: Universidade de Fortaleza. 2006.  </w:t>
      </w:r>
    </w:p>
    <w:p w:rsidR="00822436" w:rsidRPr="00802CF7" w:rsidRDefault="00822436" w:rsidP="00802CF7">
      <w:pPr>
        <w:pStyle w:val="PargrafodaLista"/>
        <w:numPr>
          <w:ilvl w:val="0"/>
          <w:numId w:val="13"/>
        </w:numPr>
        <w:spacing w:line="360" w:lineRule="auto"/>
        <w:jc w:val="both"/>
        <w:rPr>
          <w:rFonts w:ascii="Times New Roman" w:eastAsia="Calibri" w:hAnsi="Times New Roman" w:cs="Times New Roman"/>
          <w:sz w:val="24"/>
          <w:szCs w:val="24"/>
          <w:lang w:val="pt-PT"/>
        </w:rPr>
      </w:pPr>
      <w:r w:rsidRPr="00802CF7">
        <w:rPr>
          <w:rFonts w:ascii="Times New Roman" w:eastAsia="Times New Roman" w:hAnsi="Times New Roman" w:cs="Times New Roman"/>
          <w:sz w:val="24"/>
          <w:szCs w:val="24"/>
          <w:lang w:val="pt-PT"/>
        </w:rPr>
        <w:t xml:space="preserve">JOAQUIM, Nido. </w:t>
      </w:r>
      <w:r w:rsidRPr="00802CF7">
        <w:rPr>
          <w:rFonts w:ascii="Times New Roman" w:eastAsia="Times New Roman" w:hAnsi="Times New Roman" w:cs="Times New Roman"/>
          <w:i/>
          <w:sz w:val="24"/>
          <w:szCs w:val="24"/>
          <w:lang w:val="pt-PT"/>
        </w:rPr>
        <w:t>Prestígio e Identidade - uma análise sobre o consumo do álcool entre jovens no bairro Polana Caniço "A", Cidade de Maputo.</w:t>
      </w:r>
      <w:r w:rsidRPr="00802CF7">
        <w:rPr>
          <w:rFonts w:ascii="Times New Roman" w:eastAsia="Calibri" w:hAnsi="Times New Roman" w:cs="Times New Roman"/>
          <w:iCs/>
          <w:sz w:val="24"/>
          <w:szCs w:val="24"/>
          <w:lang w:val="pt-PT" w:eastAsia="pt-BR"/>
        </w:rPr>
        <w:t xml:space="preserve"> Tese </w:t>
      </w:r>
      <w:r w:rsidRPr="00802CF7">
        <w:rPr>
          <w:rFonts w:ascii="Times New Roman" w:eastAsia="Calibri" w:hAnsi="Times New Roman" w:cs="Times New Roman"/>
          <w:sz w:val="24"/>
          <w:szCs w:val="24"/>
          <w:lang w:val="pt-PT" w:eastAsia="pt-BR"/>
        </w:rPr>
        <w:t xml:space="preserve">- Faculdade de Letras e Ciências Sociais, Universidade Eduardo Mondlane. </w:t>
      </w:r>
      <w:r w:rsidRPr="00802CF7">
        <w:rPr>
          <w:rFonts w:ascii="Times New Roman" w:eastAsia="Times New Roman" w:hAnsi="Times New Roman" w:cs="Times New Roman"/>
          <w:sz w:val="24"/>
          <w:szCs w:val="24"/>
          <w:lang w:val="pt-PT"/>
        </w:rPr>
        <w:t>2017</w:t>
      </w:r>
    </w:p>
    <w:p w:rsidR="00822436" w:rsidRPr="00802CF7" w:rsidRDefault="00822436" w:rsidP="00802CF7">
      <w:pPr>
        <w:pStyle w:val="PargrafodaLista"/>
        <w:numPr>
          <w:ilvl w:val="0"/>
          <w:numId w:val="13"/>
        </w:numPr>
        <w:spacing w:line="360" w:lineRule="auto"/>
        <w:jc w:val="both"/>
        <w:rPr>
          <w:rFonts w:ascii="Times New Roman" w:eastAsia="Calibri" w:hAnsi="Times New Roman" w:cs="Times New Roman"/>
          <w:sz w:val="24"/>
          <w:szCs w:val="24"/>
          <w:lang w:val="pt-PT"/>
        </w:rPr>
      </w:pPr>
      <w:r w:rsidRPr="00802CF7">
        <w:rPr>
          <w:rFonts w:ascii="Times New Roman" w:eastAsia="Calibri" w:hAnsi="Times New Roman" w:cs="Times New Roman"/>
          <w:sz w:val="24"/>
          <w:szCs w:val="24"/>
          <w:lang w:val="pt-PT"/>
        </w:rPr>
        <w:t xml:space="preserve">SANTOS, António Raimundo dos. </w:t>
      </w:r>
      <w:r w:rsidRPr="00802CF7">
        <w:rPr>
          <w:rFonts w:ascii="Times New Roman" w:eastAsia="Calibri" w:hAnsi="Times New Roman" w:cs="Times New Roman"/>
          <w:bCs/>
          <w:i/>
          <w:sz w:val="24"/>
          <w:szCs w:val="24"/>
          <w:lang w:val="pt-PT"/>
        </w:rPr>
        <w:t>Metodologia Científica</w:t>
      </w:r>
      <w:r w:rsidRPr="00802CF7">
        <w:rPr>
          <w:rFonts w:ascii="Times New Roman" w:eastAsia="Calibri" w:hAnsi="Times New Roman" w:cs="Times New Roman"/>
          <w:sz w:val="24"/>
          <w:szCs w:val="24"/>
          <w:lang w:val="pt-PT"/>
        </w:rPr>
        <w:t>: a construção do conhecimento. 3ª ed. Rio de Janeiro: DP&amp;A, 2000.</w:t>
      </w:r>
    </w:p>
    <w:p w:rsidR="00822436" w:rsidRPr="00802CF7" w:rsidRDefault="00822436" w:rsidP="00802CF7">
      <w:pPr>
        <w:pStyle w:val="PargrafodaLista"/>
        <w:numPr>
          <w:ilvl w:val="0"/>
          <w:numId w:val="13"/>
        </w:numPr>
        <w:spacing w:line="360" w:lineRule="auto"/>
        <w:jc w:val="both"/>
        <w:rPr>
          <w:rFonts w:ascii="Times New Roman" w:eastAsia="Calibri" w:hAnsi="Times New Roman" w:cs="Times New Roman"/>
          <w:sz w:val="24"/>
          <w:szCs w:val="24"/>
          <w:lang w:val="pt-PT"/>
        </w:rPr>
      </w:pPr>
      <w:r w:rsidRPr="00802CF7">
        <w:rPr>
          <w:rFonts w:ascii="Times New Roman" w:eastAsia="Calibri" w:hAnsi="Times New Roman" w:cs="Times New Roman"/>
          <w:sz w:val="24"/>
          <w:szCs w:val="24"/>
          <w:lang w:val="pt-BR"/>
        </w:rPr>
        <w:t xml:space="preserve">SKINNER, Burrhus Frederic. </w:t>
      </w:r>
      <w:r w:rsidRPr="00802CF7">
        <w:rPr>
          <w:rFonts w:ascii="Times New Roman" w:eastAsia="Calibri" w:hAnsi="Times New Roman" w:cs="Times New Roman"/>
          <w:i/>
          <w:sz w:val="24"/>
          <w:szCs w:val="24"/>
          <w:lang w:val="pt-PT"/>
        </w:rPr>
        <w:t>Ciência e comportamento humano</w:t>
      </w:r>
      <w:r w:rsidRPr="00802CF7">
        <w:rPr>
          <w:rFonts w:ascii="Times New Roman" w:eastAsia="Calibri" w:hAnsi="Times New Roman" w:cs="Times New Roman"/>
          <w:sz w:val="24"/>
          <w:szCs w:val="24"/>
          <w:lang w:val="pt-PT"/>
        </w:rPr>
        <w:t>. SP, Martins Fontes, 2003.</w:t>
      </w:r>
    </w:p>
    <w:p w:rsidR="00822436" w:rsidRPr="00802CF7" w:rsidRDefault="00822436" w:rsidP="00802CF7">
      <w:pPr>
        <w:pStyle w:val="PargrafodaLista"/>
        <w:numPr>
          <w:ilvl w:val="0"/>
          <w:numId w:val="13"/>
        </w:numPr>
        <w:spacing w:line="360" w:lineRule="auto"/>
        <w:jc w:val="both"/>
        <w:rPr>
          <w:rFonts w:ascii="Times New Roman" w:eastAsia="Calibri" w:hAnsi="Times New Roman" w:cs="Times New Roman"/>
          <w:sz w:val="24"/>
          <w:szCs w:val="24"/>
          <w:lang w:val="pt-PT"/>
        </w:rPr>
      </w:pPr>
      <w:r w:rsidRPr="00802CF7">
        <w:rPr>
          <w:rFonts w:ascii="Times New Roman" w:eastAsia="Times New Roman" w:hAnsi="Times New Roman" w:cs="Times New Roman"/>
          <w:sz w:val="24"/>
          <w:szCs w:val="24"/>
          <w:lang w:val="pt-PT" w:eastAsia="zh-CN"/>
        </w:rPr>
        <w:t xml:space="preserve">UNICEF. </w:t>
      </w:r>
      <w:r w:rsidRPr="00802CF7">
        <w:rPr>
          <w:rFonts w:ascii="Times New Roman" w:eastAsia="Times New Roman" w:hAnsi="Times New Roman" w:cs="Times New Roman"/>
          <w:i/>
          <w:sz w:val="24"/>
          <w:szCs w:val="24"/>
          <w:lang w:val="pt-PT" w:eastAsia="zh-CN"/>
        </w:rPr>
        <w:t>Ao alcance da Humanidade: Um futuro para crianças de África</w:t>
      </w:r>
      <w:r w:rsidRPr="00802CF7">
        <w:rPr>
          <w:rFonts w:ascii="Times New Roman" w:eastAsia="Times New Roman" w:hAnsi="Times New Roman" w:cs="Times New Roman"/>
          <w:sz w:val="24"/>
          <w:szCs w:val="24"/>
          <w:lang w:val="pt-PT" w:eastAsia="zh-CN"/>
        </w:rPr>
        <w:t>. Ed.: índice editor. Maputo. 1988.</w:t>
      </w:r>
    </w:p>
    <w:p w:rsidR="00822436" w:rsidRPr="00802CF7" w:rsidRDefault="00822436" w:rsidP="00802CF7">
      <w:pPr>
        <w:pStyle w:val="PargrafodaLista"/>
        <w:numPr>
          <w:ilvl w:val="0"/>
          <w:numId w:val="13"/>
        </w:numPr>
        <w:spacing w:line="360" w:lineRule="auto"/>
        <w:jc w:val="both"/>
        <w:rPr>
          <w:rFonts w:ascii="Times New Roman" w:eastAsia="Calibri" w:hAnsi="Times New Roman" w:cs="Times New Roman"/>
          <w:sz w:val="24"/>
          <w:szCs w:val="24"/>
          <w:lang w:val="pt-PT"/>
        </w:rPr>
      </w:pPr>
      <w:r w:rsidRPr="00802CF7">
        <w:rPr>
          <w:rFonts w:ascii="Times New Roman" w:eastAsia="Times New Roman" w:hAnsi="Times New Roman" w:cs="Times New Roman"/>
          <w:sz w:val="24"/>
          <w:szCs w:val="24"/>
          <w:lang w:val="pt-PT"/>
        </w:rPr>
        <w:t xml:space="preserve">OIVEIRA, R. C. De. </w:t>
      </w:r>
      <w:r w:rsidRPr="00802CF7">
        <w:rPr>
          <w:rFonts w:ascii="Times New Roman" w:eastAsia="Times New Roman" w:hAnsi="Times New Roman" w:cs="Times New Roman"/>
          <w:i/>
          <w:sz w:val="24"/>
          <w:szCs w:val="24"/>
          <w:lang w:val="pt-PT"/>
        </w:rPr>
        <w:t>O Trabalho do antropólogo: olhar, ouvir, escreve.</w:t>
      </w:r>
      <w:r w:rsidRPr="00802CF7">
        <w:rPr>
          <w:rFonts w:ascii="Times New Roman" w:eastAsia="Times New Roman" w:hAnsi="Times New Roman" w:cs="Times New Roman"/>
          <w:sz w:val="24"/>
          <w:szCs w:val="24"/>
          <w:lang w:val="pt-PT"/>
        </w:rPr>
        <w:t xml:space="preserve"> Revista de antropologia, são Paulo, USP, v. 39 no 1. 1996</w:t>
      </w:r>
    </w:p>
    <w:p w:rsidR="00822436" w:rsidRPr="00772477" w:rsidRDefault="00822436" w:rsidP="00802CF7">
      <w:pPr>
        <w:pStyle w:val="PargrafodaLista"/>
        <w:numPr>
          <w:ilvl w:val="0"/>
          <w:numId w:val="13"/>
        </w:numPr>
        <w:spacing w:line="360" w:lineRule="auto"/>
        <w:jc w:val="both"/>
        <w:rPr>
          <w:rFonts w:ascii="Times New Roman" w:eastAsia="Calibri" w:hAnsi="Times New Roman" w:cs="Times New Roman"/>
          <w:sz w:val="24"/>
          <w:szCs w:val="24"/>
          <w:lang w:val="pt-PT"/>
        </w:rPr>
      </w:pPr>
      <w:r w:rsidRPr="00802CF7">
        <w:rPr>
          <w:rFonts w:ascii="Times New Roman" w:eastAsia="Calibri" w:hAnsi="Times New Roman" w:cs="Times New Roman"/>
          <w:sz w:val="24"/>
          <w:szCs w:val="24"/>
          <w:lang w:val="pt-PT"/>
        </w:rPr>
        <w:t xml:space="preserve">WHO. </w:t>
      </w:r>
      <w:r w:rsidRPr="00802CF7">
        <w:rPr>
          <w:rFonts w:ascii="Times New Roman" w:eastAsia="Calibri" w:hAnsi="Times New Roman" w:cs="Times New Roman"/>
          <w:i/>
          <w:sz w:val="24"/>
          <w:szCs w:val="24"/>
          <w:lang w:val="pt-PT"/>
        </w:rPr>
        <w:t>Preâmbulo à constituição da WorldHealthOrganization</w:t>
      </w:r>
      <w:r w:rsidRPr="00802CF7">
        <w:rPr>
          <w:rFonts w:ascii="Times New Roman" w:eastAsia="Calibri" w:hAnsi="Times New Roman" w:cs="Times New Roman"/>
          <w:sz w:val="24"/>
          <w:szCs w:val="24"/>
          <w:lang w:val="pt-PT"/>
        </w:rPr>
        <w:t xml:space="preserve">, adoptada pela International Health Conference, New York, 19-22 Junho, 1946; assinada em 22 Julho 1946 pelos representantes dos 61 estados. </w:t>
      </w:r>
      <w:r w:rsidRPr="00802CF7">
        <w:rPr>
          <w:rFonts w:ascii="Times New Roman" w:eastAsia="Calibri" w:hAnsi="Times New Roman" w:cs="Times New Roman"/>
          <w:i/>
          <w:iCs/>
          <w:sz w:val="24"/>
          <w:szCs w:val="24"/>
        </w:rPr>
        <w:t>Official Records of the World Health Organization</w:t>
      </w:r>
      <w:r w:rsidRPr="00802CF7">
        <w:rPr>
          <w:rFonts w:ascii="Times New Roman" w:eastAsia="Calibri" w:hAnsi="Times New Roman" w:cs="Times New Roman"/>
          <w:sz w:val="24"/>
          <w:szCs w:val="24"/>
        </w:rPr>
        <w:t>, nº. 2, p. 100</w:t>
      </w:r>
    </w:p>
    <w:sectPr w:rsidR="00822436" w:rsidRPr="0077247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EF6" w:rsidRDefault="006B3EF6" w:rsidP="000A6329">
      <w:pPr>
        <w:spacing w:after="0" w:line="240" w:lineRule="auto"/>
      </w:pPr>
      <w:r>
        <w:separator/>
      </w:r>
    </w:p>
  </w:endnote>
  <w:endnote w:type="continuationSeparator" w:id="0">
    <w:p w:rsidR="006B3EF6" w:rsidRDefault="006B3EF6" w:rsidP="000A6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607553"/>
      <w:docPartObj>
        <w:docPartGallery w:val="Page Numbers (Bottom of Page)"/>
        <w:docPartUnique/>
      </w:docPartObj>
    </w:sdtPr>
    <w:sdtEndPr/>
    <w:sdtContent>
      <w:p w:rsidR="000A6329" w:rsidRDefault="000A6329">
        <w:pPr>
          <w:pStyle w:val="Rodap"/>
          <w:jc w:val="right"/>
        </w:pPr>
        <w:r>
          <w:fldChar w:fldCharType="begin"/>
        </w:r>
        <w:r>
          <w:instrText>PAGE   \* MERGEFORMAT</w:instrText>
        </w:r>
        <w:r>
          <w:fldChar w:fldCharType="separate"/>
        </w:r>
        <w:r w:rsidR="006B3EF6" w:rsidRPr="006B3EF6">
          <w:rPr>
            <w:noProof/>
            <w:lang w:val="pt-BR"/>
          </w:rPr>
          <w:t>1</w:t>
        </w:r>
        <w:r>
          <w:fldChar w:fldCharType="end"/>
        </w:r>
      </w:p>
    </w:sdtContent>
  </w:sdt>
  <w:p w:rsidR="000A6329" w:rsidRDefault="000A6329">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EF6" w:rsidRDefault="006B3EF6" w:rsidP="000A6329">
      <w:pPr>
        <w:spacing w:after="0" w:line="240" w:lineRule="auto"/>
      </w:pPr>
      <w:r>
        <w:separator/>
      </w:r>
    </w:p>
  </w:footnote>
  <w:footnote w:type="continuationSeparator" w:id="0">
    <w:p w:rsidR="006B3EF6" w:rsidRDefault="006B3EF6" w:rsidP="000A6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872"/>
    <w:multiLevelType w:val="hybridMultilevel"/>
    <w:tmpl w:val="4BA4487A"/>
    <w:lvl w:ilvl="0" w:tplc="0816000F">
      <w:start w:val="1"/>
      <w:numFmt w:val="decimal"/>
      <w:lvlText w:val="%1."/>
      <w:lvlJc w:val="left"/>
      <w:pPr>
        <w:ind w:left="2160" w:hanging="360"/>
      </w:pPr>
    </w:lvl>
    <w:lvl w:ilvl="1" w:tplc="08160019" w:tentative="1">
      <w:start w:val="1"/>
      <w:numFmt w:val="lowerLetter"/>
      <w:lvlText w:val="%2."/>
      <w:lvlJc w:val="left"/>
      <w:pPr>
        <w:ind w:left="2880" w:hanging="360"/>
      </w:pPr>
    </w:lvl>
    <w:lvl w:ilvl="2" w:tplc="0816001B" w:tentative="1">
      <w:start w:val="1"/>
      <w:numFmt w:val="lowerRoman"/>
      <w:lvlText w:val="%3."/>
      <w:lvlJc w:val="right"/>
      <w:pPr>
        <w:ind w:left="3600" w:hanging="180"/>
      </w:pPr>
    </w:lvl>
    <w:lvl w:ilvl="3" w:tplc="0816000F" w:tentative="1">
      <w:start w:val="1"/>
      <w:numFmt w:val="decimal"/>
      <w:lvlText w:val="%4."/>
      <w:lvlJc w:val="left"/>
      <w:pPr>
        <w:ind w:left="4320" w:hanging="360"/>
      </w:pPr>
    </w:lvl>
    <w:lvl w:ilvl="4" w:tplc="08160019" w:tentative="1">
      <w:start w:val="1"/>
      <w:numFmt w:val="lowerLetter"/>
      <w:lvlText w:val="%5."/>
      <w:lvlJc w:val="left"/>
      <w:pPr>
        <w:ind w:left="5040" w:hanging="360"/>
      </w:pPr>
    </w:lvl>
    <w:lvl w:ilvl="5" w:tplc="0816001B" w:tentative="1">
      <w:start w:val="1"/>
      <w:numFmt w:val="lowerRoman"/>
      <w:lvlText w:val="%6."/>
      <w:lvlJc w:val="right"/>
      <w:pPr>
        <w:ind w:left="5760" w:hanging="180"/>
      </w:pPr>
    </w:lvl>
    <w:lvl w:ilvl="6" w:tplc="0816000F" w:tentative="1">
      <w:start w:val="1"/>
      <w:numFmt w:val="decimal"/>
      <w:lvlText w:val="%7."/>
      <w:lvlJc w:val="left"/>
      <w:pPr>
        <w:ind w:left="6480" w:hanging="360"/>
      </w:pPr>
    </w:lvl>
    <w:lvl w:ilvl="7" w:tplc="08160019" w:tentative="1">
      <w:start w:val="1"/>
      <w:numFmt w:val="lowerLetter"/>
      <w:lvlText w:val="%8."/>
      <w:lvlJc w:val="left"/>
      <w:pPr>
        <w:ind w:left="7200" w:hanging="360"/>
      </w:pPr>
    </w:lvl>
    <w:lvl w:ilvl="8" w:tplc="0816001B" w:tentative="1">
      <w:start w:val="1"/>
      <w:numFmt w:val="lowerRoman"/>
      <w:lvlText w:val="%9."/>
      <w:lvlJc w:val="right"/>
      <w:pPr>
        <w:ind w:left="7920" w:hanging="180"/>
      </w:pPr>
    </w:lvl>
  </w:abstractNum>
  <w:abstractNum w:abstractNumId="1" w15:restartNumberingAfterBreak="0">
    <w:nsid w:val="02582451"/>
    <w:multiLevelType w:val="hybridMultilevel"/>
    <w:tmpl w:val="EEF4A80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0780C48"/>
    <w:multiLevelType w:val="hybridMultilevel"/>
    <w:tmpl w:val="C40ED374"/>
    <w:lvl w:ilvl="0" w:tplc="0816000F">
      <w:start w:val="1"/>
      <w:numFmt w:val="decimal"/>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3" w15:restartNumberingAfterBreak="0">
    <w:nsid w:val="11A51B27"/>
    <w:multiLevelType w:val="hybridMultilevel"/>
    <w:tmpl w:val="27066744"/>
    <w:lvl w:ilvl="0" w:tplc="5C884A3A">
      <w:start w:val="1"/>
      <w:numFmt w:val="bullet"/>
      <w:lvlText w:val="•"/>
      <w:lvlJc w:val="left"/>
      <w:pPr>
        <w:ind w:left="1080" w:hanging="360"/>
      </w:pPr>
      <w:rPr>
        <w:rFonts w:ascii="Times New Roman" w:eastAsia="Calibri" w:hAnsi="Times New Roman" w:cs="Times New Roman" w:hint="default"/>
        <w:i w:val="0"/>
        <w:sz w:val="24"/>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4" w15:restartNumberingAfterBreak="0">
    <w:nsid w:val="35095500"/>
    <w:multiLevelType w:val="hybridMultilevel"/>
    <w:tmpl w:val="4A446128"/>
    <w:lvl w:ilvl="0" w:tplc="0816000F">
      <w:start w:val="1"/>
      <w:numFmt w:val="decimal"/>
      <w:lvlText w:val="%1."/>
      <w:lvlJc w:val="left"/>
      <w:pPr>
        <w:ind w:left="1505" w:hanging="360"/>
      </w:pPr>
    </w:lvl>
    <w:lvl w:ilvl="1" w:tplc="08160019" w:tentative="1">
      <w:start w:val="1"/>
      <w:numFmt w:val="lowerLetter"/>
      <w:lvlText w:val="%2."/>
      <w:lvlJc w:val="left"/>
      <w:pPr>
        <w:ind w:left="2225" w:hanging="360"/>
      </w:pPr>
    </w:lvl>
    <w:lvl w:ilvl="2" w:tplc="0816001B" w:tentative="1">
      <w:start w:val="1"/>
      <w:numFmt w:val="lowerRoman"/>
      <w:lvlText w:val="%3."/>
      <w:lvlJc w:val="right"/>
      <w:pPr>
        <w:ind w:left="2945" w:hanging="180"/>
      </w:pPr>
    </w:lvl>
    <w:lvl w:ilvl="3" w:tplc="0816000F" w:tentative="1">
      <w:start w:val="1"/>
      <w:numFmt w:val="decimal"/>
      <w:lvlText w:val="%4."/>
      <w:lvlJc w:val="left"/>
      <w:pPr>
        <w:ind w:left="3665" w:hanging="360"/>
      </w:pPr>
    </w:lvl>
    <w:lvl w:ilvl="4" w:tplc="08160019" w:tentative="1">
      <w:start w:val="1"/>
      <w:numFmt w:val="lowerLetter"/>
      <w:lvlText w:val="%5."/>
      <w:lvlJc w:val="left"/>
      <w:pPr>
        <w:ind w:left="4385" w:hanging="360"/>
      </w:pPr>
    </w:lvl>
    <w:lvl w:ilvl="5" w:tplc="0816001B" w:tentative="1">
      <w:start w:val="1"/>
      <w:numFmt w:val="lowerRoman"/>
      <w:lvlText w:val="%6."/>
      <w:lvlJc w:val="right"/>
      <w:pPr>
        <w:ind w:left="5105" w:hanging="180"/>
      </w:pPr>
    </w:lvl>
    <w:lvl w:ilvl="6" w:tplc="0816000F" w:tentative="1">
      <w:start w:val="1"/>
      <w:numFmt w:val="decimal"/>
      <w:lvlText w:val="%7."/>
      <w:lvlJc w:val="left"/>
      <w:pPr>
        <w:ind w:left="5825" w:hanging="360"/>
      </w:pPr>
    </w:lvl>
    <w:lvl w:ilvl="7" w:tplc="08160019" w:tentative="1">
      <w:start w:val="1"/>
      <w:numFmt w:val="lowerLetter"/>
      <w:lvlText w:val="%8."/>
      <w:lvlJc w:val="left"/>
      <w:pPr>
        <w:ind w:left="6545" w:hanging="360"/>
      </w:pPr>
    </w:lvl>
    <w:lvl w:ilvl="8" w:tplc="0816001B" w:tentative="1">
      <w:start w:val="1"/>
      <w:numFmt w:val="lowerRoman"/>
      <w:lvlText w:val="%9."/>
      <w:lvlJc w:val="right"/>
      <w:pPr>
        <w:ind w:left="7265" w:hanging="180"/>
      </w:pPr>
    </w:lvl>
  </w:abstractNum>
  <w:abstractNum w:abstractNumId="5" w15:restartNumberingAfterBreak="0">
    <w:nsid w:val="38554839"/>
    <w:multiLevelType w:val="hybridMultilevel"/>
    <w:tmpl w:val="03CE4CB0"/>
    <w:lvl w:ilvl="0" w:tplc="3B327974">
      <w:start w:val="1"/>
      <w:numFmt w:val="lowerRoman"/>
      <w:lvlText w:val="%1."/>
      <w:lvlJc w:val="left"/>
      <w:pPr>
        <w:ind w:left="3000" w:hanging="72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6" w15:restartNumberingAfterBreak="0">
    <w:nsid w:val="398A3241"/>
    <w:multiLevelType w:val="hybridMultilevel"/>
    <w:tmpl w:val="00668E96"/>
    <w:lvl w:ilvl="0" w:tplc="5E7E7A36">
      <w:numFmt w:val="bullet"/>
      <w:lvlText w:val="•"/>
      <w:lvlJc w:val="left"/>
      <w:pPr>
        <w:ind w:left="1140" w:hanging="360"/>
      </w:pPr>
      <w:rPr>
        <w:rFonts w:ascii="Times New Roman" w:eastAsia="Calibri" w:hAnsi="Times New Roman" w:cs="Times New Roman" w:hint="default"/>
      </w:rPr>
    </w:lvl>
    <w:lvl w:ilvl="1" w:tplc="08160003" w:tentative="1">
      <w:start w:val="1"/>
      <w:numFmt w:val="bullet"/>
      <w:lvlText w:val="o"/>
      <w:lvlJc w:val="left"/>
      <w:pPr>
        <w:ind w:left="1860" w:hanging="360"/>
      </w:pPr>
      <w:rPr>
        <w:rFonts w:ascii="Courier New" w:hAnsi="Courier New" w:cs="Courier New" w:hint="default"/>
      </w:rPr>
    </w:lvl>
    <w:lvl w:ilvl="2" w:tplc="08160005" w:tentative="1">
      <w:start w:val="1"/>
      <w:numFmt w:val="bullet"/>
      <w:lvlText w:val=""/>
      <w:lvlJc w:val="left"/>
      <w:pPr>
        <w:ind w:left="2580" w:hanging="360"/>
      </w:pPr>
      <w:rPr>
        <w:rFonts w:ascii="Wingdings" w:hAnsi="Wingdings" w:hint="default"/>
      </w:rPr>
    </w:lvl>
    <w:lvl w:ilvl="3" w:tplc="08160001" w:tentative="1">
      <w:start w:val="1"/>
      <w:numFmt w:val="bullet"/>
      <w:lvlText w:val=""/>
      <w:lvlJc w:val="left"/>
      <w:pPr>
        <w:ind w:left="3300" w:hanging="360"/>
      </w:pPr>
      <w:rPr>
        <w:rFonts w:ascii="Symbol" w:hAnsi="Symbol" w:hint="default"/>
      </w:rPr>
    </w:lvl>
    <w:lvl w:ilvl="4" w:tplc="08160003" w:tentative="1">
      <w:start w:val="1"/>
      <w:numFmt w:val="bullet"/>
      <w:lvlText w:val="o"/>
      <w:lvlJc w:val="left"/>
      <w:pPr>
        <w:ind w:left="4020" w:hanging="360"/>
      </w:pPr>
      <w:rPr>
        <w:rFonts w:ascii="Courier New" w:hAnsi="Courier New" w:cs="Courier New" w:hint="default"/>
      </w:rPr>
    </w:lvl>
    <w:lvl w:ilvl="5" w:tplc="08160005" w:tentative="1">
      <w:start w:val="1"/>
      <w:numFmt w:val="bullet"/>
      <w:lvlText w:val=""/>
      <w:lvlJc w:val="left"/>
      <w:pPr>
        <w:ind w:left="4740" w:hanging="360"/>
      </w:pPr>
      <w:rPr>
        <w:rFonts w:ascii="Wingdings" w:hAnsi="Wingdings" w:hint="default"/>
      </w:rPr>
    </w:lvl>
    <w:lvl w:ilvl="6" w:tplc="08160001" w:tentative="1">
      <w:start w:val="1"/>
      <w:numFmt w:val="bullet"/>
      <w:lvlText w:val=""/>
      <w:lvlJc w:val="left"/>
      <w:pPr>
        <w:ind w:left="5460" w:hanging="360"/>
      </w:pPr>
      <w:rPr>
        <w:rFonts w:ascii="Symbol" w:hAnsi="Symbol" w:hint="default"/>
      </w:rPr>
    </w:lvl>
    <w:lvl w:ilvl="7" w:tplc="08160003" w:tentative="1">
      <w:start w:val="1"/>
      <w:numFmt w:val="bullet"/>
      <w:lvlText w:val="o"/>
      <w:lvlJc w:val="left"/>
      <w:pPr>
        <w:ind w:left="6180" w:hanging="360"/>
      </w:pPr>
      <w:rPr>
        <w:rFonts w:ascii="Courier New" w:hAnsi="Courier New" w:cs="Courier New" w:hint="default"/>
      </w:rPr>
    </w:lvl>
    <w:lvl w:ilvl="8" w:tplc="08160005" w:tentative="1">
      <w:start w:val="1"/>
      <w:numFmt w:val="bullet"/>
      <w:lvlText w:val=""/>
      <w:lvlJc w:val="left"/>
      <w:pPr>
        <w:ind w:left="6900" w:hanging="360"/>
      </w:pPr>
      <w:rPr>
        <w:rFonts w:ascii="Wingdings" w:hAnsi="Wingdings" w:hint="default"/>
      </w:rPr>
    </w:lvl>
  </w:abstractNum>
  <w:abstractNum w:abstractNumId="7" w15:restartNumberingAfterBreak="0">
    <w:nsid w:val="3B24134B"/>
    <w:multiLevelType w:val="hybridMultilevel"/>
    <w:tmpl w:val="C7B8703E"/>
    <w:lvl w:ilvl="0" w:tplc="0816000F">
      <w:start w:val="1"/>
      <w:numFmt w:val="decimal"/>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8" w15:restartNumberingAfterBreak="0">
    <w:nsid w:val="40F42277"/>
    <w:multiLevelType w:val="hybridMultilevel"/>
    <w:tmpl w:val="B7664A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3683EA2"/>
    <w:multiLevelType w:val="hybridMultilevel"/>
    <w:tmpl w:val="7246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F51249"/>
    <w:multiLevelType w:val="hybridMultilevel"/>
    <w:tmpl w:val="3C828FC8"/>
    <w:lvl w:ilvl="0" w:tplc="0816000F">
      <w:start w:val="1"/>
      <w:numFmt w:val="decimal"/>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1" w15:restartNumberingAfterBreak="0">
    <w:nsid w:val="55F55E6A"/>
    <w:multiLevelType w:val="hybridMultilevel"/>
    <w:tmpl w:val="BD2267A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564F6DC0"/>
    <w:multiLevelType w:val="hybridMultilevel"/>
    <w:tmpl w:val="A8D2F40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3" w15:restartNumberingAfterBreak="0">
    <w:nsid w:val="5A1A711E"/>
    <w:multiLevelType w:val="hybridMultilevel"/>
    <w:tmpl w:val="D0307826"/>
    <w:lvl w:ilvl="0" w:tplc="3B327974">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5A540766"/>
    <w:multiLevelType w:val="hybridMultilevel"/>
    <w:tmpl w:val="E2C08F1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5BBE5560"/>
    <w:multiLevelType w:val="hybridMultilevel"/>
    <w:tmpl w:val="418645BE"/>
    <w:lvl w:ilvl="0" w:tplc="01B00B50">
      <w:start w:val="1"/>
      <w:numFmt w:val="decimal"/>
      <w:lvlText w:val="%1."/>
      <w:lvlJc w:val="left"/>
      <w:pPr>
        <w:ind w:left="2520" w:hanging="360"/>
      </w:pPr>
      <w:rPr>
        <w:rFonts w:eastAsiaTheme="majorEastAsia" w:hint="default"/>
        <w:b/>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64ED2C4E"/>
    <w:multiLevelType w:val="hybridMultilevel"/>
    <w:tmpl w:val="E32A67AA"/>
    <w:lvl w:ilvl="0" w:tplc="0816000F">
      <w:start w:val="1"/>
      <w:numFmt w:val="decimal"/>
      <w:lvlText w:val="%1."/>
      <w:lvlJc w:val="left"/>
      <w:pPr>
        <w:ind w:left="785" w:hanging="360"/>
      </w:pPr>
      <w:rPr>
        <w:rFont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7" w15:restartNumberingAfterBreak="0">
    <w:nsid w:val="68EA1BB4"/>
    <w:multiLevelType w:val="hybridMultilevel"/>
    <w:tmpl w:val="22E07168"/>
    <w:lvl w:ilvl="0" w:tplc="0816000F">
      <w:start w:val="1"/>
      <w:numFmt w:val="decimal"/>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8" w15:restartNumberingAfterBreak="0">
    <w:nsid w:val="7AFE3696"/>
    <w:multiLevelType w:val="hybridMultilevel"/>
    <w:tmpl w:val="9BACC3A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9"/>
  </w:num>
  <w:num w:numId="2">
    <w:abstractNumId w:val="12"/>
  </w:num>
  <w:num w:numId="3">
    <w:abstractNumId w:val="10"/>
  </w:num>
  <w:num w:numId="4">
    <w:abstractNumId w:val="6"/>
  </w:num>
  <w:num w:numId="5">
    <w:abstractNumId w:val="16"/>
  </w:num>
  <w:num w:numId="6">
    <w:abstractNumId w:val="4"/>
  </w:num>
  <w:num w:numId="7">
    <w:abstractNumId w:val="7"/>
  </w:num>
  <w:num w:numId="8">
    <w:abstractNumId w:val="0"/>
  </w:num>
  <w:num w:numId="9">
    <w:abstractNumId w:val="17"/>
  </w:num>
  <w:num w:numId="10">
    <w:abstractNumId w:val="3"/>
  </w:num>
  <w:num w:numId="11">
    <w:abstractNumId w:val="18"/>
  </w:num>
  <w:num w:numId="12">
    <w:abstractNumId w:val="2"/>
  </w:num>
  <w:num w:numId="13">
    <w:abstractNumId w:val="11"/>
  </w:num>
  <w:num w:numId="14">
    <w:abstractNumId w:val="13"/>
  </w:num>
  <w:num w:numId="15">
    <w:abstractNumId w:val="5"/>
  </w:num>
  <w:num w:numId="16">
    <w:abstractNumId w:val="8"/>
  </w:num>
  <w:num w:numId="17">
    <w:abstractNumId w:val="15"/>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6C0"/>
    <w:rsid w:val="00014EA3"/>
    <w:rsid w:val="0006016A"/>
    <w:rsid w:val="000A6329"/>
    <w:rsid w:val="000A702F"/>
    <w:rsid w:val="000D12D8"/>
    <w:rsid w:val="00104D9C"/>
    <w:rsid w:val="0012184B"/>
    <w:rsid w:val="0012609D"/>
    <w:rsid w:val="001A0595"/>
    <w:rsid w:val="002141AA"/>
    <w:rsid w:val="002547ED"/>
    <w:rsid w:val="002A659C"/>
    <w:rsid w:val="003012DD"/>
    <w:rsid w:val="00311225"/>
    <w:rsid w:val="00367346"/>
    <w:rsid w:val="003705C2"/>
    <w:rsid w:val="00407D04"/>
    <w:rsid w:val="00413039"/>
    <w:rsid w:val="00467BDE"/>
    <w:rsid w:val="004B7DED"/>
    <w:rsid w:val="004C46C0"/>
    <w:rsid w:val="004D0797"/>
    <w:rsid w:val="004E58B8"/>
    <w:rsid w:val="00562DBF"/>
    <w:rsid w:val="00567C31"/>
    <w:rsid w:val="00582CF3"/>
    <w:rsid w:val="005977CA"/>
    <w:rsid w:val="0060712D"/>
    <w:rsid w:val="00612364"/>
    <w:rsid w:val="00637065"/>
    <w:rsid w:val="006525AF"/>
    <w:rsid w:val="006B3EF6"/>
    <w:rsid w:val="007257DC"/>
    <w:rsid w:val="00772477"/>
    <w:rsid w:val="007E2530"/>
    <w:rsid w:val="00802CF7"/>
    <w:rsid w:val="00822436"/>
    <w:rsid w:val="008A030A"/>
    <w:rsid w:val="00931B91"/>
    <w:rsid w:val="00966EB7"/>
    <w:rsid w:val="009B1EBD"/>
    <w:rsid w:val="00A639F1"/>
    <w:rsid w:val="00AD20B6"/>
    <w:rsid w:val="00AE7DF1"/>
    <w:rsid w:val="00B26CE1"/>
    <w:rsid w:val="00B67363"/>
    <w:rsid w:val="00C66BE0"/>
    <w:rsid w:val="00C70ABC"/>
    <w:rsid w:val="00C70E89"/>
    <w:rsid w:val="00CB3BB6"/>
    <w:rsid w:val="00CB3E5A"/>
    <w:rsid w:val="00CC320A"/>
    <w:rsid w:val="00D05356"/>
    <w:rsid w:val="00D777B0"/>
    <w:rsid w:val="00DA04B7"/>
    <w:rsid w:val="00DB08D5"/>
    <w:rsid w:val="00E74F09"/>
    <w:rsid w:val="00EB3DF2"/>
    <w:rsid w:val="00EB440A"/>
    <w:rsid w:val="00EC2D12"/>
    <w:rsid w:val="00ED2D3B"/>
    <w:rsid w:val="00ED4FB9"/>
    <w:rsid w:val="00EE3918"/>
    <w:rsid w:val="00F100A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2EFC"/>
  <w15:chartTrackingRefBased/>
  <w15:docId w15:val="{A63A2CEF-DDF5-452C-9B34-5572AFF9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6C0"/>
    <w:pPr>
      <w:spacing w:after="200" w:line="276" w:lineRule="auto"/>
    </w:pPr>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C46C0"/>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D05356"/>
    <w:pPr>
      <w:ind w:left="720"/>
      <w:contextualSpacing/>
    </w:pPr>
  </w:style>
  <w:style w:type="paragraph" w:styleId="Cabealho">
    <w:name w:val="header"/>
    <w:basedOn w:val="Normal"/>
    <w:link w:val="CabealhoChar"/>
    <w:uiPriority w:val="99"/>
    <w:unhideWhenUsed/>
    <w:rsid w:val="000A63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6329"/>
    <w:rPr>
      <w:lang w:val="en-US"/>
    </w:rPr>
  </w:style>
  <w:style w:type="paragraph" w:styleId="Rodap">
    <w:name w:val="footer"/>
    <w:basedOn w:val="Normal"/>
    <w:link w:val="RodapChar"/>
    <w:uiPriority w:val="99"/>
    <w:unhideWhenUsed/>
    <w:rsid w:val="000A6329"/>
    <w:pPr>
      <w:tabs>
        <w:tab w:val="center" w:pos="4252"/>
        <w:tab w:val="right" w:pos="8504"/>
      </w:tabs>
      <w:spacing w:after="0" w:line="240" w:lineRule="auto"/>
    </w:pPr>
  </w:style>
  <w:style w:type="character" w:customStyle="1" w:styleId="RodapChar">
    <w:name w:val="Rodapé Char"/>
    <w:basedOn w:val="Fontepargpadro"/>
    <w:link w:val="Rodap"/>
    <w:uiPriority w:val="99"/>
    <w:rsid w:val="000A632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ubiascapain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17</Pages>
  <Words>6424</Words>
  <Characters>34691</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Estudante</dc:creator>
  <cp:keywords/>
  <dc:description/>
  <cp:lastModifiedBy>Estudante</cp:lastModifiedBy>
  <cp:revision>54</cp:revision>
  <dcterms:created xsi:type="dcterms:W3CDTF">2019-09-11T12:23:00Z</dcterms:created>
  <dcterms:modified xsi:type="dcterms:W3CDTF">2019-09-13T13:06:00Z</dcterms:modified>
</cp:coreProperties>
</file>