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8FC" w:rsidRPr="00883D2E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83D2E">
        <w:rPr>
          <w:rFonts w:ascii="Arial" w:hAnsi="Arial" w:cs="Arial"/>
          <w:sz w:val="24"/>
          <w:szCs w:val="24"/>
        </w:rPr>
        <w:t>PONTIFÍCIA UNIVERSIDADE CATÓLICA DE MINAS GERAIS – PUC-MINAS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Ciências Econômicas e Gerenciais</w:t>
      </w:r>
      <w:r w:rsidR="0087129D">
        <w:rPr>
          <w:rFonts w:ascii="Arial" w:hAnsi="Arial" w:cs="Arial"/>
          <w:sz w:val="24"/>
          <w:szCs w:val="24"/>
        </w:rPr>
        <w:t xml:space="preserve"> - ICEG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7129D" w:rsidRDefault="0087129D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Izabela</w:t>
      </w:r>
      <w:proofErr w:type="spellEnd"/>
      <w:r>
        <w:rPr>
          <w:rFonts w:ascii="Arial" w:hAnsi="Arial" w:cs="Arial"/>
          <w:sz w:val="24"/>
          <w:szCs w:val="24"/>
        </w:rPr>
        <w:t xml:space="preserve"> de Fátima Silveira Costa</w:t>
      </w:r>
    </w:p>
    <w:p w:rsidR="0087129D" w:rsidRDefault="0087129D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Mariana Felício Alves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F39E1" w:rsidRDefault="00BF39E1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F39E1" w:rsidRDefault="00BF39E1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F39E1" w:rsidRDefault="00BF39E1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7129D" w:rsidRDefault="00B34D75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FUSÃO ITAÚ-UNIBANCO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B34D75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 INTERVENÇÃO DO CADE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</w:t>
      </w:r>
    </w:p>
    <w:p w:rsidR="00A26130" w:rsidRDefault="00A26130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446567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F0F8E" w:rsidRPr="00BF0F8E" w:rsidRDefault="00BF0F8E" w:rsidP="00BF0F8E">
          <w:pPr>
            <w:pStyle w:val="CabealhodoSumrio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BF0F8E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:rsidR="00BF0F8E" w:rsidRPr="00BF0F8E" w:rsidRDefault="00BF0F8E" w:rsidP="00BF0F8E">
          <w:pPr>
            <w:rPr>
              <w:lang w:eastAsia="pt-BR"/>
            </w:rPr>
          </w:pPr>
        </w:p>
        <w:p w:rsidR="00BF0F8E" w:rsidRDefault="00BF0F8E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9443" w:history="1">
            <w:r w:rsidRPr="008152CF">
              <w:rPr>
                <w:rStyle w:val="Hyperlink"/>
                <w:noProof/>
              </w:rPr>
              <w:t>O que é Cade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F8E" w:rsidRDefault="00AF3899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259444" w:history="1">
            <w:r w:rsidR="00BF0F8E" w:rsidRPr="008152CF">
              <w:rPr>
                <w:rStyle w:val="Hyperlink"/>
                <w:noProof/>
              </w:rPr>
              <w:t>Fusão Itaú-Unibanco e a análise do Cade</w:t>
            </w:r>
            <w:r w:rsidR="00BF0F8E">
              <w:rPr>
                <w:noProof/>
                <w:webHidden/>
              </w:rPr>
              <w:tab/>
            </w:r>
            <w:r w:rsidR="00BF0F8E">
              <w:rPr>
                <w:noProof/>
                <w:webHidden/>
              </w:rPr>
              <w:fldChar w:fldCharType="begin"/>
            </w:r>
            <w:r w:rsidR="00BF0F8E">
              <w:rPr>
                <w:noProof/>
                <w:webHidden/>
              </w:rPr>
              <w:instrText xml:space="preserve"> PAGEREF _Toc259444 \h </w:instrText>
            </w:r>
            <w:r w:rsidR="00BF0F8E">
              <w:rPr>
                <w:noProof/>
                <w:webHidden/>
              </w:rPr>
            </w:r>
            <w:r w:rsidR="00BF0F8E">
              <w:rPr>
                <w:noProof/>
                <w:webHidden/>
              </w:rPr>
              <w:fldChar w:fldCharType="separate"/>
            </w:r>
            <w:r w:rsidR="00BF0F8E">
              <w:rPr>
                <w:noProof/>
                <w:webHidden/>
              </w:rPr>
              <w:t>3</w:t>
            </w:r>
            <w:r w:rsidR="00BF0F8E">
              <w:rPr>
                <w:noProof/>
                <w:webHidden/>
              </w:rPr>
              <w:fldChar w:fldCharType="end"/>
            </w:r>
          </w:hyperlink>
        </w:p>
        <w:p w:rsidR="00BF0F8E" w:rsidRDefault="00AF3899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259445" w:history="1">
            <w:r w:rsidR="00BF0F8E" w:rsidRPr="008152CF">
              <w:rPr>
                <w:rStyle w:val="Hyperlink"/>
                <w:noProof/>
              </w:rPr>
              <w:t>Bibliografia</w:t>
            </w:r>
            <w:r w:rsidR="00BF0F8E">
              <w:rPr>
                <w:noProof/>
                <w:webHidden/>
              </w:rPr>
              <w:tab/>
            </w:r>
            <w:r w:rsidR="00BF0F8E">
              <w:rPr>
                <w:noProof/>
                <w:webHidden/>
              </w:rPr>
              <w:fldChar w:fldCharType="begin"/>
            </w:r>
            <w:r w:rsidR="00BF0F8E">
              <w:rPr>
                <w:noProof/>
                <w:webHidden/>
              </w:rPr>
              <w:instrText xml:space="preserve"> PAGEREF _Toc259445 \h </w:instrText>
            </w:r>
            <w:r w:rsidR="00BF0F8E">
              <w:rPr>
                <w:noProof/>
                <w:webHidden/>
              </w:rPr>
            </w:r>
            <w:r w:rsidR="00BF0F8E">
              <w:rPr>
                <w:noProof/>
                <w:webHidden/>
              </w:rPr>
              <w:fldChar w:fldCharType="separate"/>
            </w:r>
            <w:r w:rsidR="00BF0F8E">
              <w:rPr>
                <w:noProof/>
                <w:webHidden/>
              </w:rPr>
              <w:t>5</w:t>
            </w:r>
            <w:r w:rsidR="00BF0F8E">
              <w:rPr>
                <w:noProof/>
                <w:webHidden/>
              </w:rPr>
              <w:fldChar w:fldCharType="end"/>
            </w:r>
          </w:hyperlink>
        </w:p>
        <w:p w:rsidR="00BF0F8E" w:rsidRDefault="00BF0F8E">
          <w:r>
            <w:rPr>
              <w:b/>
              <w:bCs/>
            </w:rPr>
            <w:fldChar w:fldCharType="end"/>
          </w:r>
        </w:p>
      </w:sdtContent>
    </w:sdt>
    <w:p w:rsidR="00BF0F8E" w:rsidRDefault="00BF0F8E" w:rsidP="0087129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F0F8E" w:rsidRDefault="00BF0F8E" w:rsidP="00BF0F8E">
      <w:pPr>
        <w:pStyle w:val="Ttulo1"/>
      </w:pPr>
      <w:bookmarkStart w:id="0" w:name="_Toc259443"/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>
      <w:pPr>
        <w:pStyle w:val="Ttulo1"/>
      </w:pPr>
    </w:p>
    <w:p w:rsidR="00BF0F8E" w:rsidRDefault="00BF0F8E" w:rsidP="00BF0F8E"/>
    <w:p w:rsidR="00BF0F8E" w:rsidRDefault="00BF0F8E" w:rsidP="00BF0F8E"/>
    <w:p w:rsidR="00BF0F8E" w:rsidRDefault="00BF0F8E" w:rsidP="00BF0F8E"/>
    <w:p w:rsidR="00BF0F8E" w:rsidRPr="00BF0F8E" w:rsidRDefault="00BF0F8E" w:rsidP="00BF0F8E"/>
    <w:p w:rsidR="0087129D" w:rsidRPr="00BF0F8E" w:rsidRDefault="0087129D" w:rsidP="00BF0F8E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BF0F8E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O que é </w:t>
      </w:r>
      <w:proofErr w:type="spellStart"/>
      <w:r w:rsidRPr="00BF0F8E">
        <w:rPr>
          <w:rFonts w:ascii="Arial" w:hAnsi="Arial" w:cs="Arial"/>
          <w:b/>
          <w:color w:val="auto"/>
          <w:sz w:val="24"/>
          <w:szCs w:val="24"/>
        </w:rPr>
        <w:t>Cade</w:t>
      </w:r>
      <w:bookmarkEnd w:id="0"/>
      <w:proofErr w:type="spellEnd"/>
    </w:p>
    <w:p w:rsidR="00BB367A" w:rsidRPr="0087129D" w:rsidRDefault="00BB367A" w:rsidP="00BB367A">
      <w:pPr>
        <w:pStyle w:val="SemEspaamen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87129D" w:rsidRDefault="00BB367A" w:rsidP="0087129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</w:t>
      </w:r>
      <w:r w:rsidR="0087129D">
        <w:rPr>
          <w:rFonts w:ascii="Arial" w:hAnsi="Arial" w:cs="Arial"/>
          <w:sz w:val="24"/>
          <w:szCs w:val="24"/>
        </w:rPr>
        <w:t xml:space="preserve">nselho Administrativo de Defesa Econômica, conhecido como </w:t>
      </w:r>
      <w:proofErr w:type="spellStart"/>
      <w:r w:rsidR="0087129D" w:rsidRPr="0087129D">
        <w:rPr>
          <w:rFonts w:ascii="Arial" w:hAnsi="Arial" w:cs="Arial"/>
          <w:sz w:val="24"/>
          <w:szCs w:val="24"/>
        </w:rPr>
        <w:t>Cade</w:t>
      </w:r>
      <w:proofErr w:type="spellEnd"/>
      <w:r w:rsidR="0087129D">
        <w:rPr>
          <w:rFonts w:ascii="Arial" w:hAnsi="Arial" w:cs="Arial"/>
          <w:sz w:val="24"/>
          <w:szCs w:val="24"/>
        </w:rPr>
        <w:t>, é uma autarquia do governo federal brasileiro</w:t>
      </w:r>
      <w:r>
        <w:rPr>
          <w:rFonts w:ascii="Arial" w:hAnsi="Arial" w:cs="Arial"/>
          <w:sz w:val="24"/>
          <w:szCs w:val="24"/>
        </w:rPr>
        <w:t>,</w:t>
      </w:r>
      <w:r w:rsidR="0087129D">
        <w:rPr>
          <w:rFonts w:ascii="Arial" w:hAnsi="Arial" w:cs="Arial"/>
          <w:sz w:val="24"/>
          <w:szCs w:val="24"/>
        </w:rPr>
        <w:t xml:space="preserve"> presente no Ministério da Fazenda</w:t>
      </w:r>
      <w:r>
        <w:rPr>
          <w:rFonts w:ascii="Arial" w:hAnsi="Arial" w:cs="Arial"/>
          <w:sz w:val="24"/>
          <w:szCs w:val="24"/>
        </w:rPr>
        <w:t>,</w:t>
      </w:r>
      <w:r w:rsidR="0087129D">
        <w:rPr>
          <w:rFonts w:ascii="Arial" w:hAnsi="Arial" w:cs="Arial"/>
          <w:sz w:val="24"/>
          <w:szCs w:val="24"/>
        </w:rPr>
        <w:t xml:space="preserve"> que tem por incumbência, no âmbito do Poder Executivo, </w:t>
      </w:r>
      <w:r>
        <w:rPr>
          <w:rFonts w:ascii="Arial" w:hAnsi="Arial" w:cs="Arial"/>
          <w:sz w:val="24"/>
          <w:szCs w:val="24"/>
        </w:rPr>
        <w:t>a fiscalização</w:t>
      </w:r>
      <w:r w:rsidR="00871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7129D">
        <w:rPr>
          <w:rFonts w:ascii="Arial" w:hAnsi="Arial" w:cs="Arial"/>
          <w:sz w:val="24"/>
          <w:szCs w:val="24"/>
        </w:rPr>
        <w:t>a atividade econômica no país, prezando pela livre concorrência de mercado</w:t>
      </w:r>
      <w:r>
        <w:rPr>
          <w:rFonts w:ascii="Arial" w:hAnsi="Arial" w:cs="Arial"/>
          <w:sz w:val="24"/>
          <w:szCs w:val="24"/>
        </w:rPr>
        <w:t>s</w:t>
      </w:r>
      <w:r w:rsidR="008712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exercício de suas atividades</w:t>
      </w:r>
      <w:r w:rsidR="00CF29D4">
        <w:rPr>
          <w:rFonts w:ascii="Arial" w:hAnsi="Arial" w:cs="Arial"/>
          <w:sz w:val="24"/>
          <w:szCs w:val="24"/>
        </w:rPr>
        <w:t xml:space="preserve"> e zelo pela livre concorrência</w:t>
      </w:r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Cade</w:t>
      </w:r>
      <w:proofErr w:type="spellEnd"/>
      <w:r>
        <w:rPr>
          <w:rFonts w:ascii="Arial" w:hAnsi="Arial" w:cs="Arial"/>
          <w:sz w:val="24"/>
          <w:szCs w:val="24"/>
        </w:rPr>
        <w:t xml:space="preserve"> possui três atribuições:</w:t>
      </w:r>
    </w:p>
    <w:p w:rsidR="00BB367A" w:rsidRDefault="00BB367A" w:rsidP="0087129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B367A" w:rsidRDefault="00BB367A" w:rsidP="00BB367A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367A">
        <w:rPr>
          <w:rFonts w:ascii="Arial" w:hAnsi="Arial" w:cs="Arial"/>
          <w:b/>
          <w:sz w:val="24"/>
          <w:szCs w:val="24"/>
        </w:rPr>
        <w:t>Preventiva:</w:t>
      </w:r>
      <w:r>
        <w:rPr>
          <w:rFonts w:ascii="Arial" w:hAnsi="Arial" w:cs="Arial"/>
          <w:sz w:val="24"/>
          <w:szCs w:val="24"/>
        </w:rPr>
        <w:t xml:space="preserve"> analise e decisão a respeito de fusões, aquisições e incorporações de empresas que possam prejudicar a livre concorrência.</w:t>
      </w:r>
    </w:p>
    <w:p w:rsidR="00BB367A" w:rsidRDefault="00BB367A" w:rsidP="00BB367A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367A">
        <w:rPr>
          <w:rFonts w:ascii="Arial" w:hAnsi="Arial" w:cs="Arial"/>
          <w:b/>
          <w:sz w:val="24"/>
          <w:szCs w:val="24"/>
        </w:rPr>
        <w:t>Repressiva:</w:t>
      </w:r>
      <w:r>
        <w:rPr>
          <w:rFonts w:ascii="Arial" w:hAnsi="Arial" w:cs="Arial"/>
          <w:sz w:val="24"/>
          <w:szCs w:val="24"/>
        </w:rPr>
        <w:t xml:space="preserve"> investigação e julgamento de cartéis;</w:t>
      </w:r>
    </w:p>
    <w:p w:rsidR="004C7F7F" w:rsidRDefault="00BB367A" w:rsidP="00CF29D4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367A">
        <w:rPr>
          <w:rFonts w:ascii="Arial" w:hAnsi="Arial" w:cs="Arial"/>
          <w:b/>
          <w:sz w:val="24"/>
          <w:szCs w:val="24"/>
        </w:rPr>
        <w:t>Educativa:</w:t>
      </w:r>
      <w:r>
        <w:rPr>
          <w:rFonts w:ascii="Arial" w:hAnsi="Arial" w:cs="Arial"/>
          <w:sz w:val="24"/>
          <w:szCs w:val="24"/>
        </w:rPr>
        <w:t xml:space="preserve"> instrução e incentivo ao público geral a respeito da importância da livre concorrência, através de parcerias com universidades, institutos de pesquisa, palestras, cursos, etc.</w:t>
      </w:r>
    </w:p>
    <w:p w:rsidR="00883D2E" w:rsidRDefault="00883D2E" w:rsidP="00883D2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F29D4" w:rsidRDefault="00CF29D4" w:rsidP="00CF29D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F29D4" w:rsidRPr="00BF0F8E" w:rsidRDefault="00CF29D4" w:rsidP="00BF0F8E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1" w:name="_Toc259444"/>
      <w:r w:rsidRPr="00BF0F8E">
        <w:rPr>
          <w:rFonts w:ascii="Arial" w:hAnsi="Arial" w:cs="Arial"/>
          <w:b/>
          <w:color w:val="auto"/>
          <w:sz w:val="24"/>
          <w:szCs w:val="24"/>
        </w:rPr>
        <w:t>Fusão Itaú-Unibanco</w:t>
      </w:r>
      <w:r w:rsidR="00883D2E" w:rsidRPr="00BF0F8E">
        <w:rPr>
          <w:rFonts w:ascii="Arial" w:hAnsi="Arial" w:cs="Arial"/>
          <w:b/>
          <w:color w:val="auto"/>
          <w:sz w:val="24"/>
          <w:szCs w:val="24"/>
        </w:rPr>
        <w:t xml:space="preserve"> e a análise do </w:t>
      </w:r>
      <w:proofErr w:type="spellStart"/>
      <w:r w:rsidR="00883D2E" w:rsidRPr="00BF0F8E">
        <w:rPr>
          <w:rFonts w:ascii="Arial" w:hAnsi="Arial" w:cs="Arial"/>
          <w:b/>
          <w:color w:val="auto"/>
          <w:sz w:val="24"/>
          <w:szCs w:val="24"/>
        </w:rPr>
        <w:t>Cade</w:t>
      </w:r>
      <w:bookmarkEnd w:id="1"/>
      <w:proofErr w:type="spellEnd"/>
    </w:p>
    <w:p w:rsidR="00CF29D4" w:rsidRDefault="00CF29D4" w:rsidP="00CF29D4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34D75" w:rsidRPr="00103D38" w:rsidRDefault="00CF29D4" w:rsidP="00B34D7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</w:rPr>
      </w:pPr>
      <w:r w:rsidRPr="00CF29D4">
        <w:rPr>
          <w:rFonts w:ascii="Arial" w:hAnsi="Arial" w:cs="Arial"/>
        </w:rPr>
        <w:t>A</w:t>
      </w:r>
      <w:r w:rsidR="00C73F54">
        <w:rPr>
          <w:rFonts w:ascii="Arial" w:hAnsi="Arial" w:cs="Arial"/>
        </w:rPr>
        <w:t>nunciada em novembro de 2008, a</w:t>
      </w:r>
      <w:r>
        <w:rPr>
          <w:rFonts w:ascii="Arial" w:hAnsi="Arial" w:cs="Arial"/>
        </w:rPr>
        <w:t xml:space="preserve"> fusão dos bancos brasileiros Itaú e Unibanco </w:t>
      </w:r>
      <w:r w:rsidR="00C73F54">
        <w:rPr>
          <w:rFonts w:ascii="Arial" w:hAnsi="Arial" w:cs="Arial"/>
        </w:rPr>
        <w:t>representa o maior banco da América d</w:t>
      </w:r>
      <w:r w:rsidR="00B34D75">
        <w:rPr>
          <w:rFonts w:ascii="Arial" w:hAnsi="Arial" w:cs="Arial"/>
        </w:rPr>
        <w:t>o Sul e o 9º maior das Américas.</w:t>
      </w:r>
      <w:r w:rsidR="00B34D75" w:rsidRPr="00B34D75">
        <w:rPr>
          <w:rFonts w:ascii="Arial" w:hAnsi="Arial" w:cs="Arial"/>
        </w:rPr>
        <w:t xml:space="preserve"> </w:t>
      </w:r>
      <w:r w:rsidR="00B34D75" w:rsidRPr="00103D38">
        <w:rPr>
          <w:rFonts w:ascii="Arial" w:hAnsi="Arial" w:cs="Arial"/>
        </w:rPr>
        <w:t>Com a fusão a marca</w:t>
      </w:r>
      <w:r w:rsidR="00B34D75" w:rsidRPr="00AF3899">
        <w:t> </w:t>
      </w:r>
      <w:r w:rsidR="00B34D75" w:rsidRPr="00AF3899">
        <w:rPr>
          <w:rFonts w:ascii="Arial" w:hAnsi="Arial" w:cs="Arial"/>
        </w:rPr>
        <w:t>Unibanco</w:t>
      </w:r>
      <w:r w:rsidR="00B34D75" w:rsidRPr="00AF3899">
        <w:t> </w:t>
      </w:r>
      <w:r w:rsidR="00B34D75" w:rsidRPr="00103D38">
        <w:rPr>
          <w:rFonts w:ascii="Arial" w:hAnsi="Arial" w:cs="Arial"/>
        </w:rPr>
        <w:t>foi extinta em todas as agências, passando apenas a usar apenas a marca</w:t>
      </w:r>
      <w:r w:rsidR="00B34D75" w:rsidRPr="00AF3899">
        <w:rPr>
          <w:rFonts w:ascii="Arial" w:hAnsi="Arial" w:cs="Arial"/>
        </w:rPr>
        <w:t> </w:t>
      </w:r>
      <w:r w:rsidR="00B34D75" w:rsidRPr="00B34D75">
        <w:rPr>
          <w:rFonts w:ascii="Arial" w:hAnsi="Arial" w:cs="Arial"/>
        </w:rPr>
        <w:t>Itaú</w:t>
      </w:r>
      <w:r w:rsidR="00B34D75" w:rsidRPr="00103D38">
        <w:rPr>
          <w:rFonts w:ascii="Arial" w:hAnsi="Arial" w:cs="Arial"/>
        </w:rPr>
        <w:t xml:space="preserve">: a integração foi concluída em </w:t>
      </w:r>
      <w:r w:rsidR="00B34D75">
        <w:rPr>
          <w:rFonts w:ascii="Arial" w:hAnsi="Arial" w:cs="Arial"/>
        </w:rPr>
        <w:t xml:space="preserve">18 de </w:t>
      </w:r>
      <w:r w:rsidR="00B34D75" w:rsidRPr="00103D38">
        <w:rPr>
          <w:rFonts w:ascii="Arial" w:hAnsi="Arial" w:cs="Arial"/>
        </w:rPr>
        <w:t>outubro de</w:t>
      </w:r>
      <w:r w:rsidR="00B34D75" w:rsidRPr="00AF3899">
        <w:rPr>
          <w:rFonts w:ascii="Arial" w:hAnsi="Arial" w:cs="Arial"/>
        </w:rPr>
        <w:t> </w:t>
      </w:r>
      <w:hyperlink r:id="rId6" w:tooltip="2010" w:history="1">
        <w:r w:rsidR="00B34D75" w:rsidRPr="00AF3899">
          <w:rPr>
            <w:rFonts w:ascii="Arial" w:hAnsi="Arial" w:cs="Arial"/>
          </w:rPr>
          <w:t>2010</w:t>
        </w:r>
      </w:hyperlink>
      <w:r w:rsidR="00B34D75" w:rsidRPr="00AF3899">
        <w:rPr>
          <w:rFonts w:ascii="Arial" w:hAnsi="Arial" w:cs="Arial"/>
        </w:rPr>
        <w:t> </w:t>
      </w:r>
      <w:r w:rsidR="00B34D75" w:rsidRPr="00103D38">
        <w:rPr>
          <w:rFonts w:ascii="Arial" w:hAnsi="Arial" w:cs="Arial"/>
        </w:rPr>
        <w:t>e custou mais de mais de 1 bilhão de</w:t>
      </w:r>
      <w:r w:rsidR="00B34D75" w:rsidRPr="00AF3899">
        <w:rPr>
          <w:rFonts w:ascii="Arial" w:hAnsi="Arial" w:cs="Arial"/>
        </w:rPr>
        <w:t> </w:t>
      </w:r>
      <w:hyperlink r:id="rId7" w:tooltip="Reais" w:history="1">
        <w:r w:rsidR="00B34D75" w:rsidRPr="00AF3899">
          <w:rPr>
            <w:rFonts w:ascii="Arial" w:hAnsi="Arial" w:cs="Arial"/>
          </w:rPr>
          <w:t>reais</w:t>
        </w:r>
      </w:hyperlink>
      <w:r w:rsidR="00B34D75" w:rsidRPr="00103D38">
        <w:rPr>
          <w:rFonts w:ascii="Arial" w:hAnsi="Arial" w:cs="Arial"/>
        </w:rPr>
        <w:t xml:space="preserve">. </w:t>
      </w:r>
    </w:p>
    <w:p w:rsidR="00CF29D4" w:rsidRDefault="00CF29D4" w:rsidP="00AF389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</w:rPr>
      </w:pPr>
      <w:bookmarkStart w:id="2" w:name="_GoBack"/>
      <w:bookmarkEnd w:id="2"/>
    </w:p>
    <w:p w:rsidR="00C73F54" w:rsidRDefault="00C73F54" w:rsidP="00CF29D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938"/>
        <w:gridCol w:w="314"/>
      </w:tblGrid>
      <w:tr w:rsidR="00C73F54" w:rsidTr="00BF0F8E">
        <w:tc>
          <w:tcPr>
            <w:tcW w:w="392" w:type="dxa"/>
          </w:tcPr>
          <w:p w:rsidR="00C73F54" w:rsidRPr="00BF0F8E" w:rsidRDefault="00C73F54" w:rsidP="00BF0F8E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C73F54" w:rsidRPr="00BF0F8E" w:rsidRDefault="00C73F54" w:rsidP="00BF0F8E">
            <w:pPr>
              <w:pStyle w:val="SemEspaamento"/>
              <w:ind w:left="70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F0F8E">
              <w:rPr>
                <w:rFonts w:ascii="Arial" w:hAnsi="Arial" w:cs="Arial"/>
                <w:i/>
                <w:sz w:val="20"/>
                <w:szCs w:val="20"/>
              </w:rPr>
              <w:t xml:space="preserve">“Segundo as instituições financeiras, o novo banco resultante da fusão terá R$ 575 bilhões em ativos e patrimônio líquido de cerca de R$ 51,7 bilhões. Contará com aproximadamente 4,8 mil agências, representando 18% da rede bancária; e 14,5 milhões de clientes de conta corrente, ou 18% do mercado.” </w:t>
            </w:r>
          </w:p>
        </w:tc>
        <w:tc>
          <w:tcPr>
            <w:tcW w:w="314" w:type="dxa"/>
          </w:tcPr>
          <w:p w:rsidR="00C73F54" w:rsidRDefault="00C73F54" w:rsidP="0092220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3F54" w:rsidRDefault="00C73F54" w:rsidP="0092220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73F54" w:rsidRPr="00B34D75" w:rsidRDefault="00C73F54" w:rsidP="009222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4D75">
        <w:rPr>
          <w:rFonts w:ascii="Arial" w:hAnsi="Arial" w:cs="Arial"/>
          <w:sz w:val="24"/>
          <w:szCs w:val="24"/>
        </w:rPr>
        <w:t xml:space="preserve">Devido ao grande impacto da fusão no mercado brasileiro, era necessária a aprovação do </w:t>
      </w:r>
      <w:proofErr w:type="spellStart"/>
      <w:r w:rsidRPr="00B34D75">
        <w:rPr>
          <w:rFonts w:ascii="Arial" w:hAnsi="Arial" w:cs="Arial"/>
          <w:sz w:val="24"/>
          <w:szCs w:val="24"/>
        </w:rPr>
        <w:t>Cade</w:t>
      </w:r>
      <w:proofErr w:type="spellEnd"/>
      <w:r w:rsidRPr="00B34D75">
        <w:rPr>
          <w:rFonts w:ascii="Arial" w:hAnsi="Arial" w:cs="Arial"/>
          <w:sz w:val="24"/>
          <w:szCs w:val="24"/>
        </w:rPr>
        <w:t xml:space="preserve"> a respeito de tal, para que este garantisse que o novo banco</w:t>
      </w:r>
      <w:r w:rsidR="00883D2E" w:rsidRPr="00B34D75">
        <w:rPr>
          <w:rFonts w:ascii="Arial" w:hAnsi="Arial" w:cs="Arial"/>
          <w:sz w:val="24"/>
          <w:szCs w:val="24"/>
        </w:rPr>
        <w:t xml:space="preserve"> não monopolizasse parte do mercado financeiro</w:t>
      </w:r>
      <w:r w:rsidRPr="00B34D75">
        <w:rPr>
          <w:rFonts w:ascii="Arial" w:hAnsi="Arial" w:cs="Arial"/>
          <w:sz w:val="24"/>
          <w:szCs w:val="24"/>
        </w:rPr>
        <w:t xml:space="preserve"> </w:t>
      </w:r>
      <w:r w:rsidR="00883D2E" w:rsidRPr="00B34D75">
        <w:rPr>
          <w:rFonts w:ascii="Arial" w:hAnsi="Arial" w:cs="Arial"/>
          <w:sz w:val="24"/>
          <w:szCs w:val="24"/>
        </w:rPr>
        <w:t xml:space="preserve">do país e garantisse </w:t>
      </w:r>
      <w:r w:rsidRPr="00B34D75">
        <w:rPr>
          <w:rFonts w:ascii="Arial" w:hAnsi="Arial" w:cs="Arial"/>
          <w:sz w:val="24"/>
          <w:szCs w:val="24"/>
        </w:rPr>
        <w:t xml:space="preserve">a legitimidade </w:t>
      </w:r>
      <w:r w:rsidR="00883D2E" w:rsidRPr="00B34D75">
        <w:rPr>
          <w:rFonts w:ascii="Arial" w:hAnsi="Arial" w:cs="Arial"/>
          <w:sz w:val="24"/>
          <w:szCs w:val="24"/>
        </w:rPr>
        <w:t>deste mercado</w:t>
      </w:r>
      <w:r w:rsidRPr="00B34D75">
        <w:rPr>
          <w:rFonts w:ascii="Arial" w:hAnsi="Arial" w:cs="Arial"/>
          <w:sz w:val="24"/>
          <w:szCs w:val="24"/>
        </w:rPr>
        <w:t xml:space="preserve">. </w:t>
      </w:r>
    </w:p>
    <w:p w:rsidR="00883D2E" w:rsidRPr="00B34D75" w:rsidRDefault="00883D2E" w:rsidP="0092220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938"/>
        <w:gridCol w:w="314"/>
      </w:tblGrid>
      <w:tr w:rsidR="00883D2E" w:rsidRPr="00B34D75" w:rsidTr="00595D07">
        <w:tc>
          <w:tcPr>
            <w:tcW w:w="392" w:type="dxa"/>
          </w:tcPr>
          <w:p w:rsidR="00883D2E" w:rsidRPr="00B34D75" w:rsidRDefault="00883D2E" w:rsidP="0092220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883D2E" w:rsidRPr="00BF0F8E" w:rsidRDefault="00883D2E" w:rsidP="00BF0F8E">
            <w:pPr>
              <w:pStyle w:val="SemEspaamento"/>
              <w:ind w:left="141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F0F8E">
              <w:rPr>
                <w:rFonts w:ascii="Arial" w:hAnsi="Arial" w:cs="Arial"/>
                <w:i/>
                <w:sz w:val="20"/>
                <w:szCs w:val="20"/>
              </w:rPr>
              <w:t>“Em volume de crédito, representará 19% do sistema brasileiro; e em total de depósitos, fundos e carteiras administradas, atingirá 21%.”</w:t>
            </w:r>
          </w:p>
        </w:tc>
        <w:tc>
          <w:tcPr>
            <w:tcW w:w="314" w:type="dxa"/>
          </w:tcPr>
          <w:p w:rsidR="00883D2E" w:rsidRPr="00B34D75" w:rsidRDefault="00883D2E" w:rsidP="0092220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3D38" w:rsidRPr="00B34D75" w:rsidRDefault="00883D2E" w:rsidP="00922204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B34D75">
        <w:rPr>
          <w:rFonts w:ascii="Arial" w:eastAsiaTheme="minorHAnsi" w:hAnsi="Arial" w:cs="Arial"/>
          <w:lang w:eastAsia="en-US"/>
        </w:rPr>
        <w:t>Pela análise do relator Fernando Furlan</w:t>
      </w:r>
      <w:r w:rsidR="00922204" w:rsidRPr="00B34D75">
        <w:rPr>
          <w:rFonts w:ascii="Arial" w:eastAsiaTheme="minorHAnsi" w:hAnsi="Arial" w:cs="Arial"/>
          <w:lang w:eastAsia="en-US"/>
        </w:rPr>
        <w:t xml:space="preserve"> “é pouco provável o exercício de poder de mercado” pelo novo banco, visto </w:t>
      </w:r>
      <w:r w:rsidRPr="00B34D75">
        <w:rPr>
          <w:rFonts w:ascii="Arial" w:eastAsiaTheme="minorHAnsi" w:hAnsi="Arial" w:cs="Arial"/>
          <w:lang w:eastAsia="en-US"/>
        </w:rPr>
        <w:t xml:space="preserve">que </w:t>
      </w:r>
      <w:r w:rsidR="00922204" w:rsidRPr="00B34D75">
        <w:rPr>
          <w:rFonts w:ascii="Arial" w:eastAsiaTheme="minorHAnsi" w:hAnsi="Arial" w:cs="Arial"/>
          <w:lang w:eastAsia="en-US"/>
        </w:rPr>
        <w:t>os bancos públicos também representam agentes importantes à competição de mercado e têm por objetivo “incentivar a concorrência no setor”.</w:t>
      </w:r>
    </w:p>
    <w:p w:rsidR="00103D38" w:rsidRPr="00B34D75" w:rsidRDefault="00103D38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34D75" w:rsidRP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de apresentada e analisada, a proposta passou pelo </w:t>
      </w:r>
      <w:proofErr w:type="spellStart"/>
      <w:r>
        <w:rPr>
          <w:rFonts w:ascii="Arial" w:hAnsi="Arial" w:cs="Arial"/>
          <w:sz w:val="24"/>
          <w:szCs w:val="24"/>
        </w:rPr>
        <w:t>Cade</w:t>
      </w:r>
      <w:proofErr w:type="spellEnd"/>
      <w:r>
        <w:rPr>
          <w:rFonts w:ascii="Arial" w:hAnsi="Arial" w:cs="Arial"/>
          <w:sz w:val="24"/>
          <w:szCs w:val="24"/>
        </w:rPr>
        <w:t xml:space="preserve"> sem restrições.</w:t>
      </w:r>
    </w:p>
    <w:p w:rsidR="00577F46" w:rsidRPr="00B34D75" w:rsidRDefault="00577F46" w:rsidP="00103D3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4D75">
        <w:rPr>
          <w:rFonts w:ascii="Arial" w:hAnsi="Arial" w:cs="Arial"/>
          <w:sz w:val="24"/>
          <w:szCs w:val="24"/>
        </w:rPr>
        <w:t xml:space="preserve">A união entre os dois bancos </w:t>
      </w:r>
      <w:r w:rsidR="00577F46" w:rsidRPr="00B34D75">
        <w:rPr>
          <w:rFonts w:ascii="Arial" w:hAnsi="Arial" w:cs="Arial"/>
          <w:sz w:val="24"/>
          <w:szCs w:val="24"/>
        </w:rPr>
        <w:t>se acelerou devido à crise mundial no sistema financeiro. A medida foi bem vista por</w:t>
      </w:r>
      <w:r w:rsidR="00577F46" w:rsidRPr="00B34D75">
        <w:t> </w:t>
      </w:r>
      <w:hyperlink r:id="rId8" w:tooltip="Henrique Meireles" w:history="1">
        <w:r w:rsidR="00577F46" w:rsidRPr="00B34D75">
          <w:rPr>
            <w:rFonts w:ascii="Arial" w:hAnsi="Arial" w:cs="Arial"/>
            <w:sz w:val="24"/>
            <w:szCs w:val="24"/>
          </w:rPr>
          <w:t>Henrique Meireles</w:t>
        </w:r>
      </w:hyperlink>
      <w:r w:rsidR="00577F46" w:rsidRPr="00B34D75">
        <w:rPr>
          <w:rFonts w:ascii="Arial" w:hAnsi="Arial" w:cs="Arial"/>
          <w:sz w:val="24"/>
          <w:szCs w:val="24"/>
        </w:rPr>
        <w:t>, presidente do</w:t>
      </w:r>
      <w:r w:rsidR="00577F46" w:rsidRPr="00B34D75">
        <w:t> </w:t>
      </w:r>
      <w:hyperlink r:id="rId9" w:tooltip="Banco Central do Brasil" w:history="1">
        <w:r w:rsidR="00577F46" w:rsidRPr="00B34D75">
          <w:rPr>
            <w:rFonts w:ascii="Arial" w:hAnsi="Arial" w:cs="Arial"/>
            <w:sz w:val="24"/>
            <w:szCs w:val="24"/>
          </w:rPr>
          <w:t>Banco Central do Brasil</w:t>
        </w:r>
      </w:hyperlink>
      <w:r w:rsidR="00577F46" w:rsidRPr="00B34D75">
        <w:rPr>
          <w:rFonts w:ascii="Arial" w:hAnsi="Arial" w:cs="Arial"/>
          <w:sz w:val="24"/>
          <w:szCs w:val="24"/>
        </w:rPr>
        <w:t xml:space="preserve">, afirmando que a fusão se trata de uma iniciativa que contribui para o fortalecimento do sistema financeiro nacional na atual conjuntura do mercado financeiro internacional. </w:t>
      </w:r>
    </w:p>
    <w:p w:rsid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34D75" w:rsidRP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34D75" w:rsidRP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4D75">
        <w:rPr>
          <w:rFonts w:ascii="Arial" w:hAnsi="Arial" w:cs="Arial"/>
          <w:sz w:val="24"/>
          <w:szCs w:val="24"/>
        </w:rPr>
        <w:t>O spread (diferença paga pelos bancos na captação de recursos, diferença entre o menor preço de demanda e o maior preço de oferta) nas operações de crédito teve uma pequena redução em 2008, ano atípico para as instituições financeiras, porém, aumentou em 2009, quando o foco da instituição foi as o aumento de suas linhas de crédito principalmente no credito imobiliário e financiamento de veículos, aproveitando os incentivos do governo para aumento do consumo.</w:t>
      </w:r>
    </w:p>
    <w:p w:rsidR="00577F46" w:rsidRPr="00B34D75" w:rsidRDefault="00577F46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34D75" w:rsidRPr="00B34D75" w:rsidRDefault="00B34D75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4D75">
        <w:rPr>
          <w:rFonts w:ascii="Arial" w:hAnsi="Arial" w:cs="Arial"/>
          <w:sz w:val="24"/>
          <w:szCs w:val="24"/>
        </w:rPr>
        <w:t>O Itaú Unibanco Holding S.A (a empresa criada para os dois bancos) tem, em comparação com as contas dos dois bancos anteriores, um poder de m</w:t>
      </w:r>
      <w:r w:rsidR="00BF0F8E">
        <w:rPr>
          <w:rFonts w:ascii="Arial" w:hAnsi="Arial" w:cs="Arial"/>
          <w:sz w:val="24"/>
          <w:szCs w:val="24"/>
        </w:rPr>
        <w:t>ercado substancialmente maior. U</w:t>
      </w:r>
      <w:r w:rsidRPr="00B34D75">
        <w:rPr>
          <w:rFonts w:ascii="Arial" w:hAnsi="Arial" w:cs="Arial"/>
          <w:sz w:val="24"/>
          <w:szCs w:val="24"/>
        </w:rPr>
        <w:t>m significativo aumento do seu poder de mercado, através do tamanho da organização e de seus recursos, que se tornaram relevantemente maiores, tornando-se mais competitivo.</w:t>
      </w:r>
    </w:p>
    <w:p w:rsidR="00577F46" w:rsidRPr="00B34D75" w:rsidRDefault="00577F46" w:rsidP="00B34D7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77F46" w:rsidRPr="00B34D75" w:rsidRDefault="00577F46" w:rsidP="009F5758">
      <w:pPr>
        <w:pStyle w:val="SemEspaamento"/>
        <w:ind w:left="10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7F46" w:rsidRPr="00B34D75" w:rsidRDefault="00577F46" w:rsidP="009F5758">
      <w:pPr>
        <w:pStyle w:val="SemEspaamento"/>
        <w:ind w:left="1068"/>
        <w:jc w:val="both"/>
        <w:rPr>
          <w:rFonts w:ascii="Arial" w:hAnsi="Arial" w:cs="Arial"/>
          <w:sz w:val="28"/>
          <w:szCs w:val="28"/>
        </w:rPr>
      </w:pPr>
    </w:p>
    <w:p w:rsidR="00577F46" w:rsidRPr="00B34D75" w:rsidRDefault="00577F46" w:rsidP="009F5758">
      <w:pPr>
        <w:pStyle w:val="SemEspaamento"/>
        <w:ind w:left="1068"/>
        <w:jc w:val="both"/>
        <w:rPr>
          <w:rFonts w:ascii="Arial" w:hAnsi="Arial" w:cs="Arial"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B34D75" w:rsidRPr="00103D38" w:rsidRDefault="00B34D75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577F46" w:rsidRDefault="00577F46" w:rsidP="00760299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760299" w:rsidRPr="00103D38" w:rsidRDefault="00760299" w:rsidP="00760299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577F46" w:rsidRPr="00103D38" w:rsidRDefault="00577F46" w:rsidP="009F5758">
      <w:pPr>
        <w:pStyle w:val="SemEspaamento"/>
        <w:ind w:left="1068"/>
        <w:jc w:val="both"/>
        <w:rPr>
          <w:rFonts w:ascii="Arial" w:hAnsi="Arial" w:cs="Arial"/>
          <w:b/>
          <w:sz w:val="28"/>
          <w:szCs w:val="28"/>
        </w:rPr>
      </w:pPr>
    </w:p>
    <w:p w:rsidR="009F5758" w:rsidRPr="00BF0F8E" w:rsidRDefault="00BF0F8E" w:rsidP="00BF0F8E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Toc259445"/>
      <w:r w:rsidRPr="00BF0F8E">
        <w:rPr>
          <w:rFonts w:ascii="Arial" w:hAnsi="Arial" w:cs="Arial"/>
          <w:b/>
          <w:color w:val="auto"/>
          <w:sz w:val="24"/>
          <w:szCs w:val="24"/>
        </w:rPr>
        <w:lastRenderedPageBreak/>
        <w:t>BIBLIOGRAFIA</w:t>
      </w:r>
      <w:bookmarkEnd w:id="3"/>
    </w:p>
    <w:p w:rsidR="00401158" w:rsidRPr="00103D38" w:rsidRDefault="00AF3899" w:rsidP="004C7F7F">
      <w:pPr>
        <w:pStyle w:val="NormalWeb"/>
        <w:rPr>
          <w:rFonts w:ascii="Arial" w:hAnsi="Arial" w:cs="Arial"/>
        </w:rPr>
      </w:pPr>
      <w:hyperlink r:id="rId10" w:history="1">
        <w:r w:rsidR="00401158" w:rsidRPr="00103D38">
          <w:rPr>
            <w:rStyle w:val="Hyperlink"/>
            <w:rFonts w:ascii="Arial" w:hAnsi="Arial" w:cs="Arial"/>
          </w:rPr>
          <w:t>http://economia.estadao.com.br/noticias/geral,cade-aprova-fusao-itau-unibanco-imp-,597073</w:t>
        </w:r>
      </w:hyperlink>
      <w:r w:rsidR="00401158" w:rsidRPr="00103D38">
        <w:rPr>
          <w:rFonts w:ascii="Arial" w:hAnsi="Arial" w:cs="Arial"/>
        </w:rPr>
        <w:t xml:space="preserve"> </w:t>
      </w:r>
    </w:p>
    <w:p w:rsidR="00BF39E1" w:rsidRPr="00103D38" w:rsidRDefault="00AF3899" w:rsidP="004C7F7F">
      <w:pPr>
        <w:pStyle w:val="NormalWeb"/>
        <w:rPr>
          <w:rFonts w:ascii="Arial" w:hAnsi="Arial" w:cs="Arial"/>
        </w:rPr>
      </w:pPr>
      <w:hyperlink r:id="rId11" w:history="1">
        <w:r w:rsidR="00BF39E1" w:rsidRPr="00103D38">
          <w:rPr>
            <w:rStyle w:val="Hyperlink"/>
            <w:rFonts w:ascii="Arial" w:hAnsi="Arial" w:cs="Arial"/>
          </w:rPr>
          <w:t>http://g1.globo.com/Noticias/Economia_Negocios/0,,MUL846978-9356,00-UNIBANCO+E+ITAU+ANUNCIAM+FUSAO+E+CRIAM+GIGANTE+FINANCEIRO.html</w:t>
        </w:r>
      </w:hyperlink>
    </w:p>
    <w:p w:rsidR="00BF39E1" w:rsidRPr="00103D38" w:rsidRDefault="00AF3899" w:rsidP="004C7F7F">
      <w:pPr>
        <w:pStyle w:val="NormalWeb"/>
        <w:rPr>
          <w:rFonts w:ascii="Arial" w:hAnsi="Arial" w:cs="Arial"/>
        </w:rPr>
      </w:pPr>
      <w:hyperlink r:id="rId12" w:history="1">
        <w:r w:rsidR="00CF29D4" w:rsidRPr="00103D38">
          <w:rPr>
            <w:rStyle w:val="Hyperlink"/>
            <w:rFonts w:ascii="Arial" w:hAnsi="Arial" w:cs="Arial"/>
          </w:rPr>
          <w:t>http://economia.uol.com.br/ultnot/2008/11/03/ult4294u1817.jhtm</w:t>
        </w:r>
      </w:hyperlink>
      <w:r w:rsidR="00CF29D4" w:rsidRPr="00103D38">
        <w:rPr>
          <w:rFonts w:ascii="Arial" w:hAnsi="Arial" w:cs="Arial"/>
        </w:rPr>
        <w:t xml:space="preserve"> </w:t>
      </w:r>
    </w:p>
    <w:p w:rsidR="004C7F7F" w:rsidRPr="00103D38" w:rsidRDefault="00AF3899" w:rsidP="004C7F7F">
      <w:pPr>
        <w:spacing w:before="100" w:beforeAutospacing="1" w:after="100" w:afterAutospacing="1" w:line="240" w:lineRule="auto"/>
        <w:rPr>
          <w:rFonts w:ascii="Arial" w:hAnsi="Arial" w:cs="Arial"/>
        </w:rPr>
      </w:pPr>
      <w:hyperlink r:id="rId13" w:history="1">
        <w:r w:rsidR="00CF29D4" w:rsidRPr="00103D38">
          <w:rPr>
            <w:rStyle w:val="Hyperlink"/>
            <w:rFonts w:ascii="Arial" w:hAnsi="Arial" w:cs="Arial"/>
          </w:rPr>
          <w:t>http://exame.abril.com.br/negocios/noticias/cade-aprova-fusao-itau-unibanco-restricoes-588976</w:t>
        </w:r>
      </w:hyperlink>
      <w:r w:rsidR="00CF29D4" w:rsidRPr="00103D38">
        <w:rPr>
          <w:rFonts w:ascii="Arial" w:hAnsi="Arial" w:cs="Arial"/>
        </w:rPr>
        <w:t xml:space="preserve"> </w:t>
      </w:r>
    </w:p>
    <w:p w:rsidR="00CF29D4" w:rsidRPr="00103D38" w:rsidRDefault="00AF3899" w:rsidP="004C7F7F">
      <w:pPr>
        <w:spacing w:before="100" w:beforeAutospacing="1" w:after="100" w:afterAutospacing="1" w:line="240" w:lineRule="auto"/>
        <w:rPr>
          <w:rFonts w:ascii="Arial" w:hAnsi="Arial" w:cs="Arial"/>
        </w:rPr>
      </w:pPr>
      <w:hyperlink r:id="rId14" w:history="1">
        <w:r w:rsidR="00CF29D4" w:rsidRPr="00103D38">
          <w:rPr>
            <w:rStyle w:val="Hyperlink"/>
            <w:rFonts w:ascii="Arial" w:hAnsi="Arial" w:cs="Arial"/>
          </w:rPr>
          <w:t>http://www.cade.gov.br</w:t>
        </w:r>
      </w:hyperlink>
      <w:r w:rsidR="00CF29D4" w:rsidRPr="00103D38">
        <w:rPr>
          <w:rFonts w:ascii="Arial" w:hAnsi="Arial" w:cs="Arial"/>
        </w:rPr>
        <w:t xml:space="preserve"> </w:t>
      </w:r>
    </w:p>
    <w:sectPr w:rsidR="00CF29D4" w:rsidRPr="00103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9B2"/>
      </v:shape>
    </w:pict>
  </w:numPicBullet>
  <w:abstractNum w:abstractNumId="0" w15:restartNumberingAfterBreak="0">
    <w:nsid w:val="11371DF9"/>
    <w:multiLevelType w:val="hybridMultilevel"/>
    <w:tmpl w:val="FF147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B2927"/>
    <w:multiLevelType w:val="hybridMultilevel"/>
    <w:tmpl w:val="1354001C"/>
    <w:lvl w:ilvl="0" w:tplc="0416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30"/>
    <w:rsid w:val="00103D38"/>
    <w:rsid w:val="00401158"/>
    <w:rsid w:val="004459B1"/>
    <w:rsid w:val="004C7F7F"/>
    <w:rsid w:val="00511F11"/>
    <w:rsid w:val="00577F46"/>
    <w:rsid w:val="00760299"/>
    <w:rsid w:val="0087129D"/>
    <w:rsid w:val="00883D2E"/>
    <w:rsid w:val="00922204"/>
    <w:rsid w:val="009C18FC"/>
    <w:rsid w:val="009F5758"/>
    <w:rsid w:val="00A26130"/>
    <w:rsid w:val="00AB398F"/>
    <w:rsid w:val="00AF3899"/>
    <w:rsid w:val="00B34D75"/>
    <w:rsid w:val="00BB367A"/>
    <w:rsid w:val="00BF0F8E"/>
    <w:rsid w:val="00BF39E1"/>
    <w:rsid w:val="00C73F54"/>
    <w:rsid w:val="00CF29D4"/>
    <w:rsid w:val="00D07B3C"/>
    <w:rsid w:val="00D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00C23-57CE-49AB-913E-3C2CD5DD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0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613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C7F7F"/>
    <w:rPr>
      <w:b/>
      <w:bCs/>
    </w:rPr>
  </w:style>
  <w:style w:type="paragraph" w:customStyle="1" w:styleId="materia-intertitulo">
    <w:name w:val="materia-intertitulo"/>
    <w:basedOn w:val="Normal"/>
    <w:rsid w:val="004C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39E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F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7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77F46"/>
  </w:style>
  <w:style w:type="character" w:customStyle="1" w:styleId="Ttulo1Char">
    <w:name w:val="Título 1 Char"/>
    <w:basedOn w:val="Fontepargpadro"/>
    <w:link w:val="Ttulo1"/>
    <w:uiPriority w:val="9"/>
    <w:rsid w:val="00BF0F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0F8E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F0F8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Henrique_Meireles" TargetMode="External"/><Relationship Id="rId13" Type="http://schemas.openxmlformats.org/officeDocument/2006/relationships/hyperlink" Target="http://exame.abril.com.br/negocios/noticias/cade-aprova-fusao-itau-unibanco-restricoes-588976" TargetMode="External"/><Relationship Id="rId3" Type="http://schemas.openxmlformats.org/officeDocument/2006/relationships/styles" Target="styles.xml"/><Relationship Id="rId7" Type="http://schemas.openxmlformats.org/officeDocument/2006/relationships/hyperlink" Target="https://pt.wikipedia.org/wiki/Reais" TargetMode="External"/><Relationship Id="rId12" Type="http://schemas.openxmlformats.org/officeDocument/2006/relationships/hyperlink" Target="http://economia.uol.com.br/ultnot/2008/11/03/ult4294u1817.j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t.wikipedia.org/wiki/2010" TargetMode="External"/><Relationship Id="rId11" Type="http://schemas.openxmlformats.org/officeDocument/2006/relationships/hyperlink" Target="http://g1.globo.com/Noticias/Economia_Negocios/0,,MUL846978-9356,00-UNIBANCO+E+ITAU+ANUNCIAM+FUSAO+E+CRIAM+GIGANTE+FINANCEIRO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onomia.estadao.com.br/noticias/geral,cade-aprova-fusao-itau-unibanco-imp-,5970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Banco_Central_do_Brasil" TargetMode="External"/><Relationship Id="rId14" Type="http://schemas.openxmlformats.org/officeDocument/2006/relationships/hyperlink" Target="http://www.cade.gov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BC18-2539-4E32-9B1C-C8AEB506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de Fátima Silveira Costa</dc:creator>
  <cp:lastModifiedBy>Mariana</cp:lastModifiedBy>
  <cp:revision>8</cp:revision>
  <dcterms:created xsi:type="dcterms:W3CDTF">2016-05-20T18:29:00Z</dcterms:created>
  <dcterms:modified xsi:type="dcterms:W3CDTF">2019-05-31T20:10:00Z</dcterms:modified>
</cp:coreProperties>
</file>