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widowControl w:val="false"/>
        <w:spacing w:lineRule="auto" w:line="360" w:beforeAutospacing="0" w:before="0" w:afterAutospacing="0" w:after="0"/>
        <w:jc w:val="center"/>
        <w:rPr>
          <w:rFonts w:ascii="Arial" w:hAnsi="Arial" w:cs="Arial"/>
        </w:rPr>
      </w:pPr>
      <w:r>
        <w:rPr>
          <w:rFonts w:cs="Arial" w:ascii="Arial" w:hAnsi="Arial"/>
        </w:rPr>
        <w:t>PONTIFÍCIA UNIVERSIDADE CATÓLICA DE MINAS GERAIS</w:t>
      </w:r>
    </w:p>
    <w:p>
      <w:pPr>
        <w:pStyle w:val="NormalWeb"/>
        <w:widowControl w:val="false"/>
        <w:spacing w:lineRule="auto" w:line="360" w:beforeAutospacing="0" w:before="0" w:afterAutospacing="0" w:after="0"/>
        <w:jc w:val="center"/>
        <w:rPr>
          <w:rFonts w:ascii="Arial" w:hAnsi="Arial" w:cs="Arial"/>
        </w:rPr>
      </w:pPr>
      <w:r>
        <w:rPr>
          <w:rFonts w:cs="Arial" w:ascii="Arial" w:hAnsi="Arial"/>
        </w:rPr>
        <w:t>Instituto de Ciências Econômicas e Gerenciais</w:t>
      </w:r>
    </w:p>
    <w:p>
      <w:pPr>
        <w:pStyle w:val="NormalWeb"/>
        <w:widowControl w:val="false"/>
        <w:spacing w:beforeAutospacing="0" w:before="0" w:afterAutospacing="0" w:after="0"/>
        <w:jc w:val="center"/>
        <w:rPr>
          <w:rFonts w:ascii="Arial" w:hAnsi="Arial" w:cs="Arial"/>
        </w:rPr>
      </w:pPr>
      <w:r>
        <w:rPr>
          <w:rFonts w:cs="Arial" w:ascii="Arial" w:hAnsi="Arial"/>
        </w:rPr>
        <w:t>Curso de Ciências Econômicas</w:t>
      </w:r>
    </w:p>
    <w:p>
      <w:pPr>
        <w:pStyle w:val="NormalWeb"/>
        <w:widowControl w:val="false"/>
        <w:spacing w:beforeAutospacing="0" w:before="0" w:afterAutospacing="0" w:after="240"/>
        <w:rPr>
          <w:rFonts w:ascii="Arial" w:hAnsi="Arial" w:cs="Arial"/>
        </w:rPr>
      </w:pPr>
      <w:r>
        <w:rPr>
          <w:rFonts w:cs="Arial" w:ascii="Arial" w:hAnsi="Arial"/>
        </w:rPr>
      </w:r>
    </w:p>
    <w:p>
      <w:pPr>
        <w:pStyle w:val="NormalWeb"/>
        <w:widowControl w:val="false"/>
        <w:spacing w:beforeAutospacing="0" w:before="0" w:afterAutospacing="0" w:after="240"/>
        <w:rPr>
          <w:rFonts w:ascii="Arial" w:hAnsi="Arial" w:cs="Arial"/>
        </w:rPr>
      </w:pPr>
      <w:r>
        <w:rPr>
          <w:rFonts w:cs="Arial" w:ascii="Arial" w:hAnsi="Arial"/>
        </w:rPr>
        <w:br/>
        <w:br/>
        <w:br/>
        <w:br/>
        <w:br/>
      </w:r>
    </w:p>
    <w:p>
      <w:pPr>
        <w:pStyle w:val="NormalWeb"/>
        <w:widowControl w:val="false"/>
        <w:spacing w:beforeAutospacing="0" w:before="0" w:afterAutospacing="0" w:after="0"/>
        <w:jc w:val="center"/>
        <w:rPr>
          <w:rFonts w:ascii="Arial" w:hAnsi="Arial" w:cs="Arial"/>
        </w:rPr>
      </w:pPr>
      <w:r>
        <w:rPr/>
      </w:r>
    </w:p>
    <w:p>
      <w:pPr>
        <w:pStyle w:val="NormalWeb"/>
        <w:widowControl w:val="false"/>
        <w:spacing w:beforeAutospacing="0" w:before="0" w:afterAutospacing="0" w:after="0"/>
        <w:jc w:val="center"/>
        <w:rPr>
          <w:rFonts w:ascii="Arial" w:hAnsi="Arial" w:cs="Arial"/>
        </w:rPr>
      </w:pPr>
      <w:r>
        <w:rPr>
          <w:rFonts w:cs="Arial" w:ascii="Arial" w:hAnsi="Arial"/>
        </w:rPr>
        <w:t>Gabriel Augusto Silva</w:t>
      </w:r>
    </w:p>
    <w:p>
      <w:pPr>
        <w:pStyle w:val="NormalWeb"/>
        <w:widowControl w:val="false"/>
        <w:spacing w:beforeAutospacing="0" w:before="0" w:afterAutospacing="0" w:after="0"/>
        <w:jc w:val="center"/>
        <w:rPr/>
      </w:pPr>
      <w:r>
        <w:rPr>
          <w:rFonts w:cs="Arial" w:ascii="Arial" w:hAnsi="Arial"/>
        </w:rPr>
        <w:br/>
        <w:br/>
      </w:r>
    </w:p>
    <w:p>
      <w:pPr>
        <w:pStyle w:val="NormalWeb"/>
        <w:widowControl w:val="false"/>
        <w:spacing w:beforeAutospacing="0" w:before="0" w:afterAutospacing="0" w:after="240"/>
        <w:rPr>
          <w:rFonts w:ascii="Arial" w:hAnsi="Arial" w:cs="Arial"/>
        </w:rPr>
      </w:pPr>
      <w:r>
        <w:rPr>
          <w:rFonts w:cs="Arial" w:ascii="Arial" w:hAnsi="Arial"/>
        </w:rPr>
        <w:br/>
      </w:r>
    </w:p>
    <w:p>
      <w:pPr>
        <w:pStyle w:val="NormalWeb"/>
        <w:widowControl w:val="false"/>
        <w:spacing w:beforeAutospacing="0" w:before="0" w:afterAutospacing="0" w:after="240"/>
        <w:rPr>
          <w:rFonts w:ascii="Arial" w:hAnsi="Arial" w:cs="Arial"/>
        </w:rPr>
      </w:pPr>
      <w:r>
        <w:rPr>
          <w:rFonts w:cs="Arial" w:ascii="Arial" w:hAnsi="Arial"/>
        </w:rPr>
        <w:br/>
        <w:br/>
      </w:r>
    </w:p>
    <w:p>
      <w:pPr>
        <w:pStyle w:val="NormalWeb"/>
        <w:widowControl w:val="false"/>
        <w:spacing w:beforeAutospacing="0" w:before="0" w:afterAutospacing="0" w:after="0"/>
        <w:jc w:val="center"/>
        <w:rPr>
          <w:rFonts w:ascii="Arial" w:hAnsi="Arial" w:cs="Arial"/>
          <w:b/>
          <w:b/>
          <w:bCs/>
        </w:rPr>
      </w:pPr>
      <w:r>
        <w:rPr>
          <w:rFonts w:cs="Arial" w:ascii="Arial" w:hAnsi="Arial"/>
          <w:b/>
          <w:bCs/>
        </w:rPr>
        <w:t>SELEÇÃO DE CARTEIRAS, TEORIA DE MARKOWITZ  E MODELOS DE PRECIFICAÇÃO DE ATIVOS: uma abordagem junto à carteira das ações PETR4, ITSA4, B3SA3, SUZB3 e GGBR4</w:t>
      </w:r>
    </w:p>
    <w:p>
      <w:pPr>
        <w:pStyle w:val="NormalWeb"/>
        <w:widowControl w:val="false"/>
        <w:spacing w:beforeAutospacing="0" w:before="0" w:afterAutospacing="0" w:after="240"/>
        <w:rPr>
          <w:rFonts w:ascii="Arial" w:hAnsi="Arial" w:cs="Arial"/>
        </w:rPr>
      </w:pPr>
      <w:r>
        <w:rPr>
          <w:rFonts w:cs="Arial" w:ascii="Arial" w:hAnsi="Arial"/>
        </w:rPr>
      </w:r>
    </w:p>
    <w:p>
      <w:pPr>
        <w:pStyle w:val="NormalWeb"/>
        <w:widowControl w:val="false"/>
        <w:spacing w:beforeAutospacing="0" w:before="0" w:afterAutospacing="0" w:after="240"/>
        <w:rPr>
          <w:rFonts w:ascii="Arial" w:hAnsi="Arial" w:cs="Arial"/>
        </w:rPr>
      </w:pPr>
      <w:r>
        <w:rPr>
          <w:rFonts w:cs="Arial" w:ascii="Arial" w:hAnsi="Arial"/>
        </w:rPr>
        <w:br/>
      </w:r>
    </w:p>
    <w:p>
      <w:pPr>
        <w:pStyle w:val="NormalWeb"/>
        <w:widowControl w:val="false"/>
        <w:spacing w:beforeAutospacing="0" w:before="0" w:afterAutospacing="0" w:after="240"/>
        <w:jc w:val="center"/>
        <w:rPr>
          <w:rFonts w:ascii="Arial" w:hAnsi="Arial" w:cs="Arial"/>
        </w:rPr>
      </w:pPr>
      <w:r>
        <w:rPr>
          <w:rFonts w:cs="Arial" w:ascii="Arial" w:hAnsi="Arial"/>
        </w:rPr>
        <w:br/>
        <w:br/>
      </w:r>
    </w:p>
    <w:p>
      <w:pPr>
        <w:pStyle w:val="NormalWeb"/>
        <w:widowControl w:val="false"/>
        <w:spacing w:beforeAutospacing="0" w:before="0" w:afterAutospacing="0" w:after="240"/>
        <w:jc w:val="center"/>
        <w:rPr>
          <w:rFonts w:ascii="Arial" w:hAnsi="Arial" w:cs="Arial"/>
        </w:rPr>
      </w:pPr>
      <w:r>
        <w:rPr>
          <w:rFonts w:cs="Arial" w:ascii="Arial" w:hAnsi="Arial"/>
        </w:rPr>
      </w:r>
    </w:p>
    <w:p>
      <w:pPr>
        <w:pStyle w:val="NormalWeb"/>
        <w:widowControl w:val="false"/>
        <w:spacing w:beforeAutospacing="0" w:before="0" w:afterAutospacing="0" w:after="240"/>
        <w:jc w:val="center"/>
        <w:rPr/>
      </w:pPr>
      <w:r>
        <w:rPr>
          <w:rFonts w:cs="Arial" w:ascii="Arial" w:hAnsi="Arial"/>
        </w:rPr>
        <w:br/>
        <w:br/>
      </w:r>
    </w:p>
    <w:p>
      <w:pPr>
        <w:pStyle w:val="NormalWeb"/>
        <w:widowControl w:val="false"/>
        <w:spacing w:beforeAutospacing="0" w:before="0" w:afterAutospacing="0" w:after="240"/>
        <w:jc w:val="center"/>
        <w:rPr>
          <w:rFonts w:ascii="Arial" w:hAnsi="Arial" w:cs="Arial"/>
        </w:rPr>
      </w:pPr>
      <w:r>
        <w:rPr/>
      </w:r>
    </w:p>
    <w:p>
      <w:pPr>
        <w:pStyle w:val="NormalWeb"/>
        <w:widowControl w:val="false"/>
        <w:spacing w:beforeAutospacing="0" w:before="0" w:afterAutospacing="0" w:after="240"/>
        <w:jc w:val="center"/>
        <w:rPr/>
      </w:pPr>
      <w:r>
        <w:rPr>
          <w:rFonts w:cs="Arial" w:ascii="Arial" w:hAnsi="Arial"/>
        </w:rPr>
        <w:br/>
      </w:r>
    </w:p>
    <w:p>
      <w:pPr>
        <w:pStyle w:val="NormalWeb"/>
        <w:widowControl w:val="false"/>
        <w:spacing w:lineRule="auto" w:line="360" w:beforeAutospacing="0" w:before="0" w:afterAutospacing="0" w:after="240"/>
        <w:jc w:val="center"/>
        <w:rPr>
          <w:rFonts w:ascii="Arial" w:hAnsi="Arial" w:cs="Arial"/>
        </w:rPr>
      </w:pPr>
      <w:r>
        <w:rPr>
          <w:rFonts w:cs="Arial" w:ascii="Arial" w:hAnsi="Arial"/>
        </w:rPr>
        <w:t>Belo Horizonte</w:t>
        <w:br/>
        <w:t>2018</w:t>
      </w:r>
    </w:p>
    <w:p>
      <w:pPr>
        <w:pStyle w:val="NormalWeb"/>
        <w:widowControl w:val="false"/>
        <w:spacing w:beforeAutospacing="0" w:before="0" w:afterAutospacing="0" w:after="0"/>
        <w:jc w:val="center"/>
        <w:rPr>
          <w:rFonts w:ascii="Arial" w:hAnsi="Arial" w:cs="Arial"/>
        </w:rPr>
      </w:pPr>
      <w:r>
        <w:rPr/>
      </w:r>
    </w:p>
    <w:p>
      <w:pPr>
        <w:pStyle w:val="NormalWeb"/>
        <w:widowControl w:val="false"/>
        <w:spacing w:beforeAutospacing="0" w:before="0" w:afterAutospacing="0" w:after="0"/>
        <w:jc w:val="center"/>
        <w:rPr>
          <w:rFonts w:ascii="Arial" w:hAnsi="Arial" w:cs="Arial"/>
        </w:rPr>
      </w:pPr>
      <w:r>
        <w:rPr>
          <w:rFonts w:cs="Arial" w:ascii="Arial" w:hAnsi="Arial"/>
        </w:rPr>
        <w:t>Gabriel Augusto Silva</w:t>
      </w:r>
    </w:p>
    <w:p>
      <w:pPr>
        <w:pStyle w:val="NormalWeb"/>
        <w:widowControl w:val="false"/>
        <w:spacing w:beforeAutospacing="0" w:before="0" w:afterAutospacing="0" w:after="240"/>
        <w:jc w:val="center"/>
        <w:rPr/>
      </w:pPr>
      <w:r>
        <w:rPr>
          <w:rFonts w:cs="Arial" w:ascii="Arial" w:hAnsi="Arial"/>
        </w:rPr>
        <w:br/>
        <w:br/>
      </w:r>
    </w:p>
    <w:p>
      <w:pPr>
        <w:pStyle w:val="NormalWeb"/>
        <w:widowControl w:val="false"/>
        <w:spacing w:beforeAutospacing="0" w:before="0" w:afterAutospacing="0" w:after="240"/>
        <w:rPr>
          <w:rFonts w:ascii="Arial" w:hAnsi="Arial" w:cs="Arial"/>
        </w:rPr>
      </w:pPr>
      <w:r>
        <w:rPr>
          <w:rFonts w:cs="Arial" w:ascii="Arial" w:hAnsi="Arial"/>
        </w:rPr>
      </w:r>
    </w:p>
    <w:p>
      <w:pPr>
        <w:pStyle w:val="NormalWeb"/>
        <w:widowControl w:val="false"/>
        <w:spacing w:beforeAutospacing="0" w:before="0" w:afterAutospacing="0" w:after="240"/>
        <w:rPr>
          <w:rFonts w:ascii="Arial" w:hAnsi="Arial" w:cs="Arial"/>
        </w:rPr>
      </w:pPr>
      <w:r>
        <w:rPr>
          <w:rFonts w:cs="Arial" w:ascii="Arial" w:hAnsi="Arial"/>
        </w:rPr>
      </w:r>
    </w:p>
    <w:p>
      <w:pPr>
        <w:pStyle w:val="NormalWeb"/>
        <w:widowControl w:val="false"/>
        <w:spacing w:beforeAutospacing="0" w:before="0" w:afterAutospacing="0" w:after="240"/>
        <w:rPr>
          <w:rFonts w:ascii="Arial" w:hAnsi="Arial" w:cs="Arial"/>
        </w:rPr>
      </w:pPr>
      <w:r>
        <w:rPr>
          <w:rFonts w:cs="Arial" w:ascii="Arial" w:hAnsi="Arial"/>
        </w:rPr>
      </w:r>
    </w:p>
    <w:p>
      <w:pPr>
        <w:pStyle w:val="NormalWeb"/>
        <w:widowControl w:val="false"/>
        <w:spacing w:beforeAutospacing="0" w:before="0" w:afterAutospacing="0" w:after="240"/>
        <w:rPr>
          <w:rFonts w:ascii="Arial" w:hAnsi="Arial" w:cs="Arial"/>
        </w:rPr>
      </w:pPr>
      <w:r>
        <w:rPr>
          <w:rFonts w:cs="Arial" w:ascii="Arial" w:hAnsi="Arial"/>
        </w:rPr>
      </w:r>
    </w:p>
    <w:p>
      <w:pPr>
        <w:pStyle w:val="NormalWeb"/>
        <w:widowControl w:val="false"/>
        <w:spacing w:beforeAutospacing="0" w:before="0" w:afterAutospacing="0" w:after="240"/>
        <w:rPr>
          <w:rFonts w:ascii="Arial" w:hAnsi="Arial" w:cs="Arial"/>
        </w:rPr>
      </w:pPr>
      <w:r>
        <w:rPr>
          <w:rFonts w:cs="Arial" w:ascii="Arial" w:hAnsi="Arial"/>
        </w:rPr>
      </w:r>
    </w:p>
    <w:p>
      <w:pPr>
        <w:pStyle w:val="NormalWeb"/>
        <w:widowControl w:val="false"/>
        <w:spacing w:beforeAutospacing="0" w:before="0" w:afterAutospacing="0" w:after="0"/>
        <w:jc w:val="center"/>
        <w:rPr>
          <w:rFonts w:ascii="Arial" w:hAnsi="Arial" w:cs="Arial"/>
          <w:b/>
          <w:b/>
          <w:bCs/>
        </w:rPr>
      </w:pPr>
      <w:r>
        <w:rPr>
          <w:rFonts w:cs="Arial" w:ascii="Arial" w:hAnsi="Arial"/>
          <w:b/>
          <w:bCs/>
        </w:rPr>
        <w:t>SELEÇÃO DE CARTEIRAS, TEORIA DE MARKOWITZ  E MODELOS DE PRECIFICAÇÃO DE ATIVOS: uma abordagem junto à carteira das ações PETR4, ITSA4, B3SA3, SUZB3 e GGBR4</w:t>
      </w:r>
    </w:p>
    <w:p>
      <w:pPr>
        <w:pStyle w:val="NormalWeb"/>
        <w:widowControl w:val="false"/>
        <w:spacing w:beforeAutospacing="0" w:before="0" w:afterAutospacing="0" w:after="240"/>
        <w:jc w:val="both"/>
        <w:rPr>
          <w:rFonts w:ascii="Arial" w:hAnsi="Arial" w:cs="Arial"/>
          <w:sz w:val="32"/>
        </w:rPr>
      </w:pPr>
      <w:r>
        <w:rPr>
          <w:rFonts w:cs="Arial" w:ascii="Arial" w:hAnsi="Arial"/>
        </w:rPr>
        <w:br/>
        <w:br/>
      </w:r>
    </w:p>
    <w:p>
      <w:pPr>
        <w:pStyle w:val="NormalWeb"/>
        <w:widowControl w:val="false"/>
        <w:spacing w:beforeAutospacing="0" w:before="0" w:afterAutospacing="0" w:after="240"/>
        <w:jc w:val="both"/>
        <w:rPr>
          <w:rFonts w:ascii="Arial" w:hAnsi="Arial" w:cs="Arial"/>
          <w:sz w:val="32"/>
        </w:rPr>
      </w:pPr>
      <w:r>
        <w:rPr>
          <w:rFonts w:cs="Arial" w:ascii="Arial" w:hAnsi="Arial"/>
          <w:sz w:val="32"/>
        </w:rPr>
      </w:r>
    </w:p>
    <w:p>
      <w:pPr>
        <w:pStyle w:val="NormalWeb"/>
        <w:widowControl w:val="false"/>
        <w:spacing w:beforeAutospacing="0" w:before="0" w:afterAutospacing="0" w:after="240"/>
        <w:jc w:val="both"/>
        <w:rPr>
          <w:rFonts w:ascii="Arial" w:hAnsi="Arial" w:cs="Arial"/>
          <w:sz w:val="32"/>
        </w:rPr>
      </w:pPr>
      <w:r>
        <w:rPr>
          <w:rFonts w:cs="Arial" w:ascii="Arial" w:hAnsi="Arial"/>
          <w:sz w:val="32"/>
        </w:rPr>
      </w:r>
    </w:p>
    <w:p>
      <w:pPr>
        <w:pStyle w:val="NormalWeb"/>
        <w:widowControl w:val="false"/>
        <w:spacing w:beforeAutospacing="0" w:before="0" w:afterAutospacing="0" w:after="240"/>
        <w:jc w:val="both"/>
        <w:rPr>
          <w:rFonts w:ascii="Arial" w:hAnsi="Arial" w:cs="Arial"/>
        </w:rPr>
      </w:pPr>
      <w:r>
        <w:rPr>
          <w:rFonts w:cs="Arial" w:ascii="Arial" w:hAnsi="Arial"/>
        </w:rPr>
      </w:r>
    </w:p>
    <w:p>
      <w:pPr>
        <w:pStyle w:val="NormalWeb"/>
        <w:widowControl w:val="false"/>
        <w:spacing w:beforeAutospacing="0" w:before="0" w:afterAutospacing="0" w:after="0"/>
        <w:ind w:left="3969" w:hanging="0"/>
        <w:jc w:val="both"/>
        <w:rPr/>
      </w:pPr>
      <w:r>
        <w:rPr>
          <w:rFonts w:cs="Arial" w:ascii="Arial" w:hAnsi="Arial"/>
        </w:rPr>
        <w:t>Atividade acadêmica</w:t>
      </w:r>
      <w:r>
        <w:rPr>
          <w:rFonts w:cs="Arial" w:ascii="Arial" w:hAnsi="Arial"/>
        </w:rPr>
        <w:t xml:space="preserve"> apresentad</w:t>
      </w:r>
      <w:r>
        <w:rPr>
          <w:rFonts w:cs="Arial" w:ascii="Arial" w:hAnsi="Arial"/>
        </w:rPr>
        <w:t>a</w:t>
      </w:r>
      <w:r>
        <w:rPr>
          <w:rFonts w:cs="Arial" w:ascii="Arial" w:hAnsi="Arial"/>
        </w:rPr>
        <w:t xml:space="preserve"> ao Curso de Ciências Econômicas do Instituto de Ciências Econômicas e Gerenciais da Pontifícia Universidade Católica de Minas Gerais.</w:t>
      </w:r>
    </w:p>
    <w:p>
      <w:pPr>
        <w:pStyle w:val="NormalWeb"/>
        <w:widowControl w:val="false"/>
        <w:spacing w:beforeAutospacing="0" w:before="0" w:afterAutospacing="0" w:after="0"/>
        <w:jc w:val="both"/>
        <w:rPr>
          <w:rFonts w:ascii="Arial" w:hAnsi="Arial" w:cs="Arial"/>
        </w:rPr>
      </w:pPr>
      <w:r>
        <w:rPr>
          <w:rFonts w:cs="Arial" w:ascii="Arial" w:hAnsi="Arial"/>
        </w:rPr>
        <w:t> </w:t>
      </w:r>
    </w:p>
    <w:p>
      <w:pPr>
        <w:pStyle w:val="NormalWeb"/>
        <w:widowControl w:val="false"/>
        <w:spacing w:beforeAutospacing="0" w:before="0" w:afterAutospacing="0" w:after="0"/>
        <w:ind w:left="3969" w:hanging="0"/>
        <w:rPr>
          <w:rFonts w:ascii="Arial" w:hAnsi="Arial" w:cs="Arial"/>
        </w:rPr>
      </w:pPr>
      <w:r>
        <w:rPr/>
      </w:r>
    </w:p>
    <w:p>
      <w:pPr>
        <w:pStyle w:val="NormalWeb"/>
        <w:widowControl w:val="false"/>
        <w:spacing w:beforeAutospacing="0" w:before="0" w:afterAutospacing="0" w:after="0"/>
        <w:ind w:left="3969" w:hanging="0"/>
        <w:rPr>
          <w:rFonts w:ascii="Arial" w:hAnsi="Arial" w:cs="Arial"/>
        </w:rPr>
      </w:pPr>
      <w:r>
        <w:rPr/>
      </w:r>
    </w:p>
    <w:p>
      <w:pPr>
        <w:pStyle w:val="NormalWeb"/>
        <w:widowControl w:val="false"/>
        <w:spacing w:beforeAutospacing="0" w:before="0" w:afterAutospacing="0" w:after="0"/>
        <w:ind w:left="3969" w:hanging="0"/>
        <w:rPr>
          <w:rFonts w:ascii="Arial" w:hAnsi="Arial" w:cs="Arial"/>
        </w:rPr>
      </w:pPr>
      <w:r>
        <w:rPr/>
      </w:r>
    </w:p>
    <w:p>
      <w:pPr>
        <w:pStyle w:val="NormalWeb"/>
        <w:widowControl w:val="false"/>
        <w:spacing w:beforeAutospacing="0" w:before="0" w:afterAutospacing="0" w:after="240"/>
        <w:rPr>
          <w:rFonts w:ascii="Arial" w:hAnsi="Arial" w:cs="Arial"/>
        </w:rPr>
      </w:pPr>
      <w:r>
        <w:rPr>
          <w:rFonts w:cs="Arial" w:ascii="Arial" w:hAnsi="Arial"/>
        </w:rPr>
        <w:t> </w:t>
      </w:r>
      <w:r>
        <w:rPr>
          <w:rFonts w:cs="Arial" w:ascii="Arial" w:hAnsi="Arial"/>
        </w:rPr>
        <w:br/>
      </w:r>
    </w:p>
    <w:p>
      <w:pPr>
        <w:pStyle w:val="NormalWeb"/>
        <w:widowControl w:val="false"/>
        <w:spacing w:lineRule="auto" w:line="360" w:beforeAutospacing="0" w:before="0" w:afterAutospacing="0" w:after="240"/>
        <w:jc w:val="center"/>
        <w:rPr>
          <w:rFonts w:ascii="Arial" w:hAnsi="Arial" w:cs="Arial"/>
        </w:rPr>
      </w:pPr>
      <w:r>
        <w:rPr>
          <w:rFonts w:cs="Arial" w:ascii="Arial" w:hAnsi="Arial"/>
        </w:rPr>
      </w:r>
    </w:p>
    <w:p>
      <w:pPr>
        <w:pStyle w:val="NormalWeb"/>
        <w:widowControl w:val="false"/>
        <w:spacing w:lineRule="auto" w:line="360" w:beforeAutospacing="0" w:before="0" w:afterAutospacing="0" w:after="240"/>
        <w:jc w:val="center"/>
        <w:rPr>
          <w:rFonts w:ascii="Arial" w:hAnsi="Arial" w:cs="Arial"/>
        </w:rPr>
      </w:pPr>
      <w:r>
        <w:rPr>
          <w:rFonts w:cs="Arial" w:ascii="Arial" w:hAnsi="Arial"/>
        </w:rPr>
      </w:r>
    </w:p>
    <w:p>
      <w:pPr>
        <w:pStyle w:val="NormalWeb"/>
        <w:widowControl w:val="false"/>
        <w:spacing w:lineRule="auto" w:line="360" w:beforeAutospacing="0" w:before="0" w:afterAutospacing="0" w:after="0"/>
        <w:jc w:val="center"/>
        <w:rPr>
          <w:rFonts w:ascii="Arial" w:hAnsi="Arial" w:cs="Arial"/>
        </w:rPr>
      </w:pPr>
      <w:r>
        <w:rPr/>
      </w:r>
    </w:p>
    <w:p>
      <w:pPr>
        <w:sectPr>
          <w:type w:val="nextPage"/>
          <w:pgSz w:w="11906" w:h="16838"/>
          <w:pgMar w:left="1701" w:right="1134" w:header="0" w:top="1701" w:footer="0" w:bottom="1134" w:gutter="0"/>
          <w:pgNumType w:start="1" w:fmt="decimal"/>
          <w:formProt w:val="false"/>
          <w:titlePg/>
          <w:textDirection w:val="lrTb"/>
          <w:docGrid w:type="default" w:linePitch="360" w:charSpace="0"/>
        </w:sectPr>
        <w:pStyle w:val="NormalWeb"/>
        <w:widowControl w:val="false"/>
        <w:spacing w:lineRule="auto" w:line="360" w:beforeAutospacing="0" w:before="0" w:afterAutospacing="0" w:after="0"/>
        <w:jc w:val="center"/>
        <w:rPr>
          <w:rFonts w:ascii="Arial" w:hAnsi="Arial" w:cs="Arial"/>
        </w:rPr>
      </w:pPr>
      <w:r>
        <w:rPr>
          <w:rFonts w:cs="Arial" w:ascii="Arial" w:hAnsi="Arial"/>
        </w:rPr>
        <w:br/>
        <w:t>Belo Horizonte</w:t>
        <w:br/>
        <w:t>2018</w:t>
      </w:r>
      <w:bookmarkStart w:id="0" w:name="_Toc531196778"/>
      <w:bookmarkEnd w:id="0"/>
    </w:p>
    <w:sdt>
      <w:sdtPr>
        <w:docPartObj>
          <w:docPartGallery w:val="Table of Contents"/>
          <w:docPartUnique w:val="true"/>
        </w:docPartObj>
        <w:id w:val="1321781292"/>
      </w:sdtPr>
      <w:sdtContent>
        <w:p>
          <w:pPr>
            <w:pStyle w:val="NormalWeb"/>
            <w:widowControl w:val="false"/>
            <w:spacing w:lineRule="auto" w:line="360" w:beforeAutospacing="0" w:before="0" w:afterAutospacing="0" w:after="0"/>
            <w:jc w:val="center"/>
            <w:rPr>
              <w:rFonts w:ascii="Arial" w:hAnsi="Arial" w:cs="Arial"/>
              <w:b/>
              <w:b/>
            </w:rPr>
          </w:pPr>
          <w:r>
            <w:rPr>
              <w:rFonts w:cs="Arial" w:ascii="Arial" w:hAnsi="Arial"/>
              <w:b/>
            </w:rPr>
            <w:t>SUMÁRIO</w:t>
          </w:r>
        </w:p>
        <w:p>
          <w:pPr>
            <w:pStyle w:val="NormalWeb"/>
            <w:widowControl w:val="false"/>
            <w:spacing w:lineRule="auto" w:line="360" w:beforeAutospacing="0" w:before="0" w:afterAutospacing="0" w:after="0"/>
            <w:jc w:val="center"/>
            <w:rPr/>
          </w:pPr>
          <w:r>
            <w:rPr/>
          </w:r>
        </w:p>
        <w:p>
          <w:pPr>
            <w:pStyle w:val="Sumrio1"/>
            <w:rPr>
              <w:rFonts w:ascii="Arial" w:hAnsi="Arial" w:eastAsia="" w:cs="Arial" w:eastAsiaTheme="minorEastAsia"/>
              <w:b/>
              <w:b/>
              <w:sz w:val="24"/>
              <w:szCs w:val="24"/>
              <w:lang w:eastAsia="pt-BR"/>
            </w:rPr>
          </w:pPr>
          <w:r>
            <w:fldChar w:fldCharType="begin"/>
          </w:r>
          <w:r>
            <w:rPr>
              <w:webHidden/>
              <w:rStyle w:val="Vnculodendice"/>
              <w:sz w:val="24"/>
              <w:b/>
              <w:szCs w:val="24"/>
              <w:rFonts w:cs="Arial"/>
            </w:rPr>
            <w:instrText> TOC \z \o "1-9" \h</w:instrText>
          </w:r>
          <w:r>
            <w:rPr>
              <w:webHidden/>
              <w:rStyle w:val="Vnculodendice"/>
              <w:sz w:val="24"/>
              <w:b/>
              <w:szCs w:val="24"/>
              <w:rFonts w:cs="Arial"/>
            </w:rPr>
            <w:fldChar w:fldCharType="separate"/>
          </w:r>
          <w:hyperlink w:anchor="_Toc515342458">
            <w:r>
              <w:rPr>
                <w:webHidden/>
                <w:rStyle w:val="Vnculodendice"/>
                <w:rFonts w:cs="Arial"/>
                <w:b/>
                <w:sz w:val="24"/>
                <w:szCs w:val="24"/>
              </w:rPr>
              <w:t>1 INTRODUÇÃO</w:t>
            </w:r>
            <w:r>
              <w:rPr>
                <w:webHidden/>
              </w:rPr>
              <w:fldChar w:fldCharType="begin"/>
            </w:r>
            <w:r>
              <w:rPr>
                <w:webHidden/>
              </w:rPr>
              <w:instrText>PAGEREF _Toc515342458 \h</w:instrText>
            </w:r>
            <w:r>
              <w:rPr>
                <w:webHidden/>
              </w:rPr>
              <w:fldChar w:fldCharType="separate"/>
            </w:r>
            <w:r>
              <w:rPr>
                <w:rStyle w:val="Vnculodendice"/>
                <w:rFonts w:cs="Arial"/>
                <w:b/>
                <w:vanish w:val="false"/>
                <w:sz w:val="24"/>
                <w:szCs w:val="24"/>
              </w:rPr>
              <w:tab/>
              <w:t>4</w:t>
            </w:r>
            <w:r>
              <w:rPr>
                <w:webHidden/>
              </w:rPr>
              <w:fldChar w:fldCharType="end"/>
            </w:r>
          </w:hyperlink>
        </w:p>
        <w:p>
          <w:pPr>
            <w:pStyle w:val="Sumrio1"/>
            <w:rPr>
              <w:rFonts w:ascii="Arial" w:hAnsi="Arial" w:cs="Arial"/>
              <w:b/>
              <w:b/>
              <w:sz w:val="24"/>
              <w:szCs w:val="24"/>
            </w:rPr>
          </w:pPr>
          <w:r>
            <w:rPr>
              <w:rFonts w:cs="Arial"/>
              <w:b/>
              <w:sz w:val="24"/>
              <w:szCs w:val="24"/>
            </w:rPr>
          </w:r>
        </w:p>
        <w:p>
          <w:pPr>
            <w:pStyle w:val="Sumrio1"/>
            <w:rPr>
              <w:rFonts w:ascii="Arial" w:hAnsi="Arial" w:eastAsia="" w:cs="Arial" w:eastAsiaTheme="minorEastAsia"/>
              <w:b/>
              <w:b/>
              <w:sz w:val="24"/>
              <w:szCs w:val="24"/>
              <w:lang w:eastAsia="pt-BR"/>
            </w:rPr>
          </w:pPr>
          <w:hyperlink w:anchor="_Toc515342459">
            <w:r>
              <w:rPr>
                <w:webHidden/>
                <w:rStyle w:val="Vnculodendice"/>
                <w:rFonts w:cs="Arial"/>
                <w:b/>
                <w:sz w:val="24"/>
                <w:szCs w:val="24"/>
              </w:rPr>
              <w:t>2 ABORDAGEM TEÓRICA E DESCRIÇÃO GERAL DOS ATIVOS</w:t>
            </w:r>
            <w:r>
              <w:rPr>
                <w:webHidden/>
              </w:rPr>
              <w:fldChar w:fldCharType="begin"/>
            </w:r>
            <w:r>
              <w:rPr>
                <w:webHidden/>
              </w:rPr>
              <w:instrText>PAGEREF _Toc515342459 \h</w:instrText>
            </w:r>
            <w:r>
              <w:rPr>
                <w:webHidden/>
              </w:rPr>
              <w:fldChar w:fldCharType="separate"/>
            </w:r>
            <w:r>
              <w:rPr>
                <w:rStyle w:val="Vnculodendice"/>
                <w:rFonts w:cs="Arial"/>
                <w:b/>
                <w:vanish w:val="false"/>
                <w:sz w:val="24"/>
                <w:szCs w:val="24"/>
              </w:rPr>
              <w:tab/>
              <w:t>5</w:t>
            </w:r>
            <w:r>
              <w:rPr>
                <w:webHidden/>
              </w:rPr>
              <w:fldChar w:fldCharType="end"/>
            </w:r>
          </w:hyperlink>
        </w:p>
        <w:p>
          <w:pPr>
            <w:pStyle w:val="Sumrio1"/>
            <w:rPr>
              <w:rFonts w:ascii="Arial" w:hAnsi="Arial" w:eastAsia="" w:cs="Arial" w:eastAsiaTheme="minorEastAsia"/>
              <w:b/>
              <w:b/>
              <w:sz w:val="24"/>
              <w:szCs w:val="24"/>
              <w:lang w:eastAsia="pt-BR"/>
            </w:rPr>
          </w:pPr>
          <w:hyperlink w:anchor="_Toc515342460">
            <w:r>
              <w:rPr>
                <w:webHidden/>
                <w:rStyle w:val="Vnculodendice"/>
                <w:rFonts w:cs="Arial"/>
                <w:b/>
                <w:sz w:val="24"/>
                <w:szCs w:val="24"/>
              </w:rPr>
              <w:t>2.1 Teoria de Seleção de Carteiras de Markowitz</w:t>
            </w:r>
            <w:r>
              <w:rPr>
                <w:webHidden/>
              </w:rPr>
              <w:fldChar w:fldCharType="begin"/>
            </w:r>
            <w:r>
              <w:rPr>
                <w:webHidden/>
              </w:rPr>
              <w:instrText>PAGEREF _Toc515342460 \h</w:instrText>
            </w:r>
            <w:r>
              <w:rPr>
                <w:webHidden/>
              </w:rPr>
              <w:fldChar w:fldCharType="separate"/>
            </w:r>
            <w:r>
              <w:rPr>
                <w:rStyle w:val="Vnculodendice"/>
                <w:rFonts w:cs="Arial"/>
                <w:b/>
                <w:vanish w:val="false"/>
                <w:sz w:val="24"/>
                <w:szCs w:val="24"/>
              </w:rPr>
              <w:tab/>
              <w:t>5</w:t>
            </w:r>
            <w:r>
              <w:rPr>
                <w:webHidden/>
              </w:rPr>
              <w:fldChar w:fldCharType="end"/>
            </w:r>
          </w:hyperlink>
        </w:p>
        <w:p>
          <w:pPr>
            <w:pStyle w:val="Sumrio1"/>
            <w:rPr>
              <w:rFonts w:ascii="Arial" w:hAnsi="Arial" w:cs="Arial"/>
              <w:b/>
              <w:b/>
              <w:sz w:val="24"/>
              <w:szCs w:val="24"/>
            </w:rPr>
          </w:pPr>
          <w:hyperlink w:anchor="_Toc515342461">
            <w:r>
              <w:rPr>
                <w:webHidden/>
                <w:rStyle w:val="Vnculodendice"/>
                <w:rFonts w:cs="Arial"/>
                <w:b/>
                <w:sz w:val="24"/>
                <w:szCs w:val="24"/>
              </w:rPr>
              <w:t>2.2 Modelos de Precificação de Ativos e Avaliação de Risco</w:t>
            </w:r>
            <w:r>
              <w:rPr>
                <w:rStyle w:val="Vnculodendice"/>
                <w:rFonts w:cs="Arial"/>
                <w:b/>
                <w:vanish w:val="false"/>
                <w:sz w:val="24"/>
                <w:szCs w:val="24"/>
              </w:rPr>
              <w:tab/>
            </w:r>
          </w:hyperlink>
          <w:r>
            <w:rPr>
              <w:rFonts w:cs="Arial"/>
              <w:b/>
              <w:sz w:val="24"/>
              <w:szCs w:val="24"/>
            </w:rPr>
            <w:t>5</w:t>
          </w:r>
        </w:p>
        <w:p>
          <w:pPr>
            <w:pStyle w:val="Sumrio1"/>
            <w:rPr>
              <w:rFonts w:ascii="Arial" w:hAnsi="Arial" w:cs="Arial"/>
              <w:b/>
              <w:b/>
              <w:sz w:val="24"/>
              <w:szCs w:val="24"/>
            </w:rPr>
          </w:pPr>
          <w:hyperlink w:anchor="_Toc515342461">
            <w:r>
              <w:rPr>
                <w:webHidden/>
                <w:rStyle w:val="Vnculodendice"/>
                <w:rFonts w:cs="Arial"/>
                <w:b/>
                <w:sz w:val="24"/>
                <w:szCs w:val="24"/>
              </w:rPr>
              <w:t>2.3 Descrição Geral dos Ativos da Carteira</w:t>
            </w:r>
            <w:r>
              <w:rPr>
                <w:rStyle w:val="Vnculodendice"/>
                <w:rFonts w:cs="Arial"/>
                <w:b/>
                <w:vanish w:val="false"/>
                <w:sz w:val="24"/>
                <w:szCs w:val="24"/>
              </w:rPr>
              <w:tab/>
            </w:r>
          </w:hyperlink>
          <w:r>
            <w:rPr>
              <w:rFonts w:cs="Arial"/>
              <w:b/>
              <w:sz w:val="24"/>
              <w:szCs w:val="24"/>
            </w:rPr>
            <w:t>6</w:t>
          </w:r>
        </w:p>
        <w:p>
          <w:pPr>
            <w:pStyle w:val="Sumrio1"/>
            <w:rPr>
              <w:rFonts w:ascii="Arial" w:hAnsi="Arial" w:eastAsia="" w:cs="Arial" w:eastAsiaTheme="minorEastAsia"/>
              <w:b/>
              <w:b/>
              <w:i/>
              <w:i/>
              <w:sz w:val="24"/>
              <w:szCs w:val="24"/>
              <w:lang w:eastAsia="pt-BR"/>
            </w:rPr>
          </w:pPr>
          <w:hyperlink w:anchor="_Toc515342467">
            <w:r>
              <w:rPr>
                <w:webHidden/>
                <w:rStyle w:val="Vnculodendice"/>
                <w:rFonts w:cs="Arial"/>
                <w:i/>
                <w:sz w:val="24"/>
                <w:szCs w:val="24"/>
              </w:rPr>
              <w:t>2.3.1 PETR4 (Petrobras S.A.)</w:t>
            </w:r>
            <w:r>
              <w:rPr>
                <w:rStyle w:val="Vnculodendice"/>
                <w:rFonts w:cs="Arial"/>
                <w:vanish w:val="false"/>
                <w:sz w:val="24"/>
                <w:szCs w:val="24"/>
              </w:rPr>
              <w:tab/>
            </w:r>
          </w:hyperlink>
          <w:r>
            <w:rPr>
              <w:rFonts w:cs="Arial"/>
              <w:i/>
              <w:sz w:val="24"/>
              <w:szCs w:val="24"/>
            </w:rPr>
            <w:t>6</w:t>
          </w:r>
        </w:p>
        <w:p>
          <w:pPr>
            <w:pStyle w:val="Sumrio1"/>
            <w:rPr>
              <w:rFonts w:ascii="Arial" w:hAnsi="Arial" w:eastAsia="" w:cs="Arial" w:eastAsiaTheme="minorEastAsia"/>
              <w:b/>
              <w:b/>
              <w:i/>
              <w:i/>
              <w:sz w:val="24"/>
              <w:szCs w:val="24"/>
              <w:lang w:eastAsia="pt-BR"/>
            </w:rPr>
          </w:pPr>
          <w:hyperlink w:anchor="_Toc515342479">
            <w:r>
              <w:rPr>
                <w:webHidden/>
                <w:rStyle w:val="Vnculodendice"/>
                <w:rFonts w:cs="Arial"/>
                <w:i/>
                <w:sz w:val="24"/>
                <w:szCs w:val="24"/>
              </w:rPr>
              <w:t>2.3.2 ITSA4 (Itaú Investimentos S.A.)</w:t>
            </w:r>
            <w:r>
              <w:rPr>
                <w:rStyle w:val="Vnculodendice"/>
                <w:rFonts w:cs="Arial"/>
                <w:i/>
                <w:vanish w:val="false"/>
                <w:sz w:val="24"/>
                <w:szCs w:val="24"/>
              </w:rPr>
              <w:tab/>
            </w:r>
          </w:hyperlink>
          <w:r>
            <w:rPr>
              <w:rFonts w:cs="Arial"/>
              <w:i/>
              <w:sz w:val="24"/>
              <w:szCs w:val="24"/>
            </w:rPr>
            <w:t>6</w:t>
          </w:r>
        </w:p>
        <w:p>
          <w:pPr>
            <w:pStyle w:val="Sumrio1"/>
            <w:rPr>
              <w:rFonts w:ascii="Arial" w:hAnsi="Arial" w:cs="Arial"/>
              <w:i/>
              <w:i/>
              <w:sz w:val="24"/>
              <w:szCs w:val="24"/>
            </w:rPr>
          </w:pPr>
          <w:hyperlink w:anchor="_Toc515342490">
            <w:r>
              <w:rPr>
                <w:webHidden/>
                <w:rStyle w:val="Vnculodendice"/>
                <w:rFonts w:cs="Arial"/>
                <w:i/>
                <w:sz w:val="24"/>
                <w:szCs w:val="24"/>
              </w:rPr>
              <w:t>2.3.3 B3SA3 (B³ S.A.)</w:t>
            </w:r>
            <w:r>
              <w:rPr>
                <w:rStyle w:val="Vnculodendice"/>
                <w:rFonts w:cs="Arial"/>
                <w:i/>
                <w:vanish w:val="false"/>
                <w:sz w:val="24"/>
                <w:szCs w:val="24"/>
              </w:rPr>
              <w:tab/>
            </w:r>
          </w:hyperlink>
          <w:r>
            <w:rPr>
              <w:rFonts w:cs="Arial"/>
              <w:i/>
              <w:sz w:val="24"/>
              <w:szCs w:val="24"/>
            </w:rPr>
            <w:t>6</w:t>
          </w:r>
        </w:p>
        <w:p>
          <w:pPr>
            <w:pStyle w:val="Sumrio1"/>
            <w:rPr>
              <w:rFonts w:ascii="Arial" w:hAnsi="Arial" w:cs="Arial"/>
              <w:i/>
              <w:i/>
              <w:sz w:val="24"/>
              <w:szCs w:val="24"/>
            </w:rPr>
          </w:pPr>
          <w:hyperlink w:anchor="_Toc515342490">
            <w:r>
              <w:rPr>
                <w:webHidden/>
                <w:rStyle w:val="Vnculodendice"/>
                <w:rFonts w:cs="Arial"/>
                <w:i/>
                <w:sz w:val="24"/>
                <w:szCs w:val="24"/>
              </w:rPr>
              <w:t>2.3.4 SUZB3 (Suzano Papel e Celulose S.A.)</w:t>
            </w:r>
            <w:r>
              <w:rPr>
                <w:rStyle w:val="Vnculodendice"/>
                <w:rFonts w:cs="Arial"/>
                <w:i/>
                <w:vanish w:val="false"/>
                <w:sz w:val="24"/>
                <w:szCs w:val="24"/>
              </w:rPr>
              <w:tab/>
            </w:r>
          </w:hyperlink>
          <w:r>
            <w:rPr>
              <w:rFonts w:cs="Arial"/>
              <w:i/>
              <w:sz w:val="24"/>
              <w:szCs w:val="24"/>
            </w:rPr>
            <w:t>7</w:t>
          </w:r>
        </w:p>
        <w:p>
          <w:pPr>
            <w:pStyle w:val="Sumrio1"/>
            <w:rPr>
              <w:rFonts w:ascii="Arial" w:hAnsi="Arial" w:cs="Arial"/>
              <w:i/>
              <w:i/>
              <w:sz w:val="24"/>
              <w:szCs w:val="24"/>
            </w:rPr>
          </w:pPr>
          <w:hyperlink w:anchor="_Toc515342490">
            <w:r>
              <w:rPr>
                <w:webHidden/>
                <w:rStyle w:val="Vnculodendice"/>
                <w:rFonts w:cs="Arial"/>
                <w:i/>
                <w:sz w:val="24"/>
                <w:szCs w:val="24"/>
              </w:rPr>
              <w:t>2.3.5 GGBR4 (Gerdau S.A.)</w:t>
            </w:r>
            <w:r>
              <w:rPr>
                <w:rStyle w:val="Vnculodendice"/>
                <w:rFonts w:cs="Arial"/>
                <w:i/>
                <w:vanish w:val="false"/>
                <w:sz w:val="24"/>
                <w:szCs w:val="24"/>
              </w:rPr>
              <w:tab/>
            </w:r>
          </w:hyperlink>
          <w:r>
            <w:rPr>
              <w:rFonts w:cs="Arial"/>
              <w:i/>
              <w:sz w:val="24"/>
              <w:szCs w:val="24"/>
            </w:rPr>
            <w:t>7</w:t>
          </w:r>
        </w:p>
        <w:p>
          <w:pPr>
            <w:pStyle w:val="Sumrio1"/>
            <w:rPr>
              <w:rFonts w:ascii="Arial" w:hAnsi="Arial" w:cs="Arial"/>
              <w:sz w:val="24"/>
              <w:szCs w:val="24"/>
            </w:rPr>
          </w:pPr>
          <w:r>
            <w:rPr>
              <w:rFonts w:cs="Arial"/>
              <w:sz w:val="24"/>
              <w:szCs w:val="24"/>
            </w:rPr>
          </w:r>
        </w:p>
        <w:p>
          <w:pPr>
            <w:pStyle w:val="Sumrio1"/>
            <w:rPr>
              <w:rFonts w:ascii="Arial" w:hAnsi="Arial" w:eastAsia="" w:cs="Arial" w:eastAsiaTheme="minorEastAsia"/>
              <w:b/>
              <w:b/>
              <w:sz w:val="24"/>
              <w:szCs w:val="24"/>
              <w:lang w:eastAsia="pt-BR"/>
            </w:rPr>
          </w:pPr>
          <w:hyperlink w:anchor="_Toc515342462">
            <w:r>
              <w:rPr>
                <w:webHidden/>
                <w:rStyle w:val="Vnculodendice"/>
                <w:rFonts w:cs="Arial"/>
                <w:b/>
                <w:sz w:val="24"/>
                <w:szCs w:val="24"/>
              </w:rPr>
              <w:t>3 METODOLOGIA E RESULTADOS</w:t>
            </w:r>
            <w:r>
              <w:rPr>
                <w:webHidden/>
              </w:rPr>
              <w:fldChar w:fldCharType="begin"/>
            </w:r>
            <w:r>
              <w:rPr>
                <w:webHidden/>
              </w:rPr>
              <w:instrText>PAGEREF _Toc515342462 \h</w:instrText>
            </w:r>
            <w:r>
              <w:rPr>
                <w:webHidden/>
              </w:rPr>
              <w:fldChar w:fldCharType="separate"/>
            </w:r>
            <w:r>
              <w:rPr>
                <w:rStyle w:val="Vnculodendice"/>
                <w:rFonts w:cs="Arial"/>
                <w:b/>
                <w:vanish w:val="false"/>
                <w:sz w:val="24"/>
                <w:szCs w:val="24"/>
              </w:rPr>
              <w:tab/>
              <w:t>8</w:t>
            </w:r>
            <w:r>
              <w:rPr>
                <w:webHidden/>
              </w:rPr>
              <w:fldChar w:fldCharType="end"/>
            </w:r>
          </w:hyperlink>
        </w:p>
        <w:p>
          <w:pPr>
            <w:pStyle w:val="Sumrio1"/>
            <w:rPr>
              <w:rFonts w:ascii="Arial" w:hAnsi="Arial" w:eastAsia="" w:cs="Arial" w:eastAsiaTheme="minorEastAsia"/>
              <w:b/>
              <w:b/>
              <w:sz w:val="24"/>
              <w:szCs w:val="24"/>
              <w:lang w:eastAsia="pt-BR"/>
            </w:rPr>
          </w:pPr>
          <w:hyperlink w:anchor="_Toc515342463">
            <w:r>
              <w:rPr>
                <w:webHidden/>
                <w:rStyle w:val="Vnculodendice"/>
                <w:rFonts w:cs="Arial"/>
                <w:b/>
                <w:sz w:val="24"/>
                <w:szCs w:val="24"/>
              </w:rPr>
              <w:t>3.1 Metodologia de Pesquisa</w:t>
            </w:r>
            <w:r>
              <w:rPr>
                <w:rStyle w:val="Vnculodendice"/>
                <w:rFonts w:cs="Arial"/>
                <w:b/>
                <w:vanish w:val="false"/>
                <w:sz w:val="24"/>
                <w:szCs w:val="24"/>
              </w:rPr>
              <w:tab/>
            </w:r>
          </w:hyperlink>
          <w:r>
            <w:rPr>
              <w:rFonts w:cs="Arial"/>
              <w:b/>
              <w:vanish w:val="false"/>
              <w:sz w:val="24"/>
              <w:szCs w:val="24"/>
            </w:rPr>
            <w:t>8</w:t>
          </w:r>
        </w:p>
        <w:p>
          <w:pPr>
            <w:pStyle w:val="Sumrio1"/>
            <w:rPr>
              <w:rFonts w:ascii="Arial" w:hAnsi="Arial" w:cs="Arial"/>
              <w:b/>
              <w:b/>
              <w:sz w:val="24"/>
              <w:szCs w:val="24"/>
            </w:rPr>
          </w:pPr>
          <w:hyperlink w:anchor="_Toc515342464">
            <w:r>
              <w:rPr>
                <w:webHidden/>
                <w:rStyle w:val="Vnculodendice"/>
                <w:rFonts w:cs="Arial"/>
                <w:b/>
                <w:sz w:val="24"/>
                <w:szCs w:val="24"/>
              </w:rPr>
              <w:t>3.2 Análise de Resultados</w:t>
            </w:r>
            <w:r>
              <w:rPr>
                <w:rStyle w:val="Vnculodendice"/>
                <w:rFonts w:cs="Arial"/>
                <w:b/>
                <w:vanish w:val="false"/>
                <w:sz w:val="24"/>
                <w:szCs w:val="24"/>
              </w:rPr>
              <w:tab/>
            </w:r>
          </w:hyperlink>
          <w:r>
            <w:rPr>
              <w:rFonts w:cs="Arial"/>
              <w:b/>
              <w:sz w:val="24"/>
              <w:szCs w:val="24"/>
            </w:rPr>
            <w:t>10</w:t>
          </w:r>
        </w:p>
        <w:p>
          <w:pPr>
            <w:pStyle w:val="Sumrio1"/>
            <w:rPr/>
          </w:pPr>
          <w:hyperlink w:anchor="_Toc515342464">
            <w:r>
              <w:rPr>
                <w:webHidden/>
                <w:rStyle w:val="Vnculodendice"/>
                <w:rFonts w:cs="Arial"/>
                <w:b/>
                <w:sz w:val="24"/>
                <w:szCs w:val="24"/>
              </w:rPr>
              <w:t>3.3 Hedge Utilizando o Índice Ibovespa</w:t>
            </w:r>
            <w:r>
              <w:rPr>
                <w:webHidden/>
              </w:rPr>
              <w:fldChar w:fldCharType="begin"/>
            </w:r>
            <w:r>
              <w:rPr>
                <w:webHidden/>
              </w:rPr>
              <w:instrText>PAGEREF _Toc515342464 \h</w:instrText>
            </w:r>
            <w:r>
              <w:rPr>
                <w:webHidden/>
              </w:rPr>
              <w:fldChar w:fldCharType="separate"/>
            </w:r>
            <w:r>
              <w:rPr>
                <w:rStyle w:val="Vnculodendice"/>
                <w:rFonts w:cs="Arial"/>
                <w:b/>
                <w:vanish w:val="false"/>
                <w:sz w:val="24"/>
                <w:szCs w:val="24"/>
              </w:rPr>
              <w:tab/>
              <w:t>12</w:t>
            </w:r>
            <w:r>
              <w:rPr>
                <w:webHidden/>
              </w:rPr>
              <w:fldChar w:fldCharType="end"/>
            </w:r>
          </w:hyperlink>
        </w:p>
        <w:p>
          <w:pPr>
            <w:pStyle w:val="Sumrio1"/>
            <w:rPr>
              <w:rFonts w:ascii="Arial" w:hAnsi="Arial" w:cs="Arial"/>
              <w:b/>
              <w:b/>
              <w:sz w:val="24"/>
              <w:szCs w:val="24"/>
            </w:rPr>
          </w:pPr>
          <w:r>
            <w:rPr>
              <w:rFonts w:cs="Arial"/>
              <w:b/>
              <w:sz w:val="24"/>
              <w:szCs w:val="24"/>
            </w:rPr>
          </w:r>
        </w:p>
        <w:p>
          <w:pPr>
            <w:pStyle w:val="Sumrio1"/>
            <w:rPr>
              <w:rFonts w:ascii="Arial" w:hAnsi="Arial" w:eastAsia="" w:cs="Arial" w:eastAsiaTheme="minorEastAsia"/>
              <w:b/>
              <w:b/>
              <w:sz w:val="24"/>
              <w:szCs w:val="24"/>
              <w:lang w:eastAsia="pt-BR"/>
            </w:rPr>
          </w:pPr>
          <w:hyperlink w:anchor="_Toc515342502">
            <w:r>
              <w:rPr>
                <w:webHidden/>
                <w:rStyle w:val="Vnculodendice"/>
                <w:rFonts w:cs="Arial"/>
                <w:b/>
                <w:sz w:val="24"/>
                <w:szCs w:val="24"/>
              </w:rPr>
              <w:t>4 CONSIDERAÇÕES FINAIS</w:t>
            </w:r>
            <w:r>
              <w:rPr>
                <w:rStyle w:val="Vnculodendice"/>
                <w:rFonts w:cs="Arial"/>
                <w:b/>
                <w:vanish w:val="false"/>
                <w:sz w:val="24"/>
                <w:szCs w:val="24"/>
              </w:rPr>
              <w:tab/>
            </w:r>
          </w:hyperlink>
          <w:r>
            <w:rPr>
              <w:rFonts w:cs="Arial"/>
              <w:b/>
              <w:sz w:val="24"/>
              <w:szCs w:val="24"/>
            </w:rPr>
            <w:t>13</w:t>
          </w:r>
        </w:p>
        <w:p>
          <w:pPr>
            <w:pStyle w:val="Sumrio1"/>
            <w:rPr>
              <w:rFonts w:ascii="Arial" w:hAnsi="Arial" w:cs="Arial"/>
              <w:b/>
              <w:b/>
              <w:sz w:val="24"/>
              <w:szCs w:val="24"/>
            </w:rPr>
          </w:pPr>
          <w:r>
            <w:rPr>
              <w:rFonts w:cs="Arial"/>
              <w:b/>
              <w:sz w:val="24"/>
              <w:szCs w:val="24"/>
            </w:rPr>
          </w:r>
        </w:p>
        <w:p>
          <w:pPr>
            <w:pStyle w:val="Sumrio1"/>
            <w:rPr>
              <w:rFonts w:ascii="Arial" w:hAnsi="Arial" w:eastAsia="" w:cs="Arial" w:eastAsiaTheme="minorEastAsia"/>
              <w:b/>
              <w:b/>
              <w:sz w:val="24"/>
              <w:szCs w:val="24"/>
              <w:lang w:eastAsia="pt-BR"/>
            </w:rPr>
          </w:pPr>
          <w:hyperlink w:anchor="_Toc515342503">
            <w:r>
              <w:rPr>
                <w:webHidden/>
                <w:rStyle w:val="Vnculodendice"/>
                <w:rFonts w:cs="Arial"/>
                <w:b/>
                <w:sz w:val="24"/>
                <w:szCs w:val="24"/>
              </w:rPr>
              <w:t>REFERÊNCIAS</w:t>
            </w:r>
            <w:r>
              <w:rPr>
                <w:rStyle w:val="Vnculodendice"/>
                <w:rFonts w:cs="Arial"/>
                <w:b/>
                <w:vanish w:val="false"/>
                <w:sz w:val="24"/>
                <w:szCs w:val="24"/>
              </w:rPr>
              <w:tab/>
            </w:r>
          </w:hyperlink>
          <w:r>
            <w:rPr>
              <w:rFonts w:cs="Arial"/>
              <w:b/>
              <w:sz w:val="24"/>
              <w:szCs w:val="24"/>
            </w:rPr>
            <w:t>14</w:t>
          </w:r>
        </w:p>
        <w:p>
          <w:pPr>
            <w:pStyle w:val="Sumrio1"/>
            <w:tabs>
              <w:tab w:val="right" w:pos="9061" w:leader="dot"/>
            </w:tabs>
            <w:spacing w:lineRule="auto" w:line="240" w:before="0" w:after="0"/>
            <w:rPr/>
          </w:pPr>
          <w:r>
            <w:rPr/>
          </w:r>
          <w:r>
            <w:rPr/>
            <w:fldChar w:fldCharType="end"/>
          </w:r>
        </w:p>
      </w:sdtContent>
    </w:sdt>
    <w:p>
      <w:pPr>
        <w:pStyle w:val="Ttulo1"/>
        <w:rPr/>
      </w:pPr>
      <w:bookmarkStart w:id="1" w:name="_Toc531196779"/>
      <w:bookmarkStart w:id="2" w:name="_Toc531196682"/>
      <w:r>
        <w:rPr/>
        <w:t>1 INTRODUÇÃO</w:t>
      </w:r>
      <w:bookmarkEnd w:id="1"/>
      <w:bookmarkEnd w:id="2"/>
    </w:p>
    <w:p>
      <w:pPr>
        <w:pStyle w:val="Normal"/>
        <w:spacing w:lineRule="auto" w:line="240" w:before="0" w:after="0"/>
        <w:rPr/>
      </w:pPr>
      <w:r>
        <w:rPr/>
      </w:r>
    </w:p>
    <w:p>
      <w:pPr>
        <w:pStyle w:val="Normal"/>
        <w:spacing w:lineRule="auto" w:line="360" w:before="0" w:after="0"/>
        <w:jc w:val="both"/>
        <w:rPr/>
      </w:pPr>
      <w:r>
        <w:rPr>
          <w:rFonts w:ascii="Arial" w:hAnsi="Arial"/>
          <w:sz w:val="24"/>
          <w:szCs w:val="24"/>
        </w:rPr>
        <w:tab/>
        <w:t>O Sistema Financeiro exerce a função crucial de intermediar os recursos entre os agentes econômicos, fazendo com que a atividade produtiva se desenvolva, assumindo papel de base para a estabilização econômica de um país (BANCO CENTRAL DO BRASIL, 2016</w:t>
      </w:r>
      <w:r>
        <w:rPr/>
        <w:t xml:space="preserve">).  </w:t>
      </w:r>
      <w:r>
        <w:rPr>
          <w:rFonts w:ascii="Arial" w:hAnsi="Arial"/>
          <w:sz w:val="24"/>
          <w:szCs w:val="24"/>
        </w:rPr>
        <w:t>Nesse sentido, os agentes econômicos exercem todos os dias, dentro do Sistema Financeiro, operações de natureza monetária na busca de alocar os seus recursos da forma mais eficiente possível.</w:t>
      </w:r>
    </w:p>
    <w:p>
      <w:pPr>
        <w:pStyle w:val="Normal"/>
        <w:spacing w:lineRule="auto" w:line="360" w:before="0" w:after="0"/>
        <w:jc w:val="both"/>
        <w:rPr/>
      </w:pPr>
      <w:r>
        <w:rPr>
          <w:rFonts w:ascii="Arial" w:hAnsi="Arial"/>
          <w:sz w:val="24"/>
          <w:szCs w:val="24"/>
        </w:rPr>
        <w:tab/>
        <w:t>Na busca de alocar seus recursos, os indivíduos se deparam com diversas formas de o fazê-lo e uma dessas formas é direcionar seus recursos no mercado financeiro. O mercado financeiro aloca os recursos excedentes de posse dos indivíduos, ou seja, estabelece a conexão que faz com que a poupança dos indivíduos seja alocada no financiamento de empresas ou projetos, tornando-se investimentos (FORTUNA, 2010).</w:t>
      </w:r>
    </w:p>
    <w:p>
      <w:pPr>
        <w:pStyle w:val="Normal"/>
        <w:spacing w:lineRule="auto" w:line="360" w:before="0" w:after="0"/>
        <w:jc w:val="both"/>
        <w:rPr/>
      </w:pPr>
      <w:r>
        <w:rPr>
          <w:rFonts w:ascii="Arial" w:hAnsi="Arial"/>
          <w:sz w:val="24"/>
          <w:szCs w:val="24"/>
        </w:rPr>
        <w:tab/>
        <w:t xml:space="preserve">Uma das soluções do mercado financeiro, se não a principal, é o mercado de capitais. O mercado de capitais é o local onde as empresas de capital aberto negociam suas frações acionárias, colocando a venda parte do seu patrimônio para alocação de recursos por parte dos agentes econômicos (WELLISCH, 2018). Contudo, o mercado de capitais é bastante complexo e envolve decisões de risco por parte dos agentes econômicos. </w:t>
      </w:r>
    </w:p>
    <w:p>
      <w:pPr>
        <w:pStyle w:val="Normal"/>
        <w:spacing w:lineRule="auto" w:line="360" w:before="0" w:after="0"/>
        <w:jc w:val="both"/>
        <w:rPr/>
      </w:pPr>
      <w:r>
        <w:rPr>
          <w:rFonts w:ascii="Arial" w:hAnsi="Arial"/>
          <w:sz w:val="24"/>
          <w:szCs w:val="24"/>
        </w:rPr>
        <w:tab/>
        <w:t xml:space="preserve">Os indivíduos, sabedores do risco que tomam, procuram formas diferentes de conseguir diminuir os riscos que assumem no mercado. Uma das formas de minimizar os riscos é diversificar as ações de compra, formando uma espécie de carteira de ações, distribuindo os recursos investidos em diversas opções de compra. O indivíduo espera que o risco da sua carteira seja minimizado pela diversificação, causando um efeito quase nulo, sendo a relação retorno esperado e risco diversificado a base para formação de carteiras (SCHIROKY, 2007). </w:t>
      </w:r>
    </w:p>
    <w:p>
      <w:pPr>
        <w:pStyle w:val="Normal"/>
        <w:spacing w:lineRule="auto" w:line="360" w:before="0" w:after="0"/>
        <w:jc w:val="both"/>
        <w:rPr>
          <w:sz w:val="24"/>
          <w:szCs w:val="24"/>
        </w:rPr>
      </w:pPr>
      <w:r>
        <w:rPr>
          <w:rFonts w:ascii="Arial" w:hAnsi="Arial"/>
          <w:sz w:val="24"/>
          <w:szCs w:val="24"/>
        </w:rPr>
        <w:tab/>
      </w:r>
      <w:r>
        <w:rPr>
          <w:rFonts w:cs="Arial" w:ascii="Arial" w:hAnsi="Arial"/>
          <w:sz w:val="24"/>
          <w:szCs w:val="24"/>
        </w:rPr>
        <w:t xml:space="preserve">Ao longo do presente trabalho será abordado de forma teórica a descrição geral dos ativos, bem como a teoria da seleção de ativos de Markowitz, de forma mais aprofundada, modelo de precificação de ativos e avaliação de riscos. Será apresentado de forma prática a descrição geral dos ativos de uma carteira hipotética que possui as empresas Petrobrás S.A, Itaú investimentos S.A, </w:t>
      </w:r>
      <w:hyperlink w:anchor="_Toc515342490">
        <w:r>
          <w:rPr>
            <w:rStyle w:val="Vnculodendice"/>
            <w:rFonts w:cs="Arial" w:ascii="Arial" w:hAnsi="Arial"/>
            <w:sz w:val="24"/>
            <w:szCs w:val="24"/>
          </w:rPr>
          <w:t>B³ S.A</w:t>
        </w:r>
      </w:hyperlink>
      <w:r>
        <w:rPr>
          <w:rFonts w:cs="Arial" w:ascii="Arial" w:hAnsi="Arial"/>
          <w:sz w:val="24"/>
          <w:szCs w:val="24"/>
        </w:rPr>
        <w:t>, Suzano Papel e Celulose S.A e Gerdau S.A, bem como suas respectivas ações e comportamento no mercado.</w:t>
      </w:r>
      <w:bookmarkStart w:id="3" w:name="_Toc515342503"/>
      <w:r>
        <w:br w:type="page"/>
      </w:r>
    </w:p>
    <w:p>
      <w:pPr>
        <w:pStyle w:val="Ttulo1"/>
        <w:rPr/>
      </w:pPr>
      <w:bookmarkStart w:id="4" w:name="_Toc531196780"/>
      <w:bookmarkStart w:id="5" w:name="_Toc531196683"/>
      <w:r>
        <w:rPr/>
        <w:t>2 ABORDAGEM TEÓRICA E DESCRIÇÃO GERAL DOS ATIVOS</w:t>
      </w:r>
      <w:bookmarkEnd w:id="4"/>
      <w:bookmarkEnd w:id="5"/>
      <w:r>
        <w:rPr/>
        <w:tab/>
      </w:r>
    </w:p>
    <w:p>
      <w:pPr>
        <w:pStyle w:val="Titulo2"/>
        <w:rPr/>
      </w:pPr>
      <w:r>
        <w:rPr/>
      </w:r>
    </w:p>
    <w:p>
      <w:pPr>
        <w:pStyle w:val="Titulo2"/>
        <w:rPr>
          <w:rStyle w:val="Titulo3Char"/>
          <w:i w:val="false"/>
          <w:i w:val="false"/>
        </w:rPr>
      </w:pPr>
      <w:r>
        <w:rPr>
          <w:rStyle w:val="Titulo3Char"/>
          <w:i w:val="false"/>
        </w:rPr>
        <w:t>2.1 Teoria de Seleção de Carteiras de Markowitz</w:t>
        <w:tab/>
      </w:r>
    </w:p>
    <w:p>
      <w:pPr>
        <w:pStyle w:val="Normal"/>
        <w:spacing w:lineRule="auto" w:line="360" w:before="0" w:after="0"/>
        <w:rPr>
          <w:rFonts w:ascii="Arial" w:hAnsi="Arial" w:cs="Arial"/>
          <w:b/>
          <w:b/>
          <w:sz w:val="24"/>
          <w:szCs w:val="24"/>
        </w:rPr>
      </w:pPr>
      <w:r>
        <w:rPr>
          <w:rFonts w:cs="Arial" w:ascii="Arial" w:hAnsi="Arial"/>
          <w:b/>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ab/>
        <w:t xml:space="preserve">Segundo Menezes (2018), há um consentimento entre os estudiosos da área de Finanças que Harry Markowitz, ao publicar seu livro </w:t>
      </w:r>
      <w:r>
        <w:rPr>
          <w:rFonts w:cs="Arial" w:ascii="Arial" w:hAnsi="Arial"/>
          <w:i/>
          <w:sz w:val="24"/>
          <w:szCs w:val="24"/>
        </w:rPr>
        <w:t>Portfolio Selection</w:t>
      </w:r>
      <w:r>
        <w:rPr>
          <w:rFonts w:cs="Arial" w:ascii="Arial" w:hAnsi="Arial"/>
          <w:sz w:val="24"/>
          <w:szCs w:val="24"/>
        </w:rPr>
        <w:t>, em 1952, sendo o precursor das teorias das Finanças Modernas, apresentando os conceitos de risco e retorno. Dessa forma, a Teoria de Seleção de Carteiras baseia-se</w:t>
      </w:r>
      <w:r>
        <w:rPr/>
        <w:t xml:space="preserve"> </w:t>
      </w:r>
      <w:r>
        <w:rPr>
          <w:rFonts w:cs="Arial" w:ascii="Arial" w:hAnsi="Arial"/>
          <w:sz w:val="24"/>
          <w:szCs w:val="24"/>
        </w:rPr>
        <w:t xml:space="preserve">na composição ótima de uma carteira de ativos, objetivando a maximização do seu retomo esperado. Por isso que seus pressupostos básicos consistem em compreender que os investidores tem aversão ao risco, buscando a maximização da utilidade esperada dos retornos  esperados, considerando que os retornos dos títulos tenham distribuição normal, num contexto de mercados eficientes. Ou seja, pode-se concluir com Assaf Neto (2003), ao comentar que “a seleção de carteiras procura identificar a melhor combinação possível de ativos, obedecendo as preferências do investidor com relação ao risco e retorno esperados”. </w:t>
      </w:r>
    </w:p>
    <w:p>
      <w:pPr>
        <w:pStyle w:val="Normal"/>
        <w:spacing w:lineRule="auto" w:line="360" w:before="0" w:after="0"/>
        <w:rPr>
          <w:rFonts w:ascii="Arial" w:hAnsi="Arial" w:cs="Arial"/>
          <w:b/>
          <w:b/>
          <w:sz w:val="24"/>
          <w:szCs w:val="24"/>
        </w:rPr>
      </w:pPr>
      <w:r>
        <w:rPr>
          <w:rFonts w:cs="Arial" w:ascii="Arial" w:hAnsi="Arial"/>
          <w:b/>
          <w:sz w:val="24"/>
          <w:szCs w:val="24"/>
        </w:rPr>
      </w:r>
    </w:p>
    <w:p>
      <w:pPr>
        <w:pStyle w:val="Titulo2"/>
        <w:rPr/>
      </w:pPr>
      <w:r>
        <w:rPr/>
        <w:t>2.2 Modelos de Precificação de Ativos e Avaliação de Risco</w:t>
        <w:tab/>
      </w:r>
    </w:p>
    <w:p>
      <w:pPr>
        <w:pStyle w:val="Normal"/>
        <w:spacing w:lineRule="auto" w:line="360" w:before="0" w:after="0"/>
        <w:rPr>
          <w:rFonts w:ascii="Arial" w:hAnsi="Arial" w:cs="Arial"/>
          <w:b/>
          <w:b/>
          <w:sz w:val="24"/>
          <w:szCs w:val="24"/>
        </w:rPr>
      </w:pPr>
      <w:r>
        <w:rPr>
          <w:rFonts w:cs="Arial" w:ascii="Arial" w:hAnsi="Arial"/>
          <w:b/>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ab/>
        <w:t>Segundo Assaf Neto (2003), um dos aspectos importantes do desenvolvimento das teorias de finanças é o modelo de precificação de ativos, divulgado através do Modelo CAPM (</w:t>
      </w:r>
      <w:r>
        <w:rPr>
          <w:rFonts w:cs="Arial" w:ascii="Arial" w:hAnsi="Arial"/>
          <w:i/>
          <w:sz w:val="24"/>
          <w:szCs w:val="24"/>
        </w:rPr>
        <w:t>capital asset pricing model</w:t>
      </w:r>
      <w:r>
        <w:rPr>
          <w:rFonts w:cs="Arial" w:ascii="Arial" w:hAnsi="Arial"/>
          <w:sz w:val="24"/>
          <w:szCs w:val="24"/>
        </w:rPr>
        <w:t xml:space="preserve">). Tal modelo originou-se justamente do modelo proposto por Markowitz na seleção de carteiras. Dessa forma, os pressupostos desse modelo consistem tem, além de um mercado eficiente, obter expectativas homogêneas entre os investidores, acrescido de um ativo livre de risco. Também é importante mencionar que o portfólio de mercado deve ter somente o risco sistemático, isto é, aquele risco do ativo que é inerente ao sistema econômico do período. </w:t>
      </w:r>
    </w:p>
    <w:p>
      <w:pPr>
        <w:pStyle w:val="Normal"/>
        <w:spacing w:lineRule="auto" w:line="360" w:before="0" w:after="0"/>
        <w:jc w:val="both"/>
        <w:rPr>
          <w:rFonts w:ascii="Arial" w:hAnsi="Arial" w:cs="Arial"/>
          <w:sz w:val="24"/>
          <w:szCs w:val="24"/>
        </w:rPr>
      </w:pPr>
      <w:r>
        <w:rPr>
          <w:rFonts w:cs="Arial" w:ascii="Arial" w:hAnsi="Arial"/>
          <w:sz w:val="24"/>
          <w:szCs w:val="24"/>
        </w:rPr>
        <w:tab/>
        <w:t>Ainda conforme Assaf Neto (2003), o modelo CAPM é usado de forma ampla nas operações e análises do mercado de capitais, auxiliando os investidores nas tomadas de decisões, obtendo análise de risco e de taxa de retorno próximas. Um dos coeficiente desse modelo é o coeficiente beta (ß), que indica a sensibilidade do retorno das ações às mudanças de retorno no portfólio de mercado.</w:t>
      </w:r>
    </w:p>
    <w:p>
      <w:pPr>
        <w:pStyle w:val="Normal"/>
        <w:spacing w:lineRule="auto" w:line="360" w:before="0" w:after="0"/>
        <w:jc w:val="both"/>
        <w:rPr>
          <w:rFonts w:ascii="Arial" w:hAnsi="Arial" w:cs="Arial"/>
          <w:color w:val="FF0000"/>
          <w:sz w:val="24"/>
          <w:szCs w:val="24"/>
        </w:rPr>
      </w:pPr>
      <w:r>
        <w:rPr>
          <w:rFonts w:cs="Arial" w:ascii="Arial" w:hAnsi="Arial"/>
          <w:color w:val="FF0000"/>
          <w:sz w:val="24"/>
          <w:szCs w:val="24"/>
        </w:rPr>
      </w:r>
    </w:p>
    <w:p>
      <w:pPr>
        <w:pStyle w:val="Titulo2"/>
        <w:rPr/>
      </w:pPr>
      <w:r>
        <w:rPr/>
        <w:t>2.3 Descrição Geral dos Ativos da Carteira</w:t>
        <w:tab/>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Style w:val="Titulo3Char"/>
        </w:rPr>
      </w:pPr>
      <w:r>
        <w:rPr>
          <w:rStyle w:val="Titulo3Char"/>
        </w:rPr>
        <w:t>2.3.1 PETR4 (Petrobrás S.A.)</w:t>
        <w:tab/>
      </w:r>
    </w:p>
    <w:p>
      <w:pPr>
        <w:pStyle w:val="Normal"/>
        <w:spacing w:lineRule="auto" w:line="360" w:before="0" w:after="0"/>
        <w:rPr>
          <w:rFonts w:ascii="Arial" w:hAnsi="Arial" w:cs="Arial"/>
          <w:i/>
          <w:i/>
          <w:sz w:val="24"/>
          <w:szCs w:val="24"/>
        </w:rPr>
      </w:pPr>
      <w:r>
        <w:rPr>
          <w:rFonts w:cs="Arial" w:ascii="Arial" w:hAnsi="Arial"/>
          <w:i/>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ab/>
        <w:t>O ativo PETR4 indica a ação preferencial da empresa Petróleo Brasileiro S.A., mais conhecida como Petrobras. Hoje em dia, de acordo com a Trading View (2018), é a ação mais negociada em termos de volume, na Bolsa de Valores brasileira. A Petrobras é uma empresa do ramo de petróleo e gás integrada. A companhia atua em diversas partes do mundo, sendo esta majoritariamente estatal, sendo uma empresa pública de economia mista. É considerado um ativo de alta volatilidade e risco no mercado.</w:t>
      </w:r>
    </w:p>
    <w:p>
      <w:pPr>
        <w:pStyle w:val="Normal"/>
        <w:spacing w:lineRule="auto" w:line="360" w:before="0" w:after="0"/>
        <w:jc w:val="both"/>
        <w:rPr>
          <w:rFonts w:ascii="Arial" w:hAnsi="Arial" w:cs="Arial"/>
          <w:i/>
          <w:i/>
          <w:color w:val="FF0000"/>
          <w:sz w:val="24"/>
          <w:szCs w:val="24"/>
        </w:rPr>
      </w:pPr>
      <w:r>
        <w:rPr>
          <w:rFonts w:cs="Arial" w:ascii="Arial" w:hAnsi="Arial"/>
          <w:i/>
          <w:color w:val="FF0000"/>
          <w:sz w:val="24"/>
          <w:szCs w:val="24"/>
        </w:rPr>
        <w:t xml:space="preserve"> </w:t>
      </w:r>
    </w:p>
    <w:p>
      <w:pPr>
        <w:pStyle w:val="Normal"/>
        <w:spacing w:lineRule="auto" w:line="360" w:before="0" w:after="0"/>
        <w:jc w:val="both"/>
        <w:rPr>
          <w:rStyle w:val="Titulo3Char"/>
        </w:rPr>
      </w:pPr>
      <w:r>
        <w:rPr>
          <w:rStyle w:val="Titulo3Char"/>
        </w:rPr>
        <w:t>2.3.2 ITSA4 (Itaú Investimentos S.A.)</w:t>
        <w:tab/>
      </w:r>
    </w:p>
    <w:p>
      <w:pPr>
        <w:pStyle w:val="Normal"/>
        <w:spacing w:lineRule="auto" w:line="360" w:before="0" w:after="0"/>
        <w:jc w:val="both"/>
        <w:rPr>
          <w:rFonts w:ascii="Arial" w:hAnsi="Arial" w:cs="Arial"/>
          <w:i/>
          <w:i/>
          <w:sz w:val="24"/>
          <w:szCs w:val="24"/>
        </w:rPr>
      </w:pPr>
      <w:r>
        <w:rPr>
          <w:rFonts w:cs="Arial" w:ascii="Arial" w:hAnsi="Arial"/>
          <w:i/>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ab/>
        <w:t>O ativo ITSA4 indica a ação preferencial da empresa Itaú Investimentos S.A., atuante no setor bancário. Segundo a Trading View (2018) A empresa trabalha em dois segmentos:  financeiro e industrial. A parte financeira a qual a Itaú Investimentos S.A. atua é com produtos bancários, junto à Itaú Unibanco Holding S.A., e a divisão industrial é responsável pela atuação da empresa Itautec S.A., que fabrica equipamentos e computadores de automação comercial e bancária. É considerado um ativo rentável no longo prazo com bons dividendos.</w:t>
      </w:r>
    </w:p>
    <w:p>
      <w:pPr>
        <w:pStyle w:val="Normal"/>
        <w:spacing w:lineRule="auto" w:line="360" w:before="0" w:after="0"/>
        <w:jc w:val="both"/>
        <w:rPr>
          <w:rFonts w:ascii="Arial" w:hAnsi="Arial" w:cs="Arial"/>
          <w:i/>
          <w:i/>
          <w:sz w:val="24"/>
          <w:szCs w:val="24"/>
        </w:rPr>
      </w:pPr>
      <w:r>
        <w:rPr>
          <w:rFonts w:cs="Arial" w:ascii="Arial" w:hAnsi="Arial"/>
          <w:i/>
          <w:sz w:val="24"/>
          <w:szCs w:val="24"/>
        </w:rPr>
      </w:r>
    </w:p>
    <w:p>
      <w:pPr>
        <w:pStyle w:val="Normal"/>
        <w:spacing w:lineRule="auto" w:line="360" w:before="0" w:after="0"/>
        <w:jc w:val="both"/>
        <w:rPr>
          <w:rStyle w:val="Titulo3Char"/>
        </w:rPr>
      </w:pPr>
      <w:r>
        <w:rPr>
          <w:rStyle w:val="Titulo3Char"/>
        </w:rPr>
        <w:t>2.3.3 B3SA3 (B3 S.A.)</w:t>
        <w:tab/>
      </w:r>
    </w:p>
    <w:p>
      <w:pPr>
        <w:pStyle w:val="Normal"/>
        <w:spacing w:lineRule="auto" w:line="360" w:before="0" w:after="0"/>
        <w:jc w:val="both"/>
        <w:rPr>
          <w:rFonts w:ascii="Arial" w:hAnsi="Arial" w:cs="Arial"/>
          <w:color w:val="FF0000"/>
          <w:sz w:val="24"/>
          <w:szCs w:val="24"/>
        </w:rPr>
      </w:pPr>
      <w:r>
        <w:rPr>
          <w:rFonts w:cs="Arial" w:ascii="Arial" w:hAnsi="Arial"/>
          <w:color w:val="FF0000"/>
          <w:sz w:val="24"/>
          <w:szCs w:val="24"/>
        </w:rPr>
      </w:r>
    </w:p>
    <w:p>
      <w:pPr>
        <w:pStyle w:val="Normal"/>
        <w:spacing w:lineRule="auto" w:line="360" w:before="0" w:after="0"/>
        <w:jc w:val="both"/>
        <w:rPr>
          <w:rFonts w:ascii="Arial" w:hAnsi="Arial" w:cs="Arial"/>
          <w:color w:val="FF0000"/>
          <w:sz w:val="24"/>
          <w:szCs w:val="24"/>
        </w:rPr>
      </w:pPr>
      <w:r>
        <w:rPr>
          <w:rFonts w:cs="Arial" w:ascii="Arial" w:hAnsi="Arial"/>
          <w:sz w:val="24"/>
          <w:szCs w:val="24"/>
        </w:rPr>
        <w:tab/>
        <w:t>O ativo B3SA3 indica a ação ordinária da empresa B3, ou [B]³ (Brasil, Bolsa, Balcão), sendo um ativo da própria Bolsa de Valores oficial do Brasil. Já foi a quinta maior bolsa de mercado de capitais e financeiro do mundo, com um patrimônio em torno de 13 bilhões de dólares. Segundo a Agência Brasil (2018), a empresa surgiu há pouco tempo, devido à fusão da antiga BM&amp;FBOVESPA com a Central de Custódia e de Liquidação Financeira de Títulos (CETIP), devidamente aprovada pelos órgãos reguladores do país, no ano de 2017</w:t>
      </w:r>
      <w:r>
        <w:rPr>
          <w:rStyle w:val="Ncoradanotaderodap"/>
          <w:rStyle w:val="Ncoradanotaderodap"/>
          <w:rFonts w:cs="Arial" w:ascii="Arial" w:hAnsi="Arial"/>
          <w:sz w:val="24"/>
          <w:szCs w:val="24"/>
        </w:rPr>
        <w:footnoteReference w:id="2"/>
      </w:r>
      <w:r>
        <w:rPr>
          <w:rFonts w:cs="Arial" w:ascii="Arial" w:hAnsi="Arial"/>
          <w:sz w:val="24"/>
          <w:szCs w:val="24"/>
        </w:rPr>
        <w:t>. É considerado um ativo relativamente novo, com razoável volatilidade e crescimento no longo prazo.</w:t>
      </w:r>
      <w:r>
        <w:rPr>
          <w:rFonts w:cs="Arial" w:ascii="Arial" w:hAnsi="Arial"/>
          <w:color w:val="FF0000"/>
          <w:sz w:val="24"/>
          <w:szCs w:val="24"/>
        </w:rPr>
        <w:t xml:space="preserve">  </w:t>
      </w:r>
    </w:p>
    <w:p>
      <w:pPr>
        <w:pStyle w:val="Normal"/>
        <w:spacing w:lineRule="auto" w:line="360" w:before="0" w:after="0"/>
        <w:jc w:val="both"/>
        <w:rPr>
          <w:rFonts w:ascii="Arial" w:hAnsi="Arial" w:cs="Arial"/>
          <w:i/>
          <w:i/>
          <w:sz w:val="24"/>
          <w:szCs w:val="24"/>
        </w:rPr>
      </w:pPr>
      <w:r>
        <w:rPr>
          <w:rFonts w:cs="Arial" w:ascii="Arial" w:hAnsi="Arial"/>
          <w:i/>
          <w:sz w:val="24"/>
          <w:szCs w:val="24"/>
        </w:rPr>
      </w:r>
    </w:p>
    <w:p>
      <w:pPr>
        <w:pStyle w:val="Normal"/>
        <w:spacing w:lineRule="auto" w:line="360" w:before="0" w:after="0"/>
        <w:jc w:val="both"/>
        <w:rPr>
          <w:rFonts w:ascii="Arial" w:hAnsi="Arial" w:cs="Arial"/>
          <w:i/>
          <w:i/>
          <w:sz w:val="24"/>
          <w:szCs w:val="24"/>
        </w:rPr>
      </w:pPr>
      <w:r>
        <w:rPr>
          <w:rFonts w:cs="Arial" w:ascii="Arial" w:hAnsi="Arial"/>
          <w:i/>
          <w:sz w:val="24"/>
          <w:szCs w:val="24"/>
        </w:rPr>
        <w:t>2.3.4 SUZB3 (Suzano Papel e Celulose S.A.)</w:t>
      </w:r>
    </w:p>
    <w:p>
      <w:pPr>
        <w:pStyle w:val="Normal"/>
        <w:spacing w:lineRule="auto" w:line="360" w:before="0" w:after="0"/>
        <w:jc w:val="both"/>
        <w:rPr>
          <w:rFonts w:ascii="Arial" w:hAnsi="Arial" w:cs="Arial"/>
          <w:color w:val="FF0000"/>
          <w:sz w:val="24"/>
          <w:szCs w:val="24"/>
        </w:rPr>
      </w:pPr>
      <w:r>
        <w:rPr>
          <w:rFonts w:cs="Arial" w:ascii="Arial" w:hAnsi="Arial"/>
          <w:color w:val="FF0000"/>
          <w:sz w:val="24"/>
          <w:szCs w:val="24"/>
        </w:rPr>
      </w:r>
    </w:p>
    <w:p>
      <w:pPr>
        <w:pStyle w:val="Normal"/>
        <w:spacing w:lineRule="auto" w:line="360" w:before="0" w:after="0"/>
        <w:jc w:val="both"/>
        <w:rPr>
          <w:rFonts w:ascii="Arial" w:hAnsi="Arial" w:cs="Arial"/>
          <w:sz w:val="24"/>
          <w:szCs w:val="24"/>
        </w:rPr>
      </w:pPr>
      <w:r>
        <w:rPr>
          <w:rFonts w:cs="Arial" w:ascii="Arial" w:hAnsi="Arial"/>
          <w:color w:val="FF0000"/>
          <w:sz w:val="24"/>
          <w:szCs w:val="24"/>
        </w:rPr>
        <w:tab/>
      </w:r>
      <w:r>
        <w:rPr>
          <w:rFonts w:cs="Arial" w:ascii="Arial" w:hAnsi="Arial"/>
          <w:sz w:val="24"/>
          <w:szCs w:val="24"/>
        </w:rPr>
        <w:t xml:space="preserve">O ativo SUZB3 indica a ação ordinária da empresa Suzano Papel e Celulose S.A., que atua no ramo de produção de papel e celulose. Segundo a própria Suzano (2018), a empresa é a segunda maior produtora de celulose de eucalipto do mundo e a maior fabricante de papéis da América Latina. A empresa atua no segmento de eucalipto, comercializada em 31 países, e papel, vendido em mais de 50 países. É considerado um ativo com razoável volatilidade e com tendência de crescimento no longo prazo. </w:t>
      </w:r>
    </w:p>
    <w:p>
      <w:pPr>
        <w:pStyle w:val="Normal"/>
        <w:spacing w:lineRule="auto" w:line="360" w:before="0" w:after="0"/>
        <w:jc w:val="both"/>
        <w:rPr>
          <w:rFonts w:ascii="Arial" w:hAnsi="Arial" w:cs="Arial"/>
          <w:b/>
          <w:b/>
          <w:bCs/>
        </w:rPr>
      </w:pPr>
      <w:r>
        <w:rPr>
          <w:rFonts w:cs="Arial" w:ascii="Arial" w:hAnsi="Arial"/>
          <w:b/>
          <w:bCs/>
        </w:rPr>
      </w:r>
    </w:p>
    <w:p>
      <w:pPr>
        <w:pStyle w:val="Normal"/>
        <w:spacing w:lineRule="auto" w:line="360" w:before="0" w:after="0"/>
        <w:jc w:val="both"/>
        <w:rPr>
          <w:rStyle w:val="Titulo3Char"/>
        </w:rPr>
      </w:pPr>
      <w:r>
        <w:rPr>
          <w:rStyle w:val="Titulo3Char"/>
        </w:rPr>
        <w:t>2.3.5 GGBR4 (Gerdau S.A.)</w:t>
      </w:r>
    </w:p>
    <w:p>
      <w:pPr>
        <w:pStyle w:val="Normal"/>
        <w:spacing w:lineRule="auto" w:line="360" w:before="0" w:after="0"/>
        <w:jc w:val="both"/>
        <w:rPr>
          <w:rFonts w:ascii="Arial" w:hAnsi="Arial" w:cs="Arial"/>
          <w:i/>
          <w:i/>
          <w:sz w:val="24"/>
          <w:szCs w:val="24"/>
        </w:rPr>
      </w:pPr>
      <w:r>
        <w:rPr>
          <w:rFonts w:cs="Arial" w:ascii="Arial" w:hAnsi="Arial"/>
          <w:i/>
          <w:sz w:val="24"/>
          <w:szCs w:val="24"/>
        </w:rPr>
      </w:r>
    </w:p>
    <w:p>
      <w:pPr>
        <w:pStyle w:val="Normal"/>
        <w:spacing w:lineRule="auto" w:line="360" w:before="0" w:after="0"/>
        <w:jc w:val="both"/>
        <w:rPr>
          <w:rFonts w:ascii="Arial" w:hAnsi="Arial" w:cs="Arial"/>
          <w:color w:val="000000" w:themeColor="text1"/>
          <w:sz w:val="24"/>
          <w:szCs w:val="24"/>
        </w:rPr>
      </w:pPr>
      <w:r>
        <w:rPr>
          <w:rFonts w:cs="Arial" w:ascii="Arial" w:hAnsi="Arial"/>
          <w:i/>
          <w:sz w:val="24"/>
          <w:szCs w:val="24"/>
        </w:rPr>
        <w:tab/>
      </w:r>
      <w:r>
        <w:rPr>
          <w:rFonts w:cs="Arial" w:ascii="Arial" w:hAnsi="Arial"/>
          <w:color w:val="000000" w:themeColor="text1"/>
          <w:sz w:val="24"/>
          <w:szCs w:val="24"/>
        </w:rPr>
        <w:t>O ativo GGBR4 indica a ação preferencial a empresa Gerdau S.A., sendo essa uma grande empresa no ramo da siderurgia, possuindo operações em 11 países, numa capacidade instalada de mais de 25 milhões de toneladas de aço bruto por ano</w:t>
      </w:r>
      <w:r>
        <w:rPr>
          <w:rStyle w:val="Ncoradanotaderodap"/>
          <w:rStyle w:val="Ncoradanotaderodap"/>
          <w:rFonts w:cs="Arial" w:ascii="Arial" w:hAnsi="Arial"/>
          <w:color w:val="000000" w:themeColor="text1"/>
          <w:sz w:val="24"/>
          <w:szCs w:val="24"/>
        </w:rPr>
        <w:footnoteReference w:id="3"/>
      </w:r>
      <w:r>
        <w:rPr>
          <w:rFonts w:cs="Arial" w:ascii="Arial" w:hAnsi="Arial"/>
          <w:color w:val="000000" w:themeColor="text1"/>
          <w:sz w:val="24"/>
          <w:szCs w:val="24"/>
        </w:rPr>
        <w:t xml:space="preserve">. O ativo GGBR4 é considerado um arquivo e alta volatilidade e risco no mercado.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color w:val="FF0000"/>
          <w:sz w:val="24"/>
          <w:szCs w:val="24"/>
        </w:rPr>
      </w:pPr>
      <w:r>
        <w:rPr>
          <w:rFonts w:cs="Arial" w:ascii="Arial" w:hAnsi="Arial"/>
          <w:color w:val="FF0000"/>
          <w:sz w:val="24"/>
          <w:szCs w:val="24"/>
        </w:rPr>
      </w:r>
    </w:p>
    <w:p>
      <w:pPr>
        <w:pStyle w:val="Normal"/>
        <w:spacing w:lineRule="auto" w:line="360" w:before="0" w:after="0"/>
        <w:jc w:val="both"/>
        <w:rPr>
          <w:rFonts w:ascii="Arial" w:hAnsi="Arial" w:cs="Arial"/>
          <w:b/>
          <w:b/>
          <w:color w:val="FF0000"/>
        </w:rPr>
      </w:pPr>
      <w:r>
        <w:rPr>
          <w:rFonts w:cs="Arial" w:ascii="Arial" w:hAnsi="Arial"/>
          <w:b/>
          <w:color w:val="FF0000"/>
        </w:rPr>
      </w:r>
    </w:p>
    <w:p>
      <w:pPr>
        <w:pStyle w:val="Normal"/>
        <w:spacing w:lineRule="auto" w:line="360" w:before="0" w:after="0"/>
        <w:rPr>
          <w:rFonts w:ascii="Arial" w:hAnsi="Arial" w:cs="Arial"/>
          <w:b/>
          <w:b/>
        </w:rPr>
      </w:pPr>
      <w:r>
        <w:rPr>
          <w:rFonts w:cs="Arial" w:ascii="Arial" w:hAnsi="Arial"/>
          <w:b/>
        </w:rPr>
      </w:r>
      <w:r>
        <w:br w:type="page"/>
      </w:r>
    </w:p>
    <w:p>
      <w:pPr>
        <w:pStyle w:val="Normal"/>
        <w:spacing w:lineRule="auto" w:line="360" w:before="0" w:after="0"/>
        <w:jc w:val="both"/>
        <w:rPr>
          <w:rFonts w:ascii="Arial" w:hAnsi="Arial" w:eastAsia="" w:cs="" w:cstheme="majorBidi" w:eastAsiaTheme="majorEastAsia"/>
          <w:b/>
          <w:b/>
          <w:sz w:val="24"/>
          <w:szCs w:val="32"/>
        </w:rPr>
      </w:pPr>
      <w:r>
        <w:rPr>
          <w:rFonts w:eastAsia="" w:cs="" w:ascii="Arial" w:hAnsi="Arial" w:cstheme="majorBidi" w:eastAsiaTheme="majorEastAsia"/>
          <w:b/>
          <w:sz w:val="24"/>
          <w:szCs w:val="32"/>
        </w:rPr>
        <w:t>3 METODOLOGIA E RESULTADOS</w:t>
      </w:r>
    </w:p>
    <w:p>
      <w:pPr>
        <w:pStyle w:val="Normal"/>
        <w:spacing w:lineRule="auto" w:line="360" w:before="0" w:after="0"/>
        <w:jc w:val="both"/>
        <w:rPr>
          <w:rFonts w:ascii="Arial" w:hAnsi="Arial" w:eastAsia="" w:cs="" w:cstheme="majorBidi" w:eastAsiaTheme="majorEastAsia"/>
          <w:b/>
          <w:b/>
          <w:sz w:val="24"/>
          <w:szCs w:val="32"/>
        </w:rPr>
      </w:pPr>
      <w:r>
        <w:rPr>
          <w:rFonts w:eastAsia="" w:cs="" w:ascii="Arial" w:hAnsi="Arial" w:cstheme="majorBidi" w:eastAsiaTheme="majorEastAsia"/>
          <w:b/>
          <w:sz w:val="24"/>
          <w:szCs w:val="32"/>
        </w:rPr>
        <w:tab/>
      </w:r>
    </w:p>
    <w:p>
      <w:pPr>
        <w:pStyle w:val="Normal"/>
        <w:spacing w:lineRule="auto" w:line="360" w:before="0" w:after="0"/>
        <w:jc w:val="both"/>
        <w:rPr>
          <w:rFonts w:ascii="Arial" w:hAnsi="Arial" w:eastAsia="" w:cs="" w:cstheme="majorBidi" w:eastAsiaTheme="majorEastAsia"/>
          <w:b/>
          <w:b/>
          <w:sz w:val="24"/>
          <w:szCs w:val="32"/>
        </w:rPr>
      </w:pPr>
      <w:r>
        <w:rPr>
          <w:rFonts w:eastAsia="" w:cs="" w:ascii="Arial" w:hAnsi="Arial" w:cstheme="majorBidi" w:eastAsiaTheme="majorEastAsia"/>
          <w:b/>
          <w:sz w:val="24"/>
          <w:szCs w:val="32"/>
        </w:rPr>
        <w:t>3.1 Metodologia de Pesquisa</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Esta pesquisa segue um processo aplicado, ou seja, objetiva gerar conhecimentos para aplicação prática dirigidos à solução de um problema específico, conforme já apresentado anteriormente. A pesquisa consiste em uma seleção de distintos ativos financeiros, dos quais serão verificados os desempenhos destas ações considerando o fechamento das cotações entre o primeiro dia útil de maio de 2018 e o último dia útil de outubro de 2018 coletados na plataforma Investing (2018). É importante salientar que os ativos não serão remanejados durante o período de observação, justamente a fim de que o desempenho da carteira formada seja avaliado num longo período de tempo. É considerado como fator que compõe a rentabilidade de um ativo somente ganho de capital.</w:t>
      </w:r>
    </w:p>
    <w:p>
      <w:pPr>
        <w:pStyle w:val="Normal"/>
        <w:spacing w:lineRule="auto" w:line="360" w:before="0" w:after="0"/>
        <w:jc w:val="both"/>
        <w:rPr>
          <w:rFonts w:ascii="Arial" w:hAnsi="Arial" w:cs="Arial"/>
          <w:sz w:val="24"/>
          <w:szCs w:val="24"/>
        </w:rPr>
      </w:pPr>
      <w:r>
        <w:rPr>
          <w:rFonts w:cs="Arial" w:ascii="Arial" w:hAnsi="Arial"/>
          <w:sz w:val="24"/>
          <w:szCs w:val="24"/>
        </w:rPr>
        <w:tab/>
        <w:t xml:space="preserve">Para compor a carteira teórica de ativos serão selecionadas 5 (cinco) ações na data de início das observações, sendo tais ativos de empresas de diferentes segmentos econômicos para que a diversificação seja mais efetiva. A intenção é, de forma pulverizada, escolher ativos de diferentes setores: A Petrobrás (PETR4), com a extração de petróleo; a </w:t>
      </w:r>
      <w:r>
        <w:rPr>
          <w:rFonts w:cs="Arial" w:ascii="Arial" w:hAnsi="Arial"/>
          <w:i/>
          <w:sz w:val="24"/>
          <w:szCs w:val="24"/>
        </w:rPr>
        <w:t>holding</w:t>
      </w:r>
      <w:r>
        <w:rPr>
          <w:rFonts w:cs="Arial" w:ascii="Arial" w:hAnsi="Arial"/>
          <w:sz w:val="24"/>
          <w:szCs w:val="24"/>
        </w:rPr>
        <w:t xml:space="preserve"> Itaúsa (ITSA4), com participação relevante no setor financeiro (bancário) e industrial; A B3 (B3SA3), que atua na proporcionando infraestrutura para o mercado financeiro; Suzano (SUZB3), que atua na extração de celulose; Gerdau (GGBR3), que atua no setor metalúrgico.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As informações descritivas das ações e suas respectivas cotações serão retiradas da </w:t>
      </w:r>
      <w:r>
        <w:rPr>
          <w:rFonts w:cs="Arial" w:ascii="Arial" w:hAnsi="Arial"/>
          <w:i/>
          <w:sz w:val="24"/>
          <w:szCs w:val="24"/>
        </w:rPr>
        <w:t xml:space="preserve">Investing. </w:t>
      </w:r>
      <w:r>
        <w:rPr>
          <w:rFonts w:cs="Arial" w:ascii="Arial" w:hAnsi="Arial"/>
          <w:sz w:val="24"/>
          <w:szCs w:val="24"/>
        </w:rPr>
        <w:t xml:space="preserve">A rentabilidade acumulada para cada ativo foi encontrada conforme o cálculo (1): </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8"/>
          <w:szCs w:val="28"/>
        </w:rPr>
      </w:pPr>
      <w:r>
        <w:rPr/>
      </w:r>
      <m:oMath xmlns:m="http://schemas.openxmlformats.org/officeDocument/2006/math">
        <m:sSub>
          <m:e>
            <m:r>
              <w:rPr>
                <w:rFonts w:ascii="Cambria Math" w:hAnsi="Cambria Math"/>
              </w:rPr>
              <m:t xml:space="preserve">R</m:t>
            </m:r>
          </m:e>
          <m:sub>
            <m:r>
              <w:rPr>
                <w:rFonts w:ascii="Cambria Math" w:hAnsi="Cambria Math"/>
              </w:rPr>
              <m:t xml:space="preserve">di</m:t>
            </m:r>
          </m:sub>
        </m:sSub>
        <m:r>
          <w:rPr>
            <w:rFonts w:ascii="Cambria Math" w:hAnsi="Cambria Math"/>
          </w:rPr>
          <m:t xml:space="preserve">=</m:t>
        </m:r>
        <m:f>
          <m:num>
            <m:sSub>
              <m:e>
                <m:sSub>
                  <m:e>
                    <m:sSub>
                      <m:e>
                        <m:r>
                          <w:rPr>
                            <w:rFonts w:ascii="Cambria Math" w:hAnsi="Cambria Math"/>
                          </w:rPr>
                          <m:t xml:space="preserve">P</m:t>
                        </m:r>
                      </m:e>
                      <m:sub>
                        <m:r>
                          <w:rPr>
                            <w:rFonts w:ascii="Cambria Math" w:hAnsi="Cambria Math"/>
                          </w:rPr>
                          <m:t xml:space="preserve">fechamento</m:t>
                        </m:r>
                        <m:d>
                          <m:dPr>
                            <m:begChr m:val="("/>
                            <m:endChr m:val=")"/>
                          </m:dPr>
                          <m:e>
                            <m:r>
                              <w:rPr>
                                <w:rFonts w:ascii="Cambria Math" w:hAnsi="Cambria Math"/>
                              </w:rPr>
                              <m:t xml:space="preserve">it</m:t>
                            </m:r>
                          </m:e>
                        </m:d>
                      </m:sub>
                    </m:sSub>
                  </m:e>
                  <m:sub/>
                </m:sSub>
                <m:r>
                  <w:rPr>
                    <w:rFonts w:ascii="Cambria Math" w:hAnsi="Cambria Math"/>
                  </w:rPr>
                  <m:t xml:space="preserve">−</m:t>
                </m:r>
                <m:sSub>
                  <m:e>
                    <m:r>
                      <w:rPr>
                        <w:rFonts w:ascii="Cambria Math" w:hAnsi="Cambria Math"/>
                      </w:rPr>
                      <m:t xml:space="preserve">P</m:t>
                    </m:r>
                  </m:e>
                  <m:sub>
                    <m:r>
                      <w:rPr>
                        <w:rFonts w:ascii="Cambria Math" w:hAnsi="Cambria Math"/>
                      </w:rPr>
                      <m:t xml:space="preserve">abertura</m:t>
                    </m:r>
                    <m:d>
                      <m:dPr>
                        <m:begChr m:val="("/>
                        <m:endChr m:val=")"/>
                      </m:dPr>
                      <m:e>
                        <m:r>
                          <w:rPr>
                            <w:rFonts w:ascii="Cambria Math" w:hAnsi="Cambria Math"/>
                          </w:rPr>
                          <m:t xml:space="preserve">it</m:t>
                        </m:r>
                      </m:e>
                    </m:d>
                  </m:sub>
                </m:sSub>
              </m:e>
              <m:sub/>
            </m:sSub>
          </m:num>
          <m:den>
            <m:sSub>
              <m:e>
                <m:r>
                  <w:rPr>
                    <w:rFonts w:ascii="Cambria Math" w:hAnsi="Cambria Math"/>
                  </w:rPr>
                  <m:t xml:space="preserve">P</m:t>
                </m:r>
              </m:e>
              <m:sub>
                <m:r>
                  <w:rPr>
                    <w:rFonts w:ascii="Cambria Math" w:hAnsi="Cambria Math"/>
                  </w:rPr>
                  <m:t xml:space="preserve">abertura</m:t>
                </m:r>
                <m:d>
                  <m:dPr>
                    <m:begChr m:val="("/>
                    <m:endChr m:val=")"/>
                  </m:dPr>
                  <m:e>
                    <m:r>
                      <w:rPr>
                        <w:rFonts w:ascii="Cambria Math" w:hAnsi="Cambria Math"/>
                      </w:rPr>
                      <m:t xml:space="preserve">it</m:t>
                    </m:r>
                  </m:e>
                </m:d>
              </m:sub>
            </m:sSub>
          </m:den>
        </m:f>
        <m:r>
          <w:rPr>
            <w:rFonts w:ascii="Cambria Math" w:hAnsi="Cambria Math"/>
          </w:rPr>
          <m:t xml:space="preserve">x</m:t>
        </m:r>
        <m:r>
          <w:rPr>
            <w:rFonts w:ascii="Cambria Math" w:hAnsi="Cambria Math"/>
          </w:rPr>
          <m:t xml:space="preserve">100</m:t>
        </m:r>
      </m:oMath>
      <w:r>
        <w:rPr>
          <w:rFonts w:eastAsia="Times New Roman" w:cs="Arial" w:ascii="Arial" w:hAnsi="Arial"/>
          <w:sz w:val="28"/>
          <w:szCs w:val="28"/>
        </w:rPr>
        <w:tab/>
        <w:tab/>
        <w:tab/>
        <w:tab/>
        <w:tab/>
        <w:tab/>
        <w:t xml:space="preserve"> </w:t>
      </w:r>
      <w:r>
        <w:rPr>
          <w:rFonts w:eastAsia="Times New Roman" w:cs="Arial" w:ascii="Arial" w:hAnsi="Arial"/>
          <w:sz w:val="24"/>
          <w:szCs w:val="24"/>
        </w:rPr>
        <w:t>(1)</w:t>
      </w:r>
      <w:r>
        <w:rPr>
          <w:rFonts w:eastAsia="Times New Roman" w:cs="Arial" w:ascii="Arial" w:hAnsi="Arial"/>
          <w:sz w:val="28"/>
          <w:szCs w:val="28"/>
        </w:rPr>
        <w:tab/>
        <w:tab/>
        <w:tab/>
        <w:tab/>
        <w:tab/>
        <w:tab/>
      </w:r>
    </w:p>
    <w:p>
      <w:pPr>
        <w:pStyle w:val="Normal"/>
        <w:spacing w:lineRule="auto" w:line="360" w:before="0" w:after="0"/>
        <w:ind w:firstLine="708"/>
        <w:jc w:val="both"/>
        <w:rPr>
          <w:rFonts w:ascii="Arial" w:hAnsi="Arial" w:eastAsia="Times New Roman" w:cs="Arial"/>
          <w:sz w:val="24"/>
          <w:szCs w:val="24"/>
        </w:rPr>
      </w:pPr>
      <w:r>
        <w:rPr>
          <w:rFonts w:cs="Arial" w:ascii="Arial" w:hAnsi="Arial"/>
          <w:sz w:val="24"/>
          <w:szCs w:val="24"/>
        </w:rPr>
        <w:t xml:space="preserve">Na qual, </w:t>
      </w:r>
      <w:r>
        <w:rPr/>
      </w:r>
      <m:oMath xmlns:m="http://schemas.openxmlformats.org/officeDocument/2006/math">
        <m:sSub>
          <m:e>
            <m:r>
              <w:rPr>
                <w:rFonts w:ascii="Cambria Math" w:hAnsi="Cambria Math"/>
              </w:rPr>
              <m:t xml:space="preserve">R</m:t>
            </m:r>
          </m:e>
          <m:sub>
            <m:r>
              <w:rPr>
                <w:rFonts w:ascii="Cambria Math" w:hAnsi="Cambria Math"/>
              </w:rPr>
              <m:t xml:space="preserve">di</m:t>
            </m:r>
          </m:sub>
        </m:sSub>
      </m:oMath>
      <w:r>
        <w:rPr>
          <w:rFonts w:cs="Arial" w:ascii="Arial" w:hAnsi="Arial"/>
          <w:sz w:val="24"/>
          <w:szCs w:val="24"/>
        </w:rPr>
        <w:t xml:space="preserve">representa a rentabilidade mensal da ação </w:t>
      </w:r>
      <w:r>
        <w:rPr>
          <w:rFonts w:cs="Arial" w:ascii="Arial" w:hAnsi="Arial"/>
          <w:i/>
          <w:iCs/>
          <w:sz w:val="24"/>
          <w:szCs w:val="24"/>
        </w:rPr>
        <w:t>i</w:t>
      </w:r>
      <w:r>
        <w:rPr>
          <w:rFonts w:cs="Arial" w:ascii="Arial" w:hAnsi="Arial"/>
          <w:sz w:val="24"/>
          <w:szCs w:val="24"/>
        </w:rPr>
        <w:t xml:space="preserve">; e </w:t>
      </w:r>
      <w:r>
        <w:rPr>
          <w:rFonts w:cs="Arial" w:ascii="Arial" w:hAnsi="Arial"/>
          <w:i/>
          <w:iCs/>
          <w:sz w:val="24"/>
          <w:szCs w:val="24"/>
        </w:rPr>
        <w:t xml:space="preserve">P </w:t>
      </w:r>
      <w:r>
        <w:rPr>
          <w:rFonts w:cs="Arial" w:ascii="Arial" w:hAnsi="Arial"/>
          <w:sz w:val="24"/>
          <w:szCs w:val="24"/>
        </w:rPr>
        <w:t xml:space="preserve">corresponde ao preço da ação </w:t>
      </w:r>
      <w:r>
        <w:rPr>
          <w:rFonts w:cs="Arial" w:ascii="Arial" w:hAnsi="Arial"/>
          <w:i/>
          <w:iCs/>
          <w:sz w:val="24"/>
          <w:szCs w:val="24"/>
        </w:rPr>
        <w:t xml:space="preserve">i </w:t>
      </w:r>
      <w:r>
        <w:rPr>
          <w:rFonts w:cs="Arial" w:ascii="Arial" w:hAnsi="Arial"/>
          <w:sz w:val="24"/>
          <w:szCs w:val="24"/>
        </w:rPr>
        <w:t xml:space="preserve">no tempo </w:t>
      </w:r>
      <w:r>
        <w:rPr>
          <w:rFonts w:cs="Arial" w:ascii="Arial" w:hAnsi="Arial"/>
          <w:i/>
          <w:iCs/>
          <w:sz w:val="24"/>
          <w:szCs w:val="24"/>
        </w:rPr>
        <w:t>t</w:t>
      </w:r>
      <w:r>
        <w:rPr>
          <w:rFonts w:cs="Arial" w:ascii="Arial" w:hAnsi="Arial"/>
          <w:sz w:val="24"/>
          <w:szCs w:val="24"/>
        </w:rPr>
        <w:t xml:space="preserve">. </w:t>
      </w:r>
    </w:p>
    <w:p>
      <w:pPr>
        <w:pStyle w:val="Normal"/>
        <w:spacing w:lineRule="auto" w:line="360" w:before="0" w:after="0"/>
        <w:ind w:firstLine="708"/>
        <w:jc w:val="both"/>
        <w:rPr>
          <w:rFonts w:ascii="Arial" w:hAnsi="Arial" w:eastAsia="Times New Roman" w:cs="Arial"/>
          <w:sz w:val="24"/>
          <w:szCs w:val="24"/>
        </w:rPr>
      </w:pPr>
      <w:r>
        <w:rPr>
          <w:rFonts w:eastAsia="Times New Roman" w:cs="Arial" w:ascii="Arial" w:hAnsi="Arial"/>
          <w:sz w:val="24"/>
          <w:szCs w:val="24"/>
        </w:rPr>
        <w:t>A partir de então, faz-se necessário calcular a Matriz Variância-Covariância, constituída a partir do cálculo da variância (</w:t>
      </w:r>
      <w:r>
        <w:rPr/>
      </w:r>
      <m:oMath xmlns:m="http://schemas.openxmlformats.org/officeDocument/2006/math">
        <m:sSubSup>
          <m:e>
            <m:r>
              <w:rPr>
                <w:rFonts w:ascii="Cambria Math" w:hAnsi="Cambria Math"/>
              </w:rPr>
              <m:t xml:space="preserve">σ</m:t>
            </m:r>
          </m:e>
          <m:sub>
            <m:r>
              <w:rPr>
                <w:rFonts w:ascii="Cambria Math" w:hAnsi="Cambria Math"/>
              </w:rPr>
              <m:t xml:space="preserve">j</m:t>
            </m:r>
          </m:sub>
          <m:sup>
            <m:r>
              <w:rPr>
                <w:rFonts w:ascii="Cambria Math" w:hAnsi="Cambria Math"/>
              </w:rPr>
              <m:t xml:space="preserve">2</m:t>
            </m:r>
          </m:sup>
        </m:sSubSup>
      </m:oMath>
      <w:r>
        <w:rPr>
          <w:rFonts w:eastAsia="Times New Roman" w:cs="Arial" w:ascii="Arial" w:hAnsi="Arial"/>
          <w:sz w:val="24"/>
          <w:szCs w:val="24"/>
        </w:rPr>
        <w:t>) de cada um dos ativos e da covariância (</w:t>
      </w:r>
      <w:r>
        <w:rPr/>
      </w:r>
      <m:oMath xmlns:m="http://schemas.openxmlformats.org/officeDocument/2006/math">
        <m:sSub>
          <m:e>
            <m:r>
              <w:rPr>
                <w:rFonts w:ascii="Cambria Math" w:hAnsi="Cambria Math"/>
              </w:rPr>
              <m:t xml:space="preserve">Cov</m:t>
            </m:r>
          </m:e>
          <m:sub>
            <m:r>
              <w:rPr>
                <w:rFonts w:ascii="Cambria Math" w:hAnsi="Cambria Math"/>
              </w:rPr>
              <m:t xml:space="preserve">jk</m:t>
            </m:r>
          </m:sub>
        </m:sSub>
      </m:oMath>
      <w:r>
        <w:rPr>
          <w:rFonts w:eastAsia="Times New Roman" w:cs="Arial" w:ascii="Arial" w:hAnsi="Arial"/>
          <w:sz w:val="24"/>
          <w:szCs w:val="24"/>
        </w:rPr>
        <w:t xml:space="preserve">) entre os pares de ativos. Tais cálculos serão realizados através de um suplemento do Solver denominado “análise de dados”, onde calcula-se a covariância entre todos os ativos e, naturalmente, a variância entre pares de mesmo ativos também. As equações (2) e (3) são utilizadas para calcular tais variáveis, sendo </w:t>
      </w:r>
      <w:r>
        <w:rPr>
          <w:rFonts w:eastAsia="Times New Roman" w:cs="Arial" w:ascii="Arial" w:hAnsi="Arial"/>
          <w:i/>
          <w:sz w:val="24"/>
          <w:szCs w:val="24"/>
        </w:rPr>
        <w:t>n</w:t>
      </w:r>
      <w:r>
        <w:rPr>
          <w:rFonts w:eastAsia="Times New Roman" w:cs="Arial" w:ascii="Arial" w:hAnsi="Arial"/>
          <w:sz w:val="24"/>
          <w:szCs w:val="24"/>
        </w:rPr>
        <w:t xml:space="preserve"> o numero de observações; </w:t>
      </w:r>
      <w:r>
        <w:rPr/>
      </w:r>
      <m:oMath xmlns:m="http://schemas.openxmlformats.org/officeDocument/2006/math">
        <m:sSub>
          <m:e>
            <m:r>
              <w:rPr>
                <w:rFonts w:ascii="Cambria Math" w:hAnsi="Cambria Math"/>
              </w:rPr>
              <m:t xml:space="preserve">X</m:t>
            </m:r>
          </m:e>
          <m:sub>
            <m:r>
              <w:rPr>
                <w:rFonts w:ascii="Cambria Math" w:hAnsi="Cambria Math"/>
              </w:rPr>
              <m:t xml:space="preserve">ij</m:t>
            </m:r>
          </m:sub>
        </m:sSub>
      </m:oMath>
      <w:r>
        <w:rPr>
          <w:rFonts w:eastAsia="Times New Roman" w:cs="Arial" w:ascii="Arial" w:hAnsi="Arial"/>
          <w:sz w:val="24"/>
          <w:szCs w:val="24"/>
        </w:rPr>
        <w:t xml:space="preserve"> a cotação do ativo </w:t>
      </w:r>
      <w:r>
        <w:rPr>
          <w:rFonts w:eastAsia="Times New Roman" w:cs="Arial" w:ascii="Arial" w:hAnsi="Arial"/>
          <w:i/>
          <w:sz w:val="24"/>
          <w:szCs w:val="24"/>
        </w:rPr>
        <w:t>j</w:t>
      </w:r>
      <w:r>
        <w:rPr>
          <w:rFonts w:eastAsia="Times New Roman" w:cs="Arial" w:ascii="Arial" w:hAnsi="Arial"/>
          <w:sz w:val="24"/>
          <w:szCs w:val="24"/>
        </w:rPr>
        <w:t xml:space="preserve"> no período </w:t>
      </w:r>
      <w:r>
        <w:rPr>
          <w:rFonts w:eastAsia="Times New Roman" w:cs="Arial" w:ascii="Arial" w:hAnsi="Arial"/>
          <w:i/>
          <w:sz w:val="24"/>
          <w:szCs w:val="24"/>
        </w:rPr>
        <w:t>i</w:t>
      </w:r>
      <w:r>
        <w:rPr>
          <w:rFonts w:eastAsia="Times New Roman" w:cs="Arial" w:ascii="Arial" w:hAnsi="Arial"/>
          <w:sz w:val="24"/>
          <w:szCs w:val="24"/>
        </w:rPr>
        <w:t xml:space="preserve">; </w:t>
      </w:r>
      <w:r>
        <w:rPr/>
      </w:r>
      <m:oMath xmlns:m="http://schemas.openxmlformats.org/officeDocument/2006/math">
        <m:sSub>
          <m:e>
            <m:acc>
              <m:accPr>
                <m:chr m:val="´"/>
              </m:accPr>
              <m:e>
                <m:r>
                  <w:rPr>
                    <w:rFonts w:ascii="Cambria Math" w:hAnsi="Cambria Math"/>
                  </w:rPr>
                  <m:t xml:space="preserve">X</m:t>
                </m:r>
              </m:e>
            </m:acc>
          </m:e>
          <m:sub>
            <m:r>
              <w:rPr>
                <w:rFonts w:ascii="Cambria Math" w:hAnsi="Cambria Math"/>
              </w:rPr>
              <m:t xml:space="preserve">j</m:t>
            </m:r>
          </m:sub>
        </m:sSub>
      </m:oMath>
      <w:r>
        <w:rPr>
          <w:rFonts w:eastAsia="Times New Roman" w:cs="Arial" w:ascii="Arial" w:hAnsi="Arial"/>
          <w:sz w:val="24"/>
          <w:szCs w:val="24"/>
        </w:rPr>
        <w:t xml:space="preserve"> a cotação média do ativo </w:t>
      </w:r>
      <w:r>
        <w:rPr>
          <w:rFonts w:eastAsia="Times New Roman" w:cs="Arial" w:ascii="Arial" w:hAnsi="Arial"/>
          <w:i/>
          <w:sz w:val="24"/>
          <w:szCs w:val="24"/>
        </w:rPr>
        <w:t>j</w:t>
      </w:r>
      <w:r>
        <w:rPr>
          <w:rFonts w:eastAsia="Times New Roman" w:cs="Arial" w:ascii="Arial" w:hAnsi="Arial"/>
          <w:sz w:val="24"/>
          <w:szCs w:val="24"/>
        </w:rPr>
        <w:t xml:space="preserve">; </w:t>
      </w:r>
      <w:r>
        <w:rPr/>
      </w:r>
      <m:oMath xmlns:m="http://schemas.openxmlformats.org/officeDocument/2006/math">
        <m:sSub>
          <m:e>
            <m:r>
              <w:rPr>
                <w:rFonts w:ascii="Cambria Math" w:hAnsi="Cambria Math"/>
              </w:rPr>
              <m:t xml:space="preserve">X</m:t>
            </m:r>
          </m:e>
          <m:sub>
            <m:r>
              <w:rPr>
                <w:rFonts w:ascii="Cambria Math" w:hAnsi="Cambria Math"/>
              </w:rPr>
              <m:t xml:space="preserve">ik</m:t>
            </m:r>
          </m:sub>
        </m:sSub>
      </m:oMath>
      <w:r>
        <w:rPr>
          <w:rFonts w:eastAsia="Times New Roman" w:cs="Arial" w:ascii="Arial" w:hAnsi="Arial"/>
          <w:sz w:val="24"/>
          <w:szCs w:val="24"/>
        </w:rPr>
        <w:t xml:space="preserve"> a cotação do ativo </w:t>
      </w:r>
      <w:r>
        <w:rPr>
          <w:rFonts w:eastAsia="Times New Roman" w:cs="Arial" w:ascii="Arial" w:hAnsi="Arial"/>
          <w:i/>
          <w:sz w:val="24"/>
          <w:szCs w:val="24"/>
        </w:rPr>
        <w:t>k</w:t>
      </w:r>
      <w:r>
        <w:rPr>
          <w:rFonts w:eastAsia="Times New Roman" w:cs="Arial" w:ascii="Arial" w:hAnsi="Arial"/>
          <w:sz w:val="24"/>
          <w:szCs w:val="24"/>
        </w:rPr>
        <w:t xml:space="preserve"> no período </w:t>
      </w:r>
      <w:r>
        <w:rPr>
          <w:rFonts w:eastAsia="Times New Roman" w:cs="Arial" w:ascii="Arial" w:hAnsi="Arial"/>
          <w:i/>
          <w:sz w:val="24"/>
          <w:szCs w:val="24"/>
        </w:rPr>
        <w:t>i</w:t>
      </w:r>
      <w:r>
        <w:rPr>
          <w:rFonts w:eastAsia="Times New Roman" w:cs="Arial" w:ascii="Arial" w:hAnsi="Arial"/>
          <w:sz w:val="24"/>
          <w:szCs w:val="24"/>
        </w:rPr>
        <w:t xml:space="preserve">; </w:t>
      </w:r>
      <w:r>
        <w:rPr/>
      </w:r>
      <m:oMath xmlns:m="http://schemas.openxmlformats.org/officeDocument/2006/math">
        <m:sSub>
          <m:e>
            <m:acc>
              <m:accPr>
                <m:chr m:val="´"/>
              </m:accPr>
              <m:e>
                <m:r>
                  <w:rPr>
                    <w:rFonts w:ascii="Cambria Math" w:hAnsi="Cambria Math"/>
                  </w:rPr>
                  <m:t xml:space="preserve">X</m:t>
                </m:r>
              </m:e>
            </m:acc>
          </m:e>
          <m:sub>
            <m:r>
              <w:rPr>
                <w:rFonts w:ascii="Cambria Math" w:hAnsi="Cambria Math"/>
              </w:rPr>
              <m:t xml:space="preserve">k</m:t>
            </m:r>
          </m:sub>
        </m:sSub>
      </m:oMath>
      <w:r>
        <w:rPr>
          <w:rFonts w:eastAsia="Times New Roman" w:cs="Arial" w:ascii="Arial" w:hAnsi="Arial"/>
          <w:sz w:val="24"/>
          <w:szCs w:val="24"/>
        </w:rPr>
        <w:t xml:space="preserve"> a cotação média do ativo </w:t>
      </w:r>
      <w:r>
        <w:rPr>
          <w:rFonts w:eastAsia="Times New Roman" w:cs="Arial" w:ascii="Arial" w:hAnsi="Arial"/>
          <w:i/>
          <w:sz w:val="24"/>
          <w:szCs w:val="24"/>
        </w:rPr>
        <w:t>k</w:t>
      </w:r>
      <w:r>
        <w:rPr>
          <w:rFonts w:eastAsia="Times New Roman" w:cs="Arial" w:ascii="Arial" w:hAnsi="Arial"/>
          <w:sz w:val="24"/>
          <w:szCs w:val="24"/>
        </w:rPr>
        <w:t>.</w:t>
      </w:r>
    </w:p>
    <w:p>
      <w:pPr>
        <w:pStyle w:val="Normal"/>
        <w:spacing w:lineRule="auto" w:line="360" w:before="0" w:after="0"/>
        <w:ind w:firstLine="708"/>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360" w:before="0" w:after="0"/>
        <w:jc w:val="both"/>
        <w:rPr>
          <w:rFonts w:ascii="Arial" w:hAnsi="Arial" w:eastAsia="Times New Roman" w:cs="Arial"/>
          <w:sz w:val="24"/>
          <w:szCs w:val="24"/>
        </w:rPr>
      </w:pPr>
      <w:r>
        <w:rPr/>
      </w:r>
      <m:oMath xmlns:m="http://schemas.openxmlformats.org/officeDocument/2006/math">
        <m:sSubSup>
          <m:e>
            <m:r>
              <w:rPr>
                <w:rFonts w:ascii="Cambria Math" w:hAnsi="Cambria Math"/>
              </w:rPr>
              <m:t xml:space="preserve">σ</m:t>
            </m:r>
          </m:e>
          <m:sub>
            <m:r>
              <w:rPr>
                <w:rFonts w:ascii="Cambria Math" w:hAnsi="Cambria Math"/>
              </w:rPr>
              <m:t xml:space="preserve">j</m:t>
            </m:r>
          </m:sub>
          <m:sup>
            <m:r>
              <w:rPr>
                <w:rFonts w:ascii="Cambria Math" w:hAnsi="Cambria Math"/>
              </w:rPr>
              <m:t xml:space="preserve">2</m:t>
            </m:r>
          </m:sup>
        </m:sSubSup>
      </m:oMath>
      <w:r>
        <w:rPr>
          <w:rFonts w:eastAsia="Times New Roman" w:cs="Arial" w:ascii="Arial" w:hAnsi="Arial"/>
          <w:sz w:val="28"/>
          <w:szCs w:val="28"/>
        </w:rPr>
        <w:t xml:space="preserve">= </w:t>
      </w:r>
      <w:r>
        <w:rPr/>
      </w:r>
      <m:oMath xmlns:m="http://schemas.openxmlformats.org/officeDocument/2006/math">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p>
                  <m:e>
                    <m:d>
                      <m:dPr>
                        <m:begChr m:val="("/>
                        <m:endChr m:val=")"/>
                      </m:dPr>
                      <m:e>
                        <m:sSub>
                          <m:e>
                            <m:r>
                              <w:rPr>
                                <w:rFonts w:ascii="Cambria Math" w:hAnsi="Cambria Math"/>
                              </w:rPr>
                              <m:t xml:space="preserve">X</m:t>
                            </m:r>
                          </m:e>
                          <m:sub>
                            <m:r>
                              <w:rPr>
                                <w:rFonts w:ascii="Cambria Math" w:hAnsi="Cambria Math"/>
                              </w:rPr>
                              <m:t xml:space="preserve">ij</m:t>
                            </m:r>
                          </m:sub>
                        </m:sSub>
                        <m:r>
                          <w:rPr>
                            <w:rFonts w:ascii="Cambria Math" w:hAnsi="Cambria Math"/>
                          </w:rPr>
                          <m:t xml:space="preserve">−</m:t>
                        </m:r>
                        <m:sSub>
                          <m:e>
                            <m:acc>
                              <m:accPr>
                                <m:chr m:val="´"/>
                              </m:accPr>
                              <m:e>
                                <m:r>
                                  <w:rPr>
                                    <w:rFonts w:ascii="Cambria Math" w:hAnsi="Cambria Math"/>
                                  </w:rPr>
                                  <m:t xml:space="preserve">X</m:t>
                                </m:r>
                              </m:e>
                            </m:acc>
                          </m:e>
                          <m:sub>
                            <m:r>
                              <w:rPr>
                                <w:rFonts w:ascii="Cambria Math" w:hAnsi="Cambria Math"/>
                              </w:rPr>
                              <m:t xml:space="preserve">j</m:t>
                            </m:r>
                          </m:sub>
                        </m:sSub>
                      </m:e>
                    </m:d>
                  </m:e>
                  <m:sup>
                    <m:r>
                      <w:rPr>
                        <w:rFonts w:ascii="Cambria Math" w:hAnsi="Cambria Math"/>
                      </w:rPr>
                      <m:t xml:space="preserve">2</m:t>
                    </m:r>
                  </m:sup>
                </m:sSup>
              </m:e>
            </m:nary>
          </m:num>
          <m:den>
            <m:r>
              <w:rPr>
                <w:rFonts w:ascii="Cambria Math" w:hAnsi="Cambria Math"/>
              </w:rPr>
              <m:t xml:space="preserve">n</m:t>
            </m:r>
          </m:den>
        </m:f>
      </m:oMath>
      <w:r>
        <w:rPr>
          <w:rFonts w:eastAsia="Times New Roman" w:cs="Arial" w:ascii="Arial" w:hAnsi="Arial"/>
          <w:sz w:val="28"/>
          <w:szCs w:val="28"/>
        </w:rPr>
        <w:tab/>
      </w:r>
      <w:r>
        <w:rPr>
          <w:rFonts w:eastAsia="Times New Roman" w:cs="Arial" w:ascii="Arial" w:hAnsi="Arial"/>
          <w:sz w:val="24"/>
          <w:szCs w:val="24"/>
        </w:rPr>
        <w:tab/>
        <w:tab/>
        <w:tab/>
        <w:tab/>
        <w:tab/>
        <w:tab/>
        <w:tab/>
        <w:tab/>
        <w:tab/>
        <w:t>(12)</w:t>
      </w:r>
    </w:p>
    <w:p>
      <w:pPr>
        <w:pStyle w:val="Normal"/>
        <w:spacing w:lineRule="auto" w:line="360" w:before="0" w:after="0"/>
        <w:jc w:val="both"/>
        <w:rPr>
          <w:rFonts w:ascii="Arial" w:hAnsi="Arial" w:eastAsia="Times New Roman" w:cs="Arial"/>
          <w:sz w:val="28"/>
          <w:szCs w:val="28"/>
        </w:rPr>
      </w:pPr>
      <w:r>
        <w:rPr>
          <w:rFonts w:eastAsia="Times New Roman" w:cs="Arial" w:ascii="Arial" w:hAnsi="Arial"/>
          <w:sz w:val="28"/>
          <w:szCs w:val="28"/>
        </w:rPr>
      </w:r>
    </w:p>
    <w:p>
      <w:pPr>
        <w:pStyle w:val="Normal"/>
        <w:spacing w:lineRule="auto" w:line="360" w:before="0" w:after="0"/>
        <w:jc w:val="both"/>
        <w:rPr>
          <w:rFonts w:ascii="Arial" w:hAnsi="Arial" w:eastAsia="Times New Roman" w:cs="Arial"/>
          <w:sz w:val="24"/>
          <w:szCs w:val="24"/>
        </w:rPr>
      </w:pPr>
      <w:r>
        <w:rPr/>
      </w:r>
      <m:oMath xmlns:m="http://schemas.openxmlformats.org/officeDocument/2006/math">
        <m:sSub>
          <m:e>
            <m:r>
              <w:rPr>
                <w:rFonts w:ascii="Cambria Math" w:hAnsi="Cambria Math"/>
              </w:rPr>
              <m:t xml:space="preserve">Cov</m:t>
            </m:r>
          </m:e>
          <m:sub>
            <m:r>
              <w:rPr>
                <w:rFonts w:ascii="Cambria Math" w:hAnsi="Cambria Math"/>
              </w:rPr>
              <m:t xml:space="preserve">jk</m:t>
            </m:r>
          </m:sub>
        </m:sSub>
      </m:oMath>
      <w:r>
        <w:rPr>
          <w:rFonts w:eastAsia="Times New Roman" w:cs="Arial" w:ascii="Arial" w:hAnsi="Arial"/>
          <w:sz w:val="28"/>
          <w:szCs w:val="28"/>
        </w:rPr>
        <w:t xml:space="preserve">= </w:t>
      </w:r>
      <w:r>
        <w:rPr/>
      </w:r>
      <m:oMath xmlns:m="http://schemas.openxmlformats.org/officeDocument/2006/math">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p>
                  <m:e>
                    <m:d>
                      <m:dPr>
                        <m:begChr m:val="("/>
                        <m:endChr m:val=")"/>
                      </m:dPr>
                      <m:e>
                        <m:sSub>
                          <m:e>
                            <m:r>
                              <w:rPr>
                                <w:rFonts w:ascii="Cambria Math" w:hAnsi="Cambria Math"/>
                              </w:rPr>
                              <m:t xml:space="preserve">X</m:t>
                            </m:r>
                          </m:e>
                          <m:sub>
                            <m:r>
                              <w:rPr>
                                <w:rFonts w:ascii="Cambria Math" w:hAnsi="Cambria Math"/>
                              </w:rPr>
                              <m:t xml:space="preserve">ij</m:t>
                            </m:r>
                          </m:sub>
                        </m:sSub>
                        <m:r>
                          <w:rPr>
                            <w:rFonts w:ascii="Cambria Math" w:hAnsi="Cambria Math"/>
                          </w:rPr>
                          <m:t xml:space="preserve">−</m:t>
                        </m:r>
                        <m:sSub>
                          <m:e>
                            <m:acc>
                              <m:accPr>
                                <m:chr m:val="´"/>
                              </m:accPr>
                              <m:e>
                                <m:r>
                                  <w:rPr>
                                    <w:rFonts w:ascii="Cambria Math" w:hAnsi="Cambria Math"/>
                                  </w:rPr>
                                  <m:t xml:space="preserve">X</m:t>
                                </m:r>
                              </m:e>
                            </m:acc>
                          </m:e>
                          <m:sub>
                            <m:r>
                              <w:rPr>
                                <w:rFonts w:ascii="Cambria Math" w:hAnsi="Cambria Math"/>
                              </w:rPr>
                              <m:t xml:space="preserve">j</m:t>
                            </m:r>
                          </m:sub>
                        </m:sSub>
                      </m:e>
                    </m:d>
                    <m:d>
                      <m:dPr>
                        <m:begChr m:val="("/>
                        <m:endChr m:val=")"/>
                      </m:dPr>
                      <m:e>
                        <m:sSub>
                          <m:e>
                            <m:r>
                              <w:rPr>
                                <w:rFonts w:ascii="Cambria Math" w:hAnsi="Cambria Math"/>
                              </w:rPr>
                              <m:t xml:space="preserve">X</m:t>
                            </m:r>
                          </m:e>
                          <m:sub>
                            <m:r>
                              <w:rPr>
                                <w:rFonts w:ascii="Cambria Math" w:hAnsi="Cambria Math"/>
                              </w:rPr>
                              <m:t xml:space="preserve">ik</m:t>
                            </m:r>
                          </m:sub>
                        </m:sSub>
                        <m:r>
                          <w:rPr>
                            <w:rFonts w:ascii="Cambria Math" w:hAnsi="Cambria Math"/>
                          </w:rPr>
                          <m:t xml:space="preserve">−</m:t>
                        </m:r>
                        <m:sSub>
                          <m:e>
                            <m:acc>
                              <m:accPr>
                                <m:chr m:val="´"/>
                              </m:accPr>
                              <m:e>
                                <m:r>
                                  <w:rPr>
                                    <w:rFonts w:ascii="Cambria Math" w:hAnsi="Cambria Math"/>
                                  </w:rPr>
                                  <m:t xml:space="preserve">X</m:t>
                                </m:r>
                              </m:e>
                            </m:acc>
                          </m:e>
                          <m:sub>
                            <m:r>
                              <w:rPr>
                                <w:rFonts w:ascii="Cambria Math" w:hAnsi="Cambria Math"/>
                              </w:rPr>
                              <m:t xml:space="preserve">k</m:t>
                            </m:r>
                          </m:sub>
                        </m:sSub>
                      </m:e>
                    </m:d>
                  </m:e>
                  <m:sup/>
                </m:sSup>
              </m:e>
            </m:nary>
          </m:num>
          <m:den>
            <m:r>
              <w:rPr>
                <w:rFonts w:ascii="Cambria Math" w:hAnsi="Cambria Math"/>
              </w:rPr>
              <m:t xml:space="preserve">n</m:t>
            </m:r>
            <m:r>
              <w:rPr>
                <w:rFonts w:ascii="Cambria Math" w:hAnsi="Cambria Math"/>
              </w:rPr>
              <m:t xml:space="preserve">−</m:t>
            </m:r>
            <m:r>
              <w:rPr>
                <w:rFonts w:ascii="Cambria Math" w:hAnsi="Cambria Math"/>
              </w:rPr>
              <m:t xml:space="preserve">1</m:t>
            </m:r>
          </m:den>
        </m:f>
      </m:oMath>
      <w:r>
        <w:rPr>
          <w:rFonts w:eastAsia="Times New Roman" w:cs="Arial" w:ascii="Arial" w:hAnsi="Arial"/>
          <w:sz w:val="28"/>
          <w:szCs w:val="28"/>
        </w:rPr>
        <w:tab/>
        <w:tab/>
      </w:r>
      <w:r>
        <w:rPr>
          <w:rFonts w:eastAsia="Times New Roman" w:cs="Arial" w:ascii="Arial" w:hAnsi="Arial"/>
          <w:sz w:val="24"/>
          <w:szCs w:val="24"/>
        </w:rPr>
        <w:tab/>
        <w:t xml:space="preserve">                    </w:t>
        <w:tab/>
        <w:tab/>
        <w:t xml:space="preserve">        </w:t>
        <w:tab/>
        <w:tab/>
        <w:t>(13)</w:t>
      </w:r>
    </w:p>
    <w:p>
      <w:pPr>
        <w:pStyle w:val="Normal"/>
        <w:spacing w:lineRule="auto" w:line="36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360" w:before="0" w:after="0"/>
        <w:ind w:firstLine="708"/>
        <w:jc w:val="both"/>
        <w:rPr>
          <w:rFonts w:ascii="Arial" w:hAnsi="Arial" w:eastAsia="Times New Roman" w:cs="Arial"/>
          <w:sz w:val="24"/>
          <w:szCs w:val="24"/>
        </w:rPr>
      </w:pPr>
      <w:r>
        <w:rPr>
          <w:rFonts w:eastAsia="Times New Roman" w:cs="Arial" w:ascii="Arial" w:hAnsi="Arial"/>
          <w:sz w:val="24"/>
          <w:szCs w:val="24"/>
        </w:rPr>
        <w:t xml:space="preserve">Com isso, é possível se constituir a Matriz Variância-Covariância, na qual a coluna vertical iniciada em </w:t>
      </w:r>
      <w:r>
        <w:rPr/>
      </w:r>
      <m:oMath xmlns:m="http://schemas.openxmlformats.org/officeDocument/2006/math">
        <m:sSubSup>
          <m:e>
            <m:r>
              <w:rPr>
                <w:rFonts w:ascii="Cambria Math" w:hAnsi="Cambria Math"/>
              </w:rPr>
              <m:t xml:space="preserve">σ</m:t>
            </m:r>
          </m:e>
          <m:sub>
            <m:r>
              <w:rPr>
                <w:rFonts w:ascii="Cambria Math" w:hAnsi="Cambria Math"/>
              </w:rPr>
              <m:t xml:space="preserve">1</m:t>
            </m:r>
          </m:sub>
          <m:sup>
            <m:r>
              <w:rPr>
                <w:rFonts w:ascii="Cambria Math" w:hAnsi="Cambria Math"/>
              </w:rPr>
              <m:t xml:space="preserve">2</m:t>
            </m:r>
          </m:sup>
        </m:sSubSup>
      </m:oMath>
      <w:r>
        <w:rPr>
          <w:rFonts w:eastAsia="Times New Roman" w:cs="Arial" w:ascii="Arial" w:hAnsi="Arial"/>
          <w:sz w:val="24"/>
          <w:szCs w:val="24"/>
        </w:rPr>
        <w:t xml:space="preserve"> apresenta as variâncias de cada ativo e as demais variáveis representam as covariâncias entre os diferentes ativos que compõem a carteira, conforme demonstrado a seguir:</w:t>
      </w:r>
    </w:p>
    <w:p>
      <w:pPr>
        <w:pStyle w:val="Normal"/>
        <w:spacing w:lineRule="auto" w:line="36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360" w:before="0" w:after="0"/>
        <w:jc w:val="both"/>
        <w:rPr>
          <w:rFonts w:ascii="Arial" w:hAnsi="Arial" w:eastAsia="Times New Roman" w:cs="Arial"/>
          <w:sz w:val="24"/>
          <w:szCs w:val="24"/>
        </w:rPr>
      </w:pPr>
      <w:r>
        <w:rPr>
          <w:rFonts w:eastAsia="Times New Roman" w:cs="Arial" w:ascii="Arial" w:hAnsi="Arial"/>
          <w:sz w:val="24"/>
          <w:szCs w:val="24"/>
        </w:rPr>
        <w:t xml:space="preserve">S = </w:t>
      </w:r>
      <w:r>
        <w:rPr/>
      </w:r>
      <m:oMath xmlns:m="http://schemas.openxmlformats.org/officeDocument/2006/math">
        <m:d>
          <m:dPr>
            <m:begChr m:val="["/>
            <m:endChr m:val="]"/>
          </m:dPr>
          <m:e>
            <m:m>
              <m:mr>
                <m:e>
                  <m:sSubSup>
                    <m:e>
                      <m:r>
                        <w:rPr>
                          <w:rFonts w:ascii="Cambria Math" w:hAnsi="Cambria Math"/>
                        </w:rPr>
                        <m:t xml:space="preserve">σ</m:t>
                      </m:r>
                    </m:e>
                    <m:sub>
                      <m:r>
                        <w:rPr>
                          <w:rFonts w:ascii="Cambria Math" w:hAnsi="Cambria Math"/>
                        </w:rPr>
                        <m:t xml:space="preserve">1</m:t>
                      </m:r>
                    </m:sub>
                    <m:sup>
                      <m:r>
                        <w:rPr>
                          <w:rFonts w:ascii="Cambria Math" w:hAnsi="Cambria Math"/>
                        </w:rPr>
                        <m:t xml:space="preserve">2</m:t>
                      </m:r>
                    </m:sup>
                  </m:sSubSup>
                </m:e>
                <m:e>
                  <m:r>
                    <w:rPr>
                      <w:rFonts w:ascii="Cambria Math" w:hAnsi="Cambria Math"/>
                    </w:rPr>
                    <m:t xml:space="preserve">⋯</m:t>
                  </m:r>
                </m:e>
                <m:e>
                  <m:sSub>
                    <m:e>
                      <m:r>
                        <w:rPr>
                          <w:rFonts w:ascii="Cambria Math" w:hAnsi="Cambria Math"/>
                        </w:rPr>
                        <m:t xml:space="preserve">Cov</m:t>
                      </m:r>
                    </m:e>
                    <m:sub>
                      <m:r>
                        <w:rPr>
                          <w:rFonts w:ascii="Cambria Math" w:hAnsi="Cambria Math"/>
                        </w:rPr>
                        <m:t xml:space="preserve">1</m:t>
                      </m:r>
                      <m:r>
                        <w:rPr>
                          <w:rFonts w:ascii="Cambria Math" w:hAnsi="Cambria Math"/>
                        </w:rPr>
                        <m:t xml:space="preserve">n</m:t>
                      </m:r>
                    </m:sub>
                  </m:sSub>
                </m:e>
              </m:mr>
              <m:mr>
                <m:e>
                  <m:r>
                    <w:rPr>
                      <w:rFonts w:ascii="Cambria Math" w:hAnsi="Cambria Math"/>
                    </w:rPr>
                    <m:t xml:space="preserve">⋮</m:t>
                  </m:r>
                </m:e>
                <m:e>
                  <m:r>
                    <w:rPr>
                      <w:rFonts w:ascii="Cambria Math" w:hAnsi="Cambria Math"/>
                    </w:rPr>
                    <m:t xml:space="preserve">⋱</m:t>
                  </m:r>
                </m:e>
                <m:e>
                  <m:r>
                    <w:rPr>
                      <w:rFonts w:ascii="Cambria Math" w:hAnsi="Cambria Math"/>
                    </w:rPr>
                    <m:t xml:space="preserve">⋮</m:t>
                  </m:r>
                </m:e>
              </m:mr>
              <m:mr>
                <m:e>
                  <m:sSub>
                    <m:e>
                      <m:r>
                        <w:rPr>
                          <w:rFonts w:ascii="Cambria Math" w:hAnsi="Cambria Math"/>
                        </w:rPr>
                        <m:t xml:space="preserve">Cov</m:t>
                      </m:r>
                    </m:e>
                    <m:sub>
                      <m:r>
                        <w:rPr>
                          <w:rFonts w:ascii="Cambria Math" w:hAnsi="Cambria Math"/>
                        </w:rPr>
                        <m:t xml:space="preserve">n</m:t>
                      </m:r>
                      <m:r>
                        <w:rPr>
                          <w:rFonts w:ascii="Cambria Math" w:hAnsi="Cambria Math"/>
                        </w:rPr>
                        <m:t xml:space="preserve">1</m:t>
                      </m:r>
                    </m:sub>
                  </m:sSub>
                </m:e>
                <m:e>
                  <m:r>
                    <w:rPr>
                      <w:rFonts w:ascii="Cambria Math" w:hAnsi="Cambria Math"/>
                    </w:rPr>
                    <m:t xml:space="preserve">⋯</m:t>
                  </m:r>
                </m:e>
                <m:e>
                  <m:sSubSup>
                    <m:e>
                      <m:r>
                        <w:rPr>
                          <w:rFonts w:ascii="Cambria Math" w:hAnsi="Cambria Math"/>
                        </w:rPr>
                        <m:t xml:space="preserve">σ</m:t>
                      </m:r>
                    </m:e>
                    <m:sub>
                      <m:r>
                        <w:rPr>
                          <w:rFonts w:ascii="Cambria Math" w:hAnsi="Cambria Math"/>
                        </w:rPr>
                        <m:t xml:space="preserve">n</m:t>
                      </m:r>
                    </m:sub>
                    <m:sup>
                      <m:r>
                        <w:rPr>
                          <w:rFonts w:ascii="Cambria Math" w:hAnsi="Cambria Math"/>
                        </w:rPr>
                        <m:t xml:space="preserve">2</m:t>
                      </m:r>
                    </m:sup>
                  </m:sSubSup>
                </m:e>
              </m:mr>
            </m:m>
          </m:e>
        </m:d>
      </m:oMath>
      <w:r>
        <w:rPr>
          <w:rFonts w:eastAsia="Times New Roman" w:cs="Arial" w:ascii="Arial" w:hAnsi="Arial"/>
          <w:sz w:val="24"/>
          <w:szCs w:val="24"/>
        </w:rPr>
        <w:tab/>
        <w:tab/>
        <w:tab/>
        <w:tab/>
        <w:tab/>
        <w:tab/>
        <w:tab/>
        <w:tab/>
        <w:tab/>
        <w:t>(14)</w:t>
      </w:r>
    </w:p>
    <w:p>
      <w:pPr>
        <w:pStyle w:val="Normal"/>
        <w:widowControl w:val="false"/>
        <w:spacing w:lineRule="auto" w:line="360" w:before="0" w:after="0"/>
        <w:ind w:firstLine="709"/>
        <w:jc w:val="both"/>
        <w:rPr>
          <w:rFonts w:ascii="Arial" w:hAnsi="Arial" w:eastAsia="Times New Roman" w:cs="Arial"/>
          <w:sz w:val="24"/>
          <w:szCs w:val="24"/>
        </w:rPr>
      </w:pPr>
      <w:r>
        <w:rPr>
          <w:rFonts w:eastAsia="Times New Roman" w:cs="Arial" w:ascii="Arial" w:hAnsi="Arial"/>
          <w:sz w:val="24"/>
          <w:szCs w:val="24"/>
        </w:rPr>
      </w:r>
    </w:p>
    <w:p>
      <w:pPr>
        <w:pStyle w:val="Normal"/>
        <w:widowControl w:val="false"/>
        <w:spacing w:lineRule="auto" w:line="360" w:before="0" w:after="0"/>
        <w:ind w:firstLine="709"/>
        <w:jc w:val="both"/>
        <w:rPr>
          <w:rFonts w:ascii="Arial" w:hAnsi="Arial" w:eastAsia="Times New Roman" w:cs="Arial"/>
          <w:sz w:val="24"/>
          <w:szCs w:val="24"/>
        </w:rPr>
      </w:pPr>
      <w:r>
        <w:rPr>
          <w:rFonts w:eastAsia="Times New Roman" w:cs="Arial" w:ascii="Arial" w:hAnsi="Arial"/>
          <w:sz w:val="24"/>
          <w:szCs w:val="24"/>
        </w:rPr>
        <w:t xml:space="preserve">Assim, a pesquisa buscará encontrar os parâmetros referentes à carteira como um todo e não mais aos ativos individuais. O primeiro passo para se encontrar a rentabilidade e a variância do portfólio é definir a representatividade de cada ativo dentro da carteira, ou seja, o seu peso. No primeiro momento, a representatividade será igual para todos os ativos, ou seja, 20% para cada um. Por meio dos retornos médios diários e com o peso que cada ativo representará na carteira, é possível estimar a rentabilidade do portfólio. Para se encontrar a variância do portfólio, multiplica-se a matriz de pesos pela matriz variância-covariância e, posteriormente, a matriz resultante pela transporta da matriz de pesos. O quadrado desse resultado é a variância. </w:t>
      </w:r>
    </w:p>
    <w:p>
      <w:pPr>
        <w:pStyle w:val="Normal"/>
        <w:spacing w:lineRule="auto" w:line="360" w:before="0" w:after="0"/>
        <w:ind w:firstLine="709"/>
        <w:jc w:val="both"/>
        <w:rPr>
          <w:rFonts w:ascii="Arial" w:hAnsi="Arial" w:eastAsia="Times New Roman" w:cs="Arial"/>
          <w:sz w:val="24"/>
          <w:szCs w:val="24"/>
        </w:rPr>
      </w:pPr>
      <w:r>
        <w:rPr>
          <w:rFonts w:eastAsia="Times New Roman" w:cs="Arial" w:ascii="Arial" w:hAnsi="Arial"/>
          <w:sz w:val="24"/>
          <w:szCs w:val="24"/>
        </w:rPr>
        <w:t xml:space="preserve">Por meio da ferramenta SOLVER disponível no software Excel, é possível determinar novos pesos para cada ação na composição de uma carteira considerando que a variância seja a menor possível. Os pesos são, portanto, a variável. Acrescenta-se as seguintes restrições: Os pesos de cada ativo devem ser maiores ou iguais a zero; A soma de todos os pesos deve ser igual a 1. Desta forma, esta pesquisa testará a criação de uma carteira combinando diferentes representatividades de cada ativo nas carteiras a fim de construir o portfólio de mínima variância. </w:t>
      </w:r>
    </w:p>
    <w:p>
      <w:pPr>
        <w:pStyle w:val="Normal"/>
        <w:widowControl w:val="false"/>
        <w:spacing w:lineRule="auto" w:line="360" w:before="0" w:after="0"/>
        <w:ind w:firstLine="709"/>
        <w:jc w:val="both"/>
        <w:rPr>
          <w:rFonts w:ascii="Arial" w:hAnsi="Arial" w:cs="Arial"/>
          <w:sz w:val="24"/>
          <w:szCs w:val="24"/>
        </w:rPr>
      </w:pPr>
      <w:r>
        <w:rPr>
          <w:rFonts w:eastAsia="Times New Roman" w:cs="Arial" w:ascii="Arial" w:hAnsi="Arial"/>
          <w:sz w:val="24"/>
          <w:szCs w:val="24"/>
        </w:rPr>
        <w:t xml:space="preserve">Posteriormente o Beta dos ativos foi calculado através da fórmula de inclinação do Excel. O Beta é o </w:t>
      </w:r>
      <w:r>
        <w:rPr>
          <w:rFonts w:cs="Arial" w:ascii="Arial" w:hAnsi="Arial"/>
          <w:color w:val="000000"/>
          <w:sz w:val="24"/>
          <w:szCs w:val="24"/>
        </w:rPr>
        <w:t xml:space="preserve">coeficiente que mede a sensibilidade dos ativos individuais em relação ao Ibovespa no período analisado. Com base nessa informação, foi possível utilizar o índice Ibovespa como instrumento de proteção para a carteira a fim de realizar o hedge que reduzisse seu risco. </w:t>
      </w:r>
      <w:r>
        <w:rPr>
          <w:rFonts w:cs="Arial" w:ascii="Arial" w:hAnsi="Arial"/>
          <w:sz w:val="24"/>
          <w:szCs w:val="24"/>
        </w:rPr>
        <w:t>Se o Beta é igual 1,0 há correlação perfeita entre os retornos do título em questão e os retornos da carteira de mercado. Se o Beta é maior que 1,0, o ativo oscila mais do que proporcionalmente à carteira de mercado, assim como se o Beta é menor que 1,0, o ativo oscila menos do que proporcionalmente à carteira de mercado (ALCÂNTARA, 1980, p. 38).</w:t>
      </w:r>
    </w:p>
    <w:p>
      <w:pPr>
        <w:pStyle w:val="Ttulo1"/>
        <w:rPr/>
      </w:pPr>
      <w:r>
        <w:rPr/>
        <w:br/>
        <w:t>3.2 Análise de Resultados</w:t>
      </w:r>
    </w:p>
    <w:p>
      <w:pPr>
        <w:pStyle w:val="Normal"/>
        <w:spacing w:lineRule="auto" w:line="360" w:before="0" w:after="0"/>
        <w:ind w:firstLine="709"/>
        <w:jc w:val="both"/>
        <w:rPr>
          <w:rFonts w:ascii="Arial" w:hAnsi="Arial" w:cs="Arial"/>
          <w:sz w:val="24"/>
          <w:szCs w:val="24"/>
        </w:rPr>
      </w:pPr>
      <w:r>
        <w:rPr>
          <w:rFonts w:cs="Arial" w:ascii="Arial" w:hAnsi="Arial"/>
          <w:sz w:val="24"/>
          <w:szCs w:val="24"/>
        </w:rPr>
        <w:br/>
        <w:tab/>
        <w:t>A partir dos dados coletados é possível realizar a montagem de carteiras com diferentes pesos para cada um dos ativos. Considera-se que, a princípio, foi realizada a chamada diversificação ingênua, ou seja, a carteira foi montada sem se levar em consideração critérios de risco e retorno, sendo que os recursos foram igualmente alocados, ou seja, serão alocados o mesmo peso (</w:t>
      </w:r>
      <w:r>
        <w:rPr>
          <w:rFonts w:cs="Arial" w:ascii="Arial" w:hAnsi="Arial"/>
          <w:i/>
          <w:sz w:val="24"/>
          <w:szCs w:val="24"/>
        </w:rPr>
        <w:t>w</w:t>
      </w:r>
      <w:r>
        <w:rPr>
          <w:rFonts w:cs="Arial" w:ascii="Arial" w:hAnsi="Arial"/>
          <w:sz w:val="24"/>
          <w:szCs w:val="24"/>
        </w:rPr>
        <w:t>) de 20% do capital do investidor em cada um dos 5 ativos que compõem a carteira. Desta forma, o retorno diário esperado da carteira E[C] é igual a -0,0346% e retorno acumulado no período é -2,04%, a variância da carteira é 0,0003 e o desvio padrão é de 1,73% dentro de tais parâmetros. A contribuição para o retorno esperado mensal da carteira é de -0,0175% de PETR4; -0,0432% de ITSA4; -0,0236% de B3SA3, 0,0564% de SUZB3 e -0,0067% de GGBR4. Portanto, foi utilizada a Teoria da Fronteira Eficiente para encontrar a Carteira de Mínima Variância Global para reduzir o risco não-sistemático, conforme proposto por Harry Markowitz.</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Através do Solver, ferramenta suplementar do Excel, foi possível encontrar a chamada Carteira de Mínima Variância a fim de calcular a melhor combinação de alocação para os </w:t>
      </w:r>
      <w:r>
        <w:rPr>
          <w:rFonts w:cs="Arial" w:ascii="Arial" w:hAnsi="Arial"/>
          <w:color w:val="000000"/>
          <w:sz w:val="24"/>
          <w:szCs w:val="24"/>
        </w:rPr>
        <w:t>ativos selecionados para que a carteira apresente o menor risco possível</w:t>
      </w:r>
      <w:r>
        <w:rPr>
          <w:rFonts w:cs="Arial" w:ascii="Arial" w:hAnsi="Arial"/>
          <w:sz w:val="24"/>
          <w:szCs w:val="24"/>
        </w:rPr>
        <w:t xml:space="preserve">. Ao acessar o Solver, foi selecionada a informação que precisava ser alterada, ou seja, a variância da carteira. Os </w:t>
      </w:r>
      <w:r>
        <w:rPr>
          <w:rFonts w:cs="Arial" w:ascii="Arial" w:hAnsi="Arial"/>
          <w:color w:val="000000"/>
          <w:sz w:val="24"/>
          <w:szCs w:val="24"/>
        </w:rPr>
        <w:t>dados a serem alterados são</w:t>
      </w:r>
      <w:r>
        <w:rPr>
          <w:rFonts w:cs="Arial" w:ascii="Arial" w:hAnsi="Arial"/>
          <w:sz w:val="24"/>
          <w:szCs w:val="24"/>
        </w:rPr>
        <w:t xml:space="preserve"> os pesos (</w:t>
      </w:r>
      <w:r>
        <w:rPr>
          <w:rFonts w:cs="Arial" w:ascii="Arial" w:hAnsi="Arial"/>
          <w:i/>
          <w:sz w:val="24"/>
          <w:szCs w:val="24"/>
        </w:rPr>
        <w:t>w</w:t>
      </w:r>
      <w:r>
        <w:rPr>
          <w:rFonts w:cs="Arial" w:ascii="Arial" w:hAnsi="Arial"/>
          <w:sz w:val="24"/>
          <w:szCs w:val="24"/>
        </w:rPr>
        <w:t>) que representam a proporção da carteira alocada em cada um dos ativos. Além disso, foram adicionadas algumas restrições:</w:t>
      </w:r>
    </w:p>
    <w:p>
      <w:pPr>
        <w:pStyle w:val="Normal"/>
        <w:spacing w:lineRule="auto" w:line="360" w:before="0" w:after="0"/>
        <w:ind w:firstLine="709"/>
        <w:jc w:val="both"/>
        <w:rPr>
          <w:rFonts w:ascii="Arial" w:hAnsi="Arial" w:cs="Arial"/>
          <w:sz w:val="24"/>
          <w:szCs w:val="24"/>
        </w:rPr>
      </w:pPr>
      <w:r>
        <w:rPr>
          <w:rFonts w:cs="Arial" w:ascii="Arial" w:hAnsi="Arial"/>
          <w:sz w:val="24"/>
          <w:szCs w:val="24"/>
        </w:rPr>
      </w:r>
    </w:p>
    <w:p>
      <w:pPr>
        <w:pStyle w:val="ListParagraph"/>
        <w:numPr>
          <w:ilvl w:val="0"/>
          <w:numId w:val="1"/>
        </w:numPr>
        <w:spacing w:lineRule="auto" w:line="360" w:before="0" w:after="0"/>
        <w:ind w:left="993" w:hanging="284"/>
        <w:contextualSpacing/>
        <w:jc w:val="both"/>
        <w:rPr>
          <w:rFonts w:ascii="Arial" w:hAnsi="Arial" w:cs="Arial"/>
          <w:sz w:val="24"/>
          <w:szCs w:val="24"/>
        </w:rPr>
      </w:pPr>
      <w:r>
        <w:rPr>
          <w:rFonts w:cs="Arial" w:ascii="Arial" w:hAnsi="Arial"/>
          <w:sz w:val="24"/>
          <w:szCs w:val="24"/>
        </w:rPr>
        <w:t>Os pesos precisavam ser valores iguais ou maiores que 0 (zero), afinal não foi cogitada a realização de venda a descoberto dos ativos da carteira, apenas compras;</w:t>
      </w:r>
    </w:p>
    <w:p>
      <w:pPr>
        <w:pStyle w:val="ListParagraph"/>
        <w:numPr>
          <w:ilvl w:val="0"/>
          <w:numId w:val="1"/>
        </w:numPr>
        <w:spacing w:lineRule="auto" w:line="360" w:before="0" w:after="0"/>
        <w:ind w:left="993" w:hanging="284"/>
        <w:contextualSpacing/>
        <w:jc w:val="both"/>
        <w:rPr>
          <w:rFonts w:ascii="Arial" w:hAnsi="Arial" w:cs="Arial"/>
          <w:sz w:val="24"/>
          <w:szCs w:val="24"/>
        </w:rPr>
      </w:pPr>
      <w:r>
        <w:rPr>
          <w:rFonts w:cs="Arial" w:ascii="Arial" w:hAnsi="Arial"/>
          <w:sz w:val="24"/>
          <w:szCs w:val="24"/>
        </w:rPr>
        <w:t>A soma dos pesos individuais de cada ativo é 1, ou seja, 100%. Não haverá alavancagem da carteira em questão;</w:t>
      </w:r>
    </w:p>
    <w:p>
      <w:pPr>
        <w:pStyle w:val="Normal"/>
        <w:spacing w:lineRule="auto" w:line="360"/>
        <w:ind w:firstLine="709"/>
        <w:jc w:val="both"/>
        <w:rPr>
          <w:rFonts w:ascii="Arial" w:hAnsi="Arial" w:cs="Arial"/>
          <w:sz w:val="24"/>
          <w:szCs w:val="24"/>
        </w:rPr>
      </w:pPr>
      <w:r>
        <w:rPr>
          <w:rFonts w:cs="Arial" w:ascii="Arial" w:hAnsi="Arial"/>
          <w:sz w:val="24"/>
          <w:szCs w:val="24"/>
        </w:rPr>
      </w:r>
    </w:p>
    <w:p>
      <w:pPr>
        <w:pStyle w:val="Normal"/>
        <w:spacing w:lineRule="auto" w:line="360"/>
        <w:ind w:firstLine="709"/>
        <w:jc w:val="both"/>
        <w:rPr>
          <w:rFonts w:ascii="Arial" w:hAnsi="Arial" w:cs="Arial"/>
          <w:sz w:val="24"/>
          <w:szCs w:val="24"/>
        </w:rPr>
      </w:pPr>
      <w:r>
        <w:rPr>
          <w:rFonts w:cs="Arial" w:ascii="Arial" w:hAnsi="Arial"/>
          <w:sz w:val="24"/>
          <w:szCs w:val="24"/>
        </w:rPr>
        <w:t>Com base nisso, ao se calcular a carteira de Mínima Variância, é possível verificar a seguinte distribuição, conforme Tabela 6:</w:t>
      </w:r>
    </w:p>
    <w:p>
      <w:pPr>
        <w:pStyle w:val="Tabela"/>
        <w:jc w:val="both"/>
        <w:rPr/>
      </w:pPr>
      <w:r>
        <w:rPr/>
      </w:r>
      <w:bookmarkStart w:id="6" w:name="_Toc529818176"/>
      <w:bookmarkStart w:id="7" w:name="_Toc529818176"/>
    </w:p>
    <w:p>
      <w:pPr>
        <w:pStyle w:val="Tabela"/>
        <w:rPr/>
      </w:pPr>
      <w:bookmarkStart w:id="8" w:name="_Toc529818176"/>
      <w:bookmarkStart w:id="9" w:name="_Toc530076705"/>
      <w:r>
        <w:rPr/>
        <w:t>Tabela 1 – Carteira de Mínima Variância</w:t>
      </w:r>
      <w:bookmarkEnd w:id="8"/>
      <w:bookmarkEnd w:id="9"/>
    </w:p>
    <w:p>
      <w:pPr>
        <w:pStyle w:val="Tabela"/>
        <w:rPr/>
      </w:pPr>
      <w:r>
        <w:rPr/>
      </w:r>
    </w:p>
    <w:tbl>
      <w:tblPr>
        <w:tblW w:w="2360" w:type="dxa"/>
        <w:jc w:val="center"/>
        <w:tblInd w:w="0" w:type="dxa"/>
        <w:tblBorders>
          <w:top w:val="single" w:sz="8" w:space="0" w:color="000000"/>
          <w:bottom w:val="single" w:sz="8" w:space="0" w:color="000000"/>
          <w:right w:val="single" w:sz="8" w:space="0" w:color="000000"/>
          <w:insideH w:val="single" w:sz="8" w:space="0" w:color="000000"/>
          <w:insideV w:val="single" w:sz="8" w:space="0" w:color="000000"/>
        </w:tblBorders>
        <w:tblCellMar>
          <w:top w:w="0" w:type="dxa"/>
          <w:left w:w="70" w:type="dxa"/>
          <w:bottom w:w="0" w:type="dxa"/>
          <w:right w:w="70" w:type="dxa"/>
        </w:tblCellMar>
        <w:tblLook w:val="04a0"/>
      </w:tblPr>
      <w:tblGrid>
        <w:gridCol w:w="1200"/>
        <w:gridCol w:w="1159"/>
      </w:tblGrid>
      <w:tr>
        <w:trPr>
          <w:trHeight w:val="330" w:hRule="atLeast"/>
        </w:trPr>
        <w:tc>
          <w:tcPr>
            <w:tcW w:w="120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jc w:val="both"/>
              <w:rPr>
                <w:rFonts w:ascii="Arial" w:hAnsi="Arial" w:eastAsia="Times New Roman" w:cs="Arial"/>
                <w:b/>
                <w:b/>
                <w:bCs/>
                <w:color w:val="000000"/>
                <w:sz w:val="24"/>
                <w:szCs w:val="24"/>
                <w:lang w:eastAsia="pt-BR"/>
              </w:rPr>
            </w:pPr>
            <w:r>
              <w:rPr>
                <w:rFonts w:eastAsia="Times New Roman" w:cs="Arial" w:ascii="Arial" w:hAnsi="Arial"/>
                <w:b/>
                <w:bCs/>
                <w:color w:val="000000"/>
                <w:sz w:val="24"/>
                <w:szCs w:val="24"/>
                <w:lang w:eastAsia="pt-BR"/>
              </w:rPr>
              <w:t>Ativos</w:t>
            </w:r>
          </w:p>
        </w:tc>
        <w:tc>
          <w:tcPr>
            <w:tcW w:w="1159"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0"/>
              <w:jc w:val="both"/>
              <w:rPr>
                <w:rFonts w:ascii="Arial" w:hAnsi="Arial" w:eastAsia="Times New Roman" w:cs="Arial"/>
                <w:b/>
                <w:b/>
                <w:bCs/>
                <w:color w:val="000000"/>
                <w:sz w:val="24"/>
                <w:szCs w:val="24"/>
                <w:lang w:eastAsia="pt-BR"/>
              </w:rPr>
            </w:pPr>
            <w:r>
              <w:rPr>
                <w:rFonts w:eastAsia="Times New Roman" w:cs="Arial" w:ascii="Arial" w:hAnsi="Arial"/>
                <w:b/>
                <w:bCs/>
                <w:color w:val="000000"/>
                <w:sz w:val="24"/>
                <w:szCs w:val="24"/>
                <w:lang w:eastAsia="pt-BR"/>
              </w:rPr>
              <w:t>Pesos</w:t>
            </w:r>
          </w:p>
        </w:tc>
      </w:tr>
      <w:tr>
        <w:trPr>
          <w:trHeight w:val="330" w:hRule="atLeast"/>
        </w:trPr>
        <w:tc>
          <w:tcPr>
            <w:tcW w:w="1200" w:type="dxa"/>
            <w:tcBorders>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jc w:val="both"/>
              <w:rPr>
                <w:rFonts w:ascii="Arial" w:hAnsi="Arial" w:eastAsia="Times New Roman" w:cs="Arial"/>
                <w:b/>
                <w:b/>
                <w:bCs/>
                <w:color w:val="000000"/>
                <w:sz w:val="24"/>
                <w:szCs w:val="24"/>
                <w:lang w:eastAsia="pt-BR"/>
              </w:rPr>
            </w:pPr>
            <w:r>
              <w:rPr>
                <w:rFonts w:eastAsia="Times New Roman" w:cs="Arial" w:ascii="Arial" w:hAnsi="Arial"/>
                <w:b/>
                <w:bCs/>
                <w:color w:val="000000"/>
                <w:sz w:val="24"/>
                <w:szCs w:val="24"/>
                <w:lang w:eastAsia="pt-BR"/>
              </w:rPr>
              <w:t>PETR4</w:t>
            </w:r>
          </w:p>
        </w:tc>
        <w:tc>
          <w:tcPr>
            <w:tcW w:w="1159" w:type="dxa"/>
            <w:tcBorders>
              <w:bottom w:val="single" w:sz="8" w:space="0" w:color="000000"/>
              <w:insideH w:val="single" w:sz="8" w:space="0" w:color="000000"/>
            </w:tcBorders>
            <w:shd w:fill="auto" w:val="clear"/>
            <w:vAlign w:val="center"/>
          </w:tcPr>
          <w:p>
            <w:pPr>
              <w:pStyle w:val="Normal"/>
              <w:spacing w:lineRule="auto" w:line="240" w:before="0" w:after="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1,09%</w:t>
            </w:r>
          </w:p>
        </w:tc>
      </w:tr>
      <w:tr>
        <w:trPr>
          <w:trHeight w:val="330" w:hRule="atLeast"/>
        </w:trPr>
        <w:tc>
          <w:tcPr>
            <w:tcW w:w="1200" w:type="dxa"/>
            <w:tcBorders>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jc w:val="both"/>
              <w:rPr>
                <w:rFonts w:ascii="Arial" w:hAnsi="Arial" w:eastAsia="Times New Roman" w:cs="Arial"/>
                <w:b/>
                <w:b/>
                <w:bCs/>
                <w:color w:val="000000"/>
                <w:sz w:val="24"/>
                <w:szCs w:val="24"/>
                <w:lang w:eastAsia="pt-BR"/>
              </w:rPr>
            </w:pPr>
            <w:r>
              <w:rPr>
                <w:rFonts w:eastAsia="Times New Roman" w:cs="Arial" w:ascii="Arial" w:hAnsi="Arial"/>
                <w:b/>
                <w:bCs/>
                <w:color w:val="000000"/>
                <w:sz w:val="24"/>
                <w:szCs w:val="24"/>
                <w:lang w:eastAsia="pt-BR"/>
              </w:rPr>
              <w:t>ITSA4</w:t>
            </w:r>
          </w:p>
        </w:tc>
        <w:tc>
          <w:tcPr>
            <w:tcW w:w="1159" w:type="dxa"/>
            <w:tcBorders>
              <w:bottom w:val="single" w:sz="8" w:space="0" w:color="000000"/>
              <w:insideH w:val="single" w:sz="8" w:space="0" w:color="000000"/>
            </w:tcBorders>
            <w:shd w:fill="auto" w:val="clear"/>
            <w:vAlign w:val="center"/>
          </w:tcPr>
          <w:p>
            <w:pPr>
              <w:pStyle w:val="Normal"/>
              <w:spacing w:lineRule="auto" w:line="240" w:before="0" w:after="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28,15%</w:t>
            </w:r>
          </w:p>
        </w:tc>
      </w:tr>
      <w:tr>
        <w:trPr>
          <w:trHeight w:val="330" w:hRule="atLeast"/>
        </w:trPr>
        <w:tc>
          <w:tcPr>
            <w:tcW w:w="1200" w:type="dxa"/>
            <w:tcBorders>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jc w:val="both"/>
              <w:rPr>
                <w:rFonts w:ascii="Arial" w:hAnsi="Arial" w:eastAsia="Times New Roman" w:cs="Arial"/>
                <w:b/>
                <w:b/>
                <w:bCs/>
                <w:color w:val="000000"/>
                <w:sz w:val="24"/>
                <w:szCs w:val="24"/>
                <w:lang w:eastAsia="pt-BR"/>
              </w:rPr>
            </w:pPr>
            <w:r>
              <w:rPr>
                <w:rFonts w:eastAsia="Times New Roman" w:cs="Arial" w:ascii="Arial" w:hAnsi="Arial"/>
                <w:b/>
                <w:bCs/>
                <w:color w:val="000000"/>
                <w:sz w:val="24"/>
                <w:szCs w:val="24"/>
                <w:lang w:eastAsia="pt-BR"/>
              </w:rPr>
              <w:t>B3SA3</w:t>
            </w:r>
          </w:p>
        </w:tc>
        <w:tc>
          <w:tcPr>
            <w:tcW w:w="1159" w:type="dxa"/>
            <w:tcBorders>
              <w:bottom w:val="single" w:sz="8" w:space="0" w:color="000000"/>
              <w:insideH w:val="single" w:sz="8" w:space="0" w:color="000000"/>
            </w:tcBorders>
            <w:shd w:fill="auto" w:val="clear"/>
            <w:vAlign w:val="center"/>
          </w:tcPr>
          <w:p>
            <w:pPr>
              <w:pStyle w:val="Normal"/>
              <w:spacing w:lineRule="auto" w:line="240" w:before="0" w:after="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25,75%</w:t>
            </w:r>
          </w:p>
        </w:tc>
      </w:tr>
      <w:tr>
        <w:trPr>
          <w:trHeight w:val="330" w:hRule="atLeast"/>
        </w:trPr>
        <w:tc>
          <w:tcPr>
            <w:tcW w:w="1200" w:type="dxa"/>
            <w:tcBorders>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jc w:val="both"/>
              <w:rPr>
                <w:rFonts w:ascii="Arial" w:hAnsi="Arial" w:eastAsia="Times New Roman" w:cs="Arial"/>
                <w:b/>
                <w:b/>
                <w:bCs/>
                <w:color w:val="000000"/>
                <w:sz w:val="24"/>
                <w:szCs w:val="24"/>
                <w:lang w:eastAsia="pt-BR"/>
              </w:rPr>
            </w:pPr>
            <w:r>
              <w:rPr>
                <w:rFonts w:eastAsia="Times New Roman" w:cs="Arial" w:ascii="Arial" w:hAnsi="Arial"/>
                <w:b/>
                <w:bCs/>
                <w:color w:val="000000"/>
                <w:sz w:val="24"/>
                <w:szCs w:val="24"/>
                <w:lang w:eastAsia="pt-BR"/>
              </w:rPr>
              <w:t>SUZB3</w:t>
            </w:r>
          </w:p>
        </w:tc>
        <w:tc>
          <w:tcPr>
            <w:tcW w:w="1159" w:type="dxa"/>
            <w:tcBorders>
              <w:bottom w:val="single" w:sz="8" w:space="0" w:color="000000"/>
              <w:insideH w:val="single" w:sz="8" w:space="0" w:color="000000"/>
            </w:tcBorders>
            <w:shd w:fill="auto" w:val="clear"/>
            <w:vAlign w:val="center"/>
          </w:tcPr>
          <w:p>
            <w:pPr>
              <w:pStyle w:val="Normal"/>
              <w:spacing w:lineRule="auto" w:line="240" w:before="0" w:after="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35,63%</w:t>
            </w:r>
          </w:p>
        </w:tc>
      </w:tr>
      <w:tr>
        <w:trPr>
          <w:trHeight w:val="315" w:hRule="atLeast"/>
        </w:trPr>
        <w:tc>
          <w:tcPr>
            <w:tcW w:w="1200" w:type="dxa"/>
            <w:tcBorders>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jc w:val="both"/>
              <w:rPr>
                <w:rFonts w:ascii="Arial" w:hAnsi="Arial" w:eastAsia="Times New Roman" w:cs="Arial"/>
                <w:b/>
                <w:b/>
                <w:bCs/>
                <w:color w:val="000000"/>
                <w:sz w:val="24"/>
                <w:szCs w:val="24"/>
                <w:lang w:eastAsia="pt-BR"/>
              </w:rPr>
            </w:pPr>
            <w:r>
              <w:rPr>
                <w:rFonts w:eastAsia="Times New Roman" w:cs="Arial" w:ascii="Arial" w:hAnsi="Arial"/>
                <w:b/>
                <w:bCs/>
                <w:color w:val="000000"/>
                <w:sz w:val="24"/>
                <w:szCs w:val="24"/>
                <w:lang w:eastAsia="pt-BR"/>
              </w:rPr>
              <w:t>GGBR4</w:t>
            </w:r>
          </w:p>
        </w:tc>
        <w:tc>
          <w:tcPr>
            <w:tcW w:w="1159" w:type="dxa"/>
            <w:tcBorders>
              <w:bottom w:val="single" w:sz="8" w:space="0" w:color="000000"/>
              <w:insideH w:val="single" w:sz="8" w:space="0" w:color="000000"/>
            </w:tcBorders>
            <w:shd w:fill="auto" w:val="clear"/>
            <w:vAlign w:val="center"/>
          </w:tcPr>
          <w:p>
            <w:pPr>
              <w:pStyle w:val="Normal"/>
              <w:spacing w:lineRule="auto" w:line="240" w:before="0" w:after="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9,37%</w:t>
            </w:r>
          </w:p>
        </w:tc>
      </w:tr>
    </w:tbl>
    <w:p>
      <w:pPr>
        <w:pStyle w:val="Normal"/>
        <w:spacing w:lineRule="auto" w:line="360" w:before="0" w:after="0"/>
        <w:jc w:val="center"/>
        <w:rPr>
          <w:rFonts w:ascii="Arial" w:hAnsi="Arial" w:cs="Arial"/>
          <w:b/>
          <w:b/>
          <w:sz w:val="20"/>
          <w:szCs w:val="20"/>
        </w:rPr>
      </w:pPr>
      <w:r>
        <w:rPr>
          <w:rFonts w:cs="Arial" w:ascii="Arial" w:hAnsi="Arial"/>
          <w:b/>
          <w:sz w:val="20"/>
          <w:szCs w:val="20"/>
        </w:rPr>
        <w:t>Fonte: Elaborada pelos autores</w:t>
      </w:r>
    </w:p>
    <w:p>
      <w:pPr>
        <w:pStyle w:val="Normal"/>
        <w:spacing w:lineRule="auto" w:line="360" w:before="0" w:after="0"/>
        <w:jc w:val="center"/>
        <w:rPr>
          <w:rFonts w:ascii="Arial" w:hAnsi="Arial" w:cs="Arial"/>
          <w:b/>
          <w:b/>
          <w:sz w:val="24"/>
          <w:szCs w:val="24"/>
        </w:rPr>
      </w:pPr>
      <w:r>
        <w:rPr>
          <w:rFonts w:cs="Arial" w:ascii="Arial" w:hAnsi="Arial"/>
          <w:b/>
          <w:sz w:val="24"/>
          <w:szCs w:val="24"/>
        </w:rPr>
      </w:r>
    </w:p>
    <w:p>
      <w:pPr>
        <w:pStyle w:val="Normal"/>
        <w:spacing w:lineRule="auto" w:line="360"/>
        <w:ind w:firstLine="709"/>
        <w:jc w:val="both"/>
        <w:rPr>
          <w:rFonts w:ascii="Arial" w:hAnsi="Arial" w:cs="Arial"/>
          <w:color w:val="000000"/>
          <w:sz w:val="24"/>
          <w:szCs w:val="24"/>
        </w:rPr>
      </w:pPr>
      <w:r>
        <w:rPr>
          <w:rFonts w:cs="Arial" w:ascii="Arial" w:hAnsi="Arial"/>
          <w:sz w:val="24"/>
          <w:szCs w:val="24"/>
        </w:rPr>
        <w:t xml:space="preserve">Por meio da distribuição de pesos encontrada, a variância de 0,0002 e o desvio-padrão de 1,46%, menor portanto que a chamada distribuição igualitária. Além disso, o retorno médio diário passa a ser de 0,0052% e desvio-padrão de 1,46%, menores portanto do que a carteira com diversificação igualitária entre os ativos. Além disso, o retorno acumulado da carteira de Mínima Variância no período é de 3,1970%, sendo maior que o retorno da carteira apresentada anteriormente. Como o propósito desta carteira é </w:t>
      </w:r>
      <w:r>
        <w:rPr>
          <w:rFonts w:cs="Arial" w:ascii="Arial" w:hAnsi="Arial"/>
          <w:color w:val="000000"/>
          <w:sz w:val="24"/>
          <w:szCs w:val="24"/>
        </w:rPr>
        <w:t>produzir uma combinação</w:t>
      </w:r>
      <w:r>
        <w:rPr>
          <w:rFonts w:cs="Arial" w:ascii="Arial" w:hAnsi="Arial"/>
          <w:sz w:val="24"/>
          <w:szCs w:val="24"/>
        </w:rPr>
        <w:t xml:space="preserve"> de ativos que apresente o menor risco possível, os aspectos defensivos dos ativos são valorizados.</w:t>
      </w:r>
      <w:r>
        <w:br w:type="page"/>
      </w:r>
    </w:p>
    <w:p>
      <w:pPr>
        <w:pStyle w:val="Normal"/>
        <w:spacing w:lineRule="auto" w:line="360"/>
        <w:ind w:firstLine="709"/>
        <w:jc w:val="both"/>
        <w:rPr>
          <w:rFonts w:ascii="Arial" w:hAnsi="Arial" w:cs="Arial"/>
          <w:color w:val="000000"/>
          <w:sz w:val="24"/>
          <w:szCs w:val="24"/>
        </w:rPr>
      </w:pPr>
      <w:r>
        <w:rPr>
          <w:rFonts w:cs="Arial" w:ascii="Arial" w:hAnsi="Arial"/>
          <w:b/>
          <w:sz w:val="24"/>
          <w:szCs w:val="24"/>
        </w:rPr>
        <w:t>3.3 Hedge Utilizando o Índice Ibovespa</w:t>
        <w:tab/>
      </w:r>
    </w:p>
    <w:p>
      <w:pPr>
        <w:pStyle w:val="Normal"/>
        <w:spacing w:lineRule="auto" w:line="360" w:before="0" w:after="0"/>
        <w:ind w:firstLine="709"/>
        <w:jc w:val="both"/>
        <w:rPr>
          <w:rFonts w:ascii="Arial" w:hAnsi="Arial" w:cs="Arial"/>
          <w:color w:val="000000"/>
          <w:sz w:val="24"/>
          <w:szCs w:val="24"/>
        </w:rPr>
      </w:pPr>
      <w:r>
        <w:rPr>
          <w:rFonts w:cs="Arial" w:ascii="Arial" w:hAnsi="Arial"/>
          <w:color w:val="000000"/>
          <w:sz w:val="24"/>
          <w:szCs w:val="24"/>
        </w:rPr>
        <w:t>O Hedge é um mecanismo que tem por objetivo proteger operações financeiras com exposição a grandes variações de preços, protegendo o investidor do chamado </w:t>
      </w:r>
      <w:r>
        <w:rPr>
          <w:rFonts w:cs="Arial" w:ascii="Arial" w:hAnsi="Arial"/>
          <w:bCs/>
          <w:color w:val="000000"/>
          <w:sz w:val="24"/>
          <w:szCs w:val="24"/>
        </w:rPr>
        <w:t>risco de mercado</w:t>
      </w:r>
      <w:r>
        <w:rPr>
          <w:rFonts w:cs="Arial" w:ascii="Arial" w:hAnsi="Arial"/>
          <w:color w:val="000000"/>
          <w:sz w:val="24"/>
          <w:szCs w:val="24"/>
        </w:rPr>
        <w:t>, ou seja, do risco de exposição a </w:t>
      </w:r>
      <w:hyperlink r:id="rId2" w:tgtFrame="_blank">
        <w:r>
          <w:rPr>
            <w:rStyle w:val="ListLabel50"/>
          </w:rPr>
          <w:t>volatilidade</w:t>
        </w:r>
      </w:hyperlink>
      <w:r>
        <w:rPr>
          <w:rFonts w:cs="Arial" w:ascii="Arial" w:hAnsi="Arial"/>
          <w:color w:val="000000"/>
          <w:sz w:val="24"/>
          <w:szCs w:val="24"/>
        </w:rPr>
        <w:t> de determinados ativos.</w:t>
      </w:r>
    </w:p>
    <w:p>
      <w:pPr>
        <w:pStyle w:val="Normal"/>
        <w:spacing w:lineRule="auto" w:line="360" w:before="0" w:after="0"/>
        <w:ind w:firstLine="709"/>
        <w:jc w:val="both"/>
        <w:rPr>
          <w:rFonts w:ascii="Arial" w:hAnsi="Arial" w:cs="Arial"/>
          <w:color w:val="000000"/>
          <w:sz w:val="24"/>
          <w:szCs w:val="24"/>
        </w:rPr>
      </w:pPr>
      <w:r>
        <w:rPr>
          <w:rFonts w:cs="Arial" w:ascii="Arial" w:hAnsi="Arial"/>
          <w:color w:val="000000"/>
          <w:sz w:val="24"/>
          <w:szCs w:val="24"/>
        </w:rPr>
        <w:t>A estratégia da utilização do Hedge consiste em assumir uma posição comprada ou vendida em um derivativo (Contratos Futuros, Opções, Termo) ou investimento, com o intuito de minimizar o risco de outros ativos, como os da carteira consideradas por este trabalho.</w:t>
      </w:r>
    </w:p>
    <w:p>
      <w:pPr>
        <w:pStyle w:val="Normal"/>
        <w:spacing w:lineRule="auto" w:line="360" w:before="0" w:after="0"/>
        <w:ind w:firstLine="709"/>
        <w:jc w:val="both"/>
        <w:rPr/>
      </w:pPr>
      <w:r>
        <w:rPr>
          <w:rFonts w:cs="Arial" w:ascii="Arial" w:hAnsi="Arial"/>
          <w:color w:val="000000"/>
          <w:sz w:val="24"/>
          <w:szCs w:val="24"/>
        </w:rPr>
        <w:t>Então, supondo uma carteira no valor de R$ 1.000.000,00 e considerando as respectivas participações de cada ativo para a minimização do risco da carteira, PETR4 1,1% com um valor de R$ 11.000,00, ITSA4 28,15% com um valor de R$ 281.500,00, B3SA3 25,75% com um valor de R$ 257.500,00, SUZB3 35,63% com um valor de R$ 356.300,00 e por último a GGBR4 9,37% com um valor de R$ 93.700,00, foi feito o Hedge da carteira utilizando o Índice Ibovespa.</w:t>
      </w:r>
    </w:p>
    <w:p>
      <w:pPr>
        <w:pStyle w:val="Normal"/>
        <w:spacing w:lineRule="auto" w:line="360" w:before="0" w:after="0"/>
        <w:ind w:firstLine="709"/>
        <w:jc w:val="both"/>
        <w:rPr>
          <w:rFonts w:ascii="Arial" w:hAnsi="Arial" w:cs="Arial"/>
          <w:color w:val="000000"/>
          <w:sz w:val="24"/>
          <w:szCs w:val="24"/>
        </w:rPr>
      </w:pPr>
      <w:r>
        <w:rPr>
          <w:rFonts w:cs="Arial" w:ascii="Arial" w:hAnsi="Arial"/>
          <w:color w:val="000000"/>
          <w:sz w:val="24"/>
          <w:szCs w:val="24"/>
        </w:rPr>
        <w:t>Assumindo-se o valor inicial do índice futuro do BOVESPA em 88.790, a operação foi feita se utilizando um total de 55 contratos. Dessa forma, dada uma queda hipotética de 10% do BOVESPA, o que corresponderia a um novo índice de 79.911, a queda para a carteira seria no montante de R$ 88.790,00. Com o Hedge, então, a carteira fora protegida no total de R$ 97.669,00, dado o número de contratos utilizado e o retorno de R$ 0,20 por ponto do índice.</w:t>
      </w:r>
    </w:p>
    <w:p>
      <w:pPr>
        <w:pStyle w:val="Normal"/>
        <w:spacing w:lineRule="auto" w:line="360" w:before="0" w:after="0"/>
        <w:ind w:firstLine="709"/>
        <w:jc w:val="both"/>
        <w:rPr>
          <w:rFonts w:ascii="Arial" w:hAnsi="Arial" w:cs="Arial"/>
          <w:color w:val="000000"/>
          <w:sz w:val="24"/>
          <w:szCs w:val="24"/>
        </w:rPr>
      </w:pPr>
      <w:r>
        <w:rPr>
          <w:rFonts w:cs="Arial" w:ascii="Arial" w:hAnsi="Arial"/>
          <w:color w:val="000000"/>
          <w:sz w:val="24"/>
          <w:szCs w:val="24"/>
        </w:rPr>
        <w:t>Este caso serve como exemplo da relevância de uma ferramenta como o Hedge para a minimização de riscos de uma carteira de ativos, mesmo se observada a dificuldade de se auferir um Hedge mais próximo do perfeito, ou seja, onde os prejuízos com as ações sejam compensadas pelo lucro do mercado futuro. Essa dificuldade se dá no fato de as ações não acompanharem 100% os movimentos exercidos pela bolsa como um todo, podendo se observar várias vezes ações que variem de forma desproporcional ao ocorrido com o IBOVESPA em um determinado período. Fatores intrínsecos à própria empresa ou até ao setor no qual essa atua podem interferir nesse sentido e dificultar a aproximação do Hedge utilizado para a carteira de um estado de igualdade completa.</w:t>
      </w:r>
    </w:p>
    <w:p>
      <w:pPr>
        <w:pStyle w:val="Normal"/>
        <w:spacing w:lineRule="auto" w:line="360" w:before="0" w:after="0"/>
        <w:ind w:firstLine="709"/>
        <w:jc w:val="both"/>
        <w:rPr>
          <w:rFonts w:ascii="Arial" w:hAnsi="Arial" w:cs="Arial"/>
          <w:sz w:val="24"/>
          <w:szCs w:val="24"/>
        </w:rPr>
      </w:pPr>
      <w:r>
        <w:rPr>
          <w:rFonts w:cs="Arial" w:ascii="Arial" w:hAnsi="Arial"/>
          <w:sz w:val="24"/>
          <w:szCs w:val="24"/>
        </w:rPr>
      </w:r>
    </w:p>
    <w:p>
      <w:pPr>
        <w:pStyle w:val="Ttulo1"/>
        <w:rPr>
          <w:rFonts w:cs="Arial"/>
          <w:szCs w:val="24"/>
        </w:rPr>
      </w:pPr>
      <w:r>
        <w:rPr/>
        <w:t>4 CONSIDERAÇÕES FINAIS</w:t>
      </w:r>
    </w:p>
    <w:p>
      <w:pPr>
        <w:pStyle w:val="Normal"/>
        <w:spacing w:lineRule="auto" w:line="360" w:before="0" w:after="0"/>
        <w:ind w:firstLine="709"/>
        <w:jc w:val="both"/>
        <w:rPr>
          <w:rFonts w:ascii="Arial" w:hAnsi="Arial" w:cs="Arial"/>
          <w:b/>
          <w:b/>
          <w:sz w:val="24"/>
          <w:szCs w:val="24"/>
        </w:rPr>
      </w:pPr>
      <w:r>
        <w:rPr>
          <w:rFonts w:cs="Arial" w:ascii="Arial" w:hAnsi="Arial"/>
          <w:b/>
          <w:sz w:val="24"/>
          <w:szCs w:val="24"/>
        </w:rPr>
      </w:r>
    </w:p>
    <w:p>
      <w:pPr>
        <w:pStyle w:val="Normal"/>
        <w:spacing w:lineRule="auto" w:line="360" w:before="0" w:after="0"/>
        <w:ind w:firstLine="709"/>
        <w:jc w:val="both"/>
        <w:rPr>
          <w:rFonts w:ascii="Arial" w:hAnsi="Arial" w:cs="Arial"/>
          <w:color w:val="000000"/>
          <w:sz w:val="24"/>
          <w:szCs w:val="24"/>
        </w:rPr>
      </w:pPr>
      <w:r>
        <w:rPr>
          <w:rFonts w:cs="Arial" w:ascii="Arial" w:hAnsi="Arial"/>
          <w:color w:val="000000"/>
          <w:sz w:val="24"/>
          <w:szCs w:val="24"/>
        </w:rPr>
        <w:t>Os resultados obtidos, para a carteira selecionada, referentes aos pesos de cada ativo na carteira leva em consideração a volatilidade dos respectivos ativos. As ações da Petrobrás, Gerdau e tem peso 1,09% e 9,37% respectivamente, devido principalmente a volatilidade desses ativos, o que pode ser observado através das variâncias e desvios padrão desses ativos. Em contrapartida, as ações do Itaú,</w:t>
      </w:r>
      <w:r>
        <w:rPr>
          <w:vanish/>
        </w:rPr>
        <w:t xml:space="preserve"> </w:t>
      </w:r>
      <w:r>
        <w:rPr>
          <w:rFonts w:cs="Arial" w:ascii="Arial" w:hAnsi="Arial"/>
          <w:vanish/>
          <w:color w:val="000000"/>
          <w:sz w:val="24"/>
          <w:szCs w:val="24"/>
        </w:rPr>
        <w:t xml:space="preserve">B³ S.A e Suzano </w:t>
      </w:r>
      <w:r>
        <w:rPr>
          <w:rFonts w:cs="Arial" w:ascii="Arial" w:hAnsi="Arial"/>
          <w:color w:val="000000"/>
          <w:sz w:val="24"/>
          <w:szCs w:val="24"/>
        </w:rPr>
        <w:t>representam juntas 89,53 % da carteira, pois esses ativos têm menor variância e também uma sensibilidade menor.</w:t>
      </w:r>
    </w:p>
    <w:p>
      <w:pPr>
        <w:pStyle w:val="Normal"/>
        <w:spacing w:lineRule="auto" w:line="360" w:before="0" w:after="0"/>
        <w:ind w:firstLine="709"/>
        <w:jc w:val="both"/>
        <w:rPr>
          <w:rFonts w:ascii="Arial" w:hAnsi="Arial" w:cs="Arial"/>
          <w:sz w:val="24"/>
          <w:szCs w:val="24"/>
        </w:rPr>
      </w:pPr>
      <w:r>
        <w:rPr>
          <w:rFonts w:cs="Arial" w:ascii="Arial" w:hAnsi="Arial"/>
          <w:color w:val="000000"/>
          <w:sz w:val="24"/>
          <w:szCs w:val="24"/>
        </w:rPr>
        <w:t xml:space="preserve">Como resultado da combinação de ativos descrita no parágrafo anterior a carteira apresentou um </w:t>
      </w:r>
      <w:r>
        <w:rPr>
          <w:rFonts w:cs="Arial" w:ascii="Arial" w:hAnsi="Arial"/>
          <w:sz w:val="24"/>
          <w:szCs w:val="24"/>
        </w:rPr>
        <w:t>retorno médio diário passa a ser de 0,0052% e desvio-padrão de 1,46%, menores, portanto do que a carteira com diversificação igualitária entre os ativos. Ademais, o retorno acumulado da carteira de Mínima Variância no período é de 3,1970%, sendo maior que o retorno da carteira apresentada anteriormente.  Dessa forma,</w:t>
      </w:r>
      <w:r>
        <w:rPr>
          <w:rFonts w:cs="Arial" w:ascii="Arial" w:hAnsi="Arial"/>
          <w:color w:val="FF0000"/>
          <w:sz w:val="24"/>
          <w:szCs w:val="24"/>
        </w:rPr>
        <w:t xml:space="preserve"> </w:t>
      </w:r>
      <w:r>
        <w:rPr>
          <w:rFonts w:cs="Arial" w:ascii="Arial" w:hAnsi="Arial"/>
          <w:sz w:val="24"/>
          <w:szCs w:val="24"/>
        </w:rPr>
        <w:t>utilizando o princípio da diversificação de ativos fica evidente o melhor desempenho da carteira em detrimento do desempenho dos ativos isoladamente. Para exemplificar isso, basta comparar os valores dos desvios padrão, variância e beta dos ativos separadamente com os valores obtidos com a combinação dos ativos, com seus pesos definidos dentro da carteira.</w:t>
      </w:r>
    </w:p>
    <w:p>
      <w:pPr>
        <w:pStyle w:val="Normal"/>
        <w:spacing w:lineRule="auto" w:line="360" w:before="0" w:after="0"/>
        <w:ind w:firstLine="709"/>
        <w:jc w:val="both"/>
        <w:rPr>
          <w:rFonts w:ascii="Arial" w:hAnsi="Arial" w:cs="Arial"/>
          <w:sz w:val="24"/>
          <w:szCs w:val="24"/>
        </w:rPr>
      </w:pPr>
      <w:r>
        <w:rPr>
          <w:rFonts w:cs="Arial" w:ascii="Arial" w:hAnsi="Arial"/>
          <w:sz w:val="24"/>
          <w:szCs w:val="24"/>
        </w:rPr>
        <w:t>O modelo de Markowitz foi de extrema importância para o estabelecimento dos pesos de cada ativo e consequentemente para maximizar o desempenho da carteira de ativos diminuindo o seu risco. Os princípios do modelo de Markowitz, como os investidores serem avessos ao risco, objetivam a maximização da utilidade esperada dos retornos esperados, retornos dos títulos com distribuição normal, mercados eficientes, não só serviram de base, como se mostraram extremamente eficientes para o estabelecimento da melhor combinação entre os ativos selecionados para compor essa carteira.</w:t>
      </w:r>
    </w:p>
    <w:p>
      <w:pPr>
        <w:pStyle w:val="Normal"/>
        <w:spacing w:lineRule="auto" w:line="360" w:before="0" w:after="0"/>
        <w:ind w:firstLine="709"/>
        <w:jc w:val="both"/>
        <w:rPr>
          <w:rFonts w:ascii="Arial" w:hAnsi="Arial" w:cs="Arial"/>
          <w:color w:val="000000"/>
          <w:sz w:val="24"/>
          <w:szCs w:val="24"/>
        </w:rPr>
      </w:pPr>
      <w:r>
        <w:rPr>
          <w:rFonts w:cs="Arial" w:ascii="Arial" w:hAnsi="Arial"/>
          <w:color w:val="000000"/>
          <w:sz w:val="24"/>
          <w:szCs w:val="24"/>
        </w:rPr>
      </w:r>
    </w:p>
    <w:p>
      <w:pPr>
        <w:pStyle w:val="Normal"/>
        <w:spacing w:lineRule="auto" w:line="360" w:before="0" w:after="0"/>
        <w:ind w:firstLine="709"/>
        <w:jc w:val="both"/>
        <w:rPr>
          <w:rFonts w:ascii="Arial" w:hAnsi="Arial" w:cs="Arial"/>
          <w:b/>
          <w:b/>
          <w:sz w:val="24"/>
          <w:szCs w:val="24"/>
        </w:rPr>
      </w:pPr>
      <w:r>
        <w:rPr>
          <w:rFonts w:cs="Arial" w:ascii="Arial" w:hAnsi="Arial"/>
          <w:b/>
          <w:sz w:val="24"/>
          <w:szCs w:val="24"/>
        </w:rPr>
      </w:r>
      <w:r>
        <w:br w:type="page"/>
      </w:r>
    </w:p>
    <w:p>
      <w:pPr>
        <w:pStyle w:val="Ttulo1"/>
        <w:jc w:val="center"/>
        <w:rPr/>
      </w:pPr>
      <w:bookmarkStart w:id="10" w:name="_Toc531196785"/>
      <w:bookmarkStart w:id="11" w:name="_Toc531196688"/>
      <w:r>
        <w:rPr/>
        <w:t>REFERÊNCIAS</w:t>
      </w:r>
      <w:bookmarkEnd w:id="3"/>
      <w:bookmarkEnd w:id="10"/>
      <w:bookmarkEnd w:id="11"/>
      <w:r>
        <w:rPr/>
        <w:br/>
      </w:r>
    </w:p>
    <w:p>
      <w:pPr>
        <w:pStyle w:val="Normal"/>
        <w:spacing w:lineRule="auto" w:line="240"/>
        <w:rPr>
          <w:rFonts w:ascii="Arial" w:hAnsi="Arial" w:cs="Arial"/>
          <w:sz w:val="24"/>
          <w:szCs w:val="24"/>
        </w:rPr>
      </w:pPr>
      <w:r>
        <w:rPr>
          <w:rFonts w:cs="Arial" w:ascii="Arial" w:hAnsi="Arial"/>
          <w:sz w:val="24"/>
          <w:szCs w:val="24"/>
        </w:rPr>
        <w:br/>
        <w:t xml:space="preserve">ALCÂNTARA, José C. G. 1980. </w:t>
      </w:r>
      <w:r>
        <w:rPr>
          <w:rFonts w:cs="Arial" w:ascii="Arial" w:hAnsi="Arial"/>
          <w:b/>
          <w:sz w:val="24"/>
          <w:szCs w:val="24"/>
        </w:rPr>
        <w:t>O Modelo de Avaliação de Ativos (Capital Asset Pricing Model)</w:t>
      </w:r>
      <w:r>
        <w:rPr>
          <w:rFonts w:cs="Arial" w:ascii="Arial" w:hAnsi="Arial"/>
          <w:sz w:val="24"/>
          <w:szCs w:val="24"/>
        </w:rPr>
        <w:t xml:space="preserve"> – Aplicações. p. 55-65. Disponível em: &lt; http://www.scielo.br/pdf/rae/v21n1/v21n1a06.pdf&gt;. Acesso em 24 mai. 2018. </w:t>
      </w:r>
    </w:p>
    <w:p>
      <w:pPr>
        <w:pStyle w:val="PadroLTTitel"/>
        <w:spacing w:lineRule="auto" w:line="360"/>
        <w:jc w:val="left"/>
        <w:rPr/>
      </w:pPr>
      <w:r>
        <w:rPr>
          <w:rFonts w:eastAsia="Times New Roman" w:cs="Arial" w:ascii="Arial" w:hAnsi="Arial"/>
          <w:color w:val="000000"/>
          <w:sz w:val="24"/>
          <w:szCs w:val="24"/>
        </w:rPr>
        <w:t xml:space="preserve">ASSAF NETO, Alexandre. </w:t>
      </w:r>
      <w:r>
        <w:rPr>
          <w:rFonts w:eastAsia="Times New Roman" w:cs="Arial" w:ascii="Arial" w:hAnsi="Arial"/>
          <w:b/>
          <w:color w:val="000000"/>
          <w:sz w:val="24"/>
          <w:szCs w:val="24"/>
        </w:rPr>
        <w:t>Mercado Financeiro</w:t>
      </w:r>
      <w:r>
        <w:rPr>
          <w:rFonts w:eastAsia="Times New Roman" w:cs="Arial" w:ascii="Arial" w:hAnsi="Arial"/>
          <w:color w:val="000000"/>
          <w:sz w:val="24"/>
          <w:szCs w:val="24"/>
        </w:rPr>
        <w:t>. 5. ed. São Paulo: Atlas, 2003.</w:t>
      </w:r>
    </w:p>
    <w:p>
      <w:pPr>
        <w:pStyle w:val="PadroLTTitel"/>
        <w:jc w:val="left"/>
        <w:rPr/>
      </w:pPr>
      <w:r>
        <w:rPr>
          <w:rFonts w:eastAsia="Times New Roman" w:cs="Arial" w:ascii="Arial" w:hAnsi="Arial"/>
          <w:color w:val="000000"/>
          <w:sz w:val="24"/>
          <w:szCs w:val="24"/>
        </w:rPr>
        <w:t xml:space="preserve">BANCO CENTRAL DO BRASIL, 2016. </w:t>
      </w:r>
      <w:r>
        <w:rPr>
          <w:rFonts w:eastAsia="Times New Roman" w:cs="Arial" w:ascii="Arial" w:hAnsi="Arial"/>
          <w:b/>
          <w:bCs/>
          <w:color w:val="000000"/>
          <w:sz w:val="24"/>
          <w:szCs w:val="24"/>
        </w:rPr>
        <w:t>Evolução do Sistema Financeiro Nacional</w:t>
      </w:r>
      <w:r>
        <w:rPr>
          <w:rFonts w:eastAsia="Times New Roman" w:cs="Arial" w:ascii="Arial" w:hAnsi="Arial"/>
          <w:color w:val="000000"/>
          <w:sz w:val="24"/>
          <w:szCs w:val="24"/>
        </w:rPr>
        <w:t xml:space="preserve">. Disponível em:&lt; </w:t>
      </w:r>
      <w:hyperlink r:id="rId3">
        <w:r>
          <w:rPr>
            <w:rStyle w:val="LinkdaInternet"/>
            <w:rFonts w:eastAsia="Times New Roman" w:cs="Arial" w:ascii="Arial" w:hAnsi="Arial"/>
            <w:color w:val="000000"/>
            <w:sz w:val="24"/>
            <w:szCs w:val="24"/>
            <w:u w:val="none"/>
          </w:rPr>
          <w:t>http://www.bcb.gov.br/htms/deorf/r199812/texto.asp?</w:t>
          <w:br/>
          <w:t>dpai=revsfn199812</w:t>
        </w:r>
      </w:hyperlink>
      <w:r>
        <w:rPr>
          <w:rFonts w:eastAsia="Times New Roman" w:cs="Arial" w:ascii="Arial" w:hAnsi="Arial"/>
          <w:color w:val="000000"/>
          <w:sz w:val="24"/>
          <w:szCs w:val="24"/>
        </w:rPr>
        <w:t>&gt;. Acesso em 20 nov. 2018.</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pPr>
      <w:r>
        <w:rPr>
          <w:rFonts w:cs="Arial" w:ascii="Arial" w:hAnsi="Arial"/>
          <w:b/>
          <w:sz w:val="24"/>
          <w:szCs w:val="24"/>
        </w:rPr>
        <w:t>B3 (BOLSA DE VALORES)</w:t>
      </w:r>
      <w:r>
        <w:rPr>
          <w:rFonts w:cs="Arial" w:ascii="Arial" w:hAnsi="Arial"/>
          <w:sz w:val="24"/>
          <w:szCs w:val="24"/>
        </w:rPr>
        <w:t>. In: WIKIPÉDIA, a enciclopédia livre. Flórida: Wikimedia Foundation, 2018. Disponível em: &lt;https://pt.wikipedia.org/w/index.php?</w:t>
        <w:br/>
        <w:t>title=B3_(bolsa_de_valores)&amp;oldid=53582708&gt;. Acesso em: 21 nov. 2018.</w:t>
      </w:r>
    </w:p>
    <w:p>
      <w:pPr>
        <w:pStyle w:val="Normal"/>
        <w:spacing w:lineRule="auto" w:line="240" w:before="0" w:after="0"/>
        <w:rPr/>
      </w:pPr>
      <w:bookmarkStart w:id="12" w:name="docs-internal-guid-6086bda8-7fff-1b29-78"/>
      <w:bookmarkEnd w:id="12"/>
      <w:r>
        <w:rPr>
          <w:rFonts w:cs="Arial" w:ascii="Arial" w:hAnsi="Arial"/>
          <w:sz w:val="24"/>
          <w:szCs w:val="24"/>
        </w:rPr>
        <w:br/>
        <w:t>FORTUNA</w:t>
      </w:r>
      <w:r>
        <w:rPr>
          <w:rFonts w:cs="Arial" w:ascii="Arial" w:hAnsi="Arial"/>
          <w:color w:val="111111"/>
          <w:sz w:val="24"/>
          <w:szCs w:val="24"/>
        </w:rPr>
        <w:t xml:space="preserve">, Eduardo. </w:t>
      </w:r>
      <w:r>
        <w:rPr>
          <w:rFonts w:cs="Arial" w:ascii="Arial" w:hAnsi="Arial"/>
          <w:b/>
          <w:bCs/>
          <w:color w:val="111111"/>
          <w:sz w:val="24"/>
          <w:szCs w:val="24"/>
        </w:rPr>
        <w:t>Mercado Financeiro</w:t>
      </w:r>
      <w:r>
        <w:rPr>
          <w:rFonts w:cs="Arial" w:ascii="Arial" w:hAnsi="Arial"/>
          <w:b/>
          <w:color w:val="111111"/>
          <w:sz w:val="24"/>
          <w:szCs w:val="24"/>
        </w:rPr>
        <w:t xml:space="preserve">: </w:t>
      </w:r>
      <w:r>
        <w:rPr>
          <w:rFonts w:cs="Arial" w:ascii="Arial" w:hAnsi="Arial"/>
          <w:color w:val="111111"/>
          <w:sz w:val="24"/>
          <w:szCs w:val="24"/>
        </w:rPr>
        <w:t>Produtos e serviços. Rio de Janeiro: QualityMark, 21ª Edição, 2017.</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b/>
          <w:sz w:val="24"/>
          <w:szCs w:val="24"/>
        </w:rPr>
        <w:t>GERDAU</w:t>
      </w:r>
      <w:r>
        <w:rPr>
          <w:rFonts w:cs="Arial" w:ascii="Arial" w:hAnsi="Arial"/>
          <w:sz w:val="24"/>
          <w:szCs w:val="24"/>
        </w:rPr>
        <w:t>. In: WIKIPÉDIA, a enciclopédia livre. Flórida: Wikimedia Foundation, 2018. Disponível em: &lt;https://pt.wikipedia.org/w/index.php?title=Gerdau&amp;oldid=53050138&gt;. Acesso em: 21 nov. 2018.</w:t>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sz w:val="24"/>
          <w:szCs w:val="24"/>
        </w:rPr>
      </w:pPr>
      <w:r>
        <w:rPr>
          <w:rFonts w:cs="Arial" w:ascii="Arial" w:hAnsi="Arial"/>
          <w:b/>
          <w:sz w:val="24"/>
          <w:szCs w:val="24"/>
        </w:rPr>
        <w:t>ITSA4 - Preço de Ações e Gráfico - Trading View</w:t>
      </w:r>
      <w:r>
        <w:rPr>
          <w:rFonts w:cs="Arial" w:ascii="Arial" w:hAnsi="Arial"/>
          <w:sz w:val="24"/>
          <w:szCs w:val="24"/>
        </w:rPr>
        <w:t xml:space="preserve">. Disponível em: &lt;https://br.tradingview.com/symbols/BMFBOVESPA-ITSA4/&gt;. Acesso em: </w:t>
        <w:br/>
        <w:t xml:space="preserve">21 nov. 2018. </w:t>
      </w:r>
    </w:p>
    <w:p>
      <w:pPr>
        <w:pStyle w:val="Estilo1"/>
        <w:spacing w:lineRule="auto" w:line="240"/>
        <w:rPr>
          <w:b w:val="false"/>
          <w:b w:val="false"/>
        </w:rPr>
      </w:pPr>
      <w:r>
        <w:rPr>
          <w:b w:val="false"/>
        </w:rPr>
        <w:t>MENEZES, Emilio Araújo.</w:t>
      </w:r>
      <w:r>
        <w:rPr/>
        <w:t xml:space="preserve"> Breve história do pensamento teórico em finanças: Mudanças na gestão de negócios e nas finanças corporativas são o caminho para as empresas se manterem competitivas</w:t>
      </w:r>
      <w:r>
        <w:rPr>
          <w:b w:val="false"/>
        </w:rPr>
        <w:t>.</w:t>
      </w:r>
      <w:r>
        <w:rPr/>
        <w:t xml:space="preserve"> </w:t>
      </w:r>
      <w:r>
        <w:rPr>
          <w:b w:val="false"/>
        </w:rPr>
        <w:t>Revista FAE BUSINESS, São Paulo, n.4, p. 48-50, dez. 2002. Disponível em:  &lt;http://img.fae.edu/galeria/getImage/</w:t>
        <w:br/>
        <w:t>1/16578659485854246.pdf&gt;. Acesso em: 21 nov. 2018.</w:t>
      </w:r>
    </w:p>
    <w:p>
      <w:pPr>
        <w:pStyle w:val="Estilo1"/>
        <w:spacing w:lineRule="auto" w:line="240"/>
        <w:rPr/>
      </w:pPr>
      <w:r>
        <w:rPr/>
        <w:t>PETR4 - Preço de Ações e Gráfico - Trading View</w:t>
      </w:r>
      <w:r>
        <w:rPr>
          <w:b w:val="false"/>
        </w:rPr>
        <w:t xml:space="preserve">. Disponível em: &lt;https://br.tradingview.com/symbols/BMFBOVESPA-PETR4/&gt;. Acesso em: </w:t>
        <w:br/>
        <w:t xml:space="preserve">21 nov. 2018. </w:t>
      </w:r>
    </w:p>
    <w:p>
      <w:pPr>
        <w:pStyle w:val="Estilo1"/>
        <w:spacing w:lineRule="auto" w:line="240"/>
        <w:rPr/>
      </w:pPr>
      <w:r>
        <w:rPr>
          <w:b w:val="false"/>
        </w:rPr>
        <w:t xml:space="preserve">SCHORKY, Marco Moises. </w:t>
      </w:r>
      <w:r>
        <w:rPr/>
        <w:t xml:space="preserve">Seleção de carteira através do modelo de Markowitz. </w:t>
      </w:r>
      <w:r>
        <w:rPr>
          <w:b w:val="false"/>
          <w:bCs w:val="false"/>
        </w:rPr>
        <w:t xml:space="preserve">Porto Alegre. </w:t>
      </w:r>
      <w:r>
        <w:rPr/>
        <w:t>Programa de pós-gradução em administração</w:t>
      </w:r>
      <w:r>
        <w:rPr>
          <w:b w:val="false"/>
          <w:bCs w:val="false"/>
        </w:rPr>
        <w:t>. Escola de Administração. Universidade federal do Rio Grande do Sul. 2007. Disponível em: &lt;</w:t>
      </w:r>
      <w:r>
        <w:rPr>
          <w:rStyle w:val="LinkdaInternet"/>
          <w:b w:val="false"/>
          <w:bCs w:val="false"/>
          <w:color w:val="auto"/>
          <w:u w:val="none"/>
        </w:rPr>
        <w:t>https://www.lume.ufrgs.br/bitstream/handle/10183/103194/000590336.pdf?sequenc</w:t>
      </w:r>
      <w:r>
        <w:rPr>
          <w:b w:val="false"/>
          <w:bCs w:val="false"/>
        </w:rPr>
        <w:t>&gt;. Acesso em 20 nov.</w:t>
      </w:r>
      <w:bookmarkStart w:id="13" w:name="_GoBack"/>
      <w:bookmarkEnd w:id="13"/>
      <w:r>
        <w:rPr>
          <w:b w:val="false"/>
          <w:bCs w:val="false"/>
        </w:rPr>
        <w:t xml:space="preserve"> 2018.</w:t>
      </w:r>
    </w:p>
    <w:p>
      <w:pPr>
        <w:pStyle w:val="Normal"/>
        <w:spacing w:lineRule="auto" w:line="240" w:before="0" w:after="0"/>
        <w:rPr/>
      </w:pPr>
      <w:r>
        <w:rPr>
          <w:rFonts w:cs="Arial" w:ascii="Arial" w:hAnsi="Arial"/>
          <w:b/>
          <w:color w:val="222222"/>
          <w:sz w:val="24"/>
          <w:szCs w:val="24"/>
        </w:rPr>
        <w:br/>
        <w:t>SUZANO PAPEL E CELULOSE</w:t>
      </w:r>
      <w:r>
        <w:rPr>
          <w:rFonts w:cs="Arial" w:ascii="Arial" w:hAnsi="Arial"/>
          <w:color w:val="222222"/>
          <w:sz w:val="24"/>
          <w:szCs w:val="24"/>
        </w:rPr>
        <w:t xml:space="preserve">. Institucional - Perfil. Disponível em: </w:t>
      </w:r>
      <w:r>
        <w:rPr>
          <w:rFonts w:cs="Arial" w:ascii="Arial" w:hAnsi="Arial"/>
          <w:color w:val="000000" w:themeColor="text1"/>
          <w:sz w:val="24"/>
          <w:szCs w:val="24"/>
        </w:rPr>
        <w:t>&lt;http://www.</w:t>
        <w:br/>
        <w:t>suzano.com.br/institucional/perfil/&gt;. Acesso em: 21 nov. 2018.</w:t>
      </w:r>
    </w:p>
    <w:p>
      <w:pPr>
        <w:pStyle w:val="Normal"/>
        <w:spacing w:lineRule="auto" w:line="240"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40" w:before="0" w:after="0"/>
        <w:rPr/>
      </w:pPr>
      <w:r>
        <w:rPr>
          <w:rFonts w:cs="Arial" w:ascii="Arial" w:hAnsi="Arial"/>
          <w:color w:val="000000" w:themeColor="text1"/>
          <w:sz w:val="24"/>
          <w:szCs w:val="24"/>
        </w:rPr>
        <w:t>WELLISCH</w:t>
      </w:r>
      <w:r>
        <w:rPr>
          <w:rFonts w:cs="Arial" w:ascii="Arial" w:hAnsi="Arial"/>
          <w:color w:val="111111"/>
          <w:sz w:val="24"/>
          <w:szCs w:val="24"/>
        </w:rPr>
        <w:t xml:space="preserve">, Julya Sotto Mayor. </w:t>
      </w:r>
      <w:r>
        <w:rPr>
          <w:rFonts w:cs="Arial" w:ascii="Arial" w:hAnsi="Arial"/>
          <w:b/>
          <w:bCs/>
          <w:color w:val="111111"/>
          <w:sz w:val="24"/>
          <w:szCs w:val="24"/>
        </w:rPr>
        <w:t>Mercado de Capitais</w:t>
      </w:r>
      <w:r>
        <w:rPr>
          <w:rFonts w:cs="Arial" w:ascii="Arial" w:hAnsi="Arial"/>
          <w:b/>
          <w:color w:val="111111"/>
          <w:sz w:val="24"/>
          <w:szCs w:val="24"/>
        </w:rPr>
        <w:t xml:space="preserve">: </w:t>
      </w:r>
      <w:r>
        <w:rPr>
          <w:rFonts w:cs="Arial" w:ascii="Arial" w:hAnsi="Arial"/>
          <w:color w:val="111111"/>
          <w:sz w:val="24"/>
          <w:szCs w:val="24"/>
        </w:rPr>
        <w:t>Fundamentos e Desafios. Rio de Janeiro: Quartier Latin, 1ª Edição, 2018.</w:t>
      </w:r>
      <w:r>
        <w:rPr>
          <w:rFonts w:cs="Arial" w:ascii="Arial" w:hAnsi="Arial"/>
          <w:color w:val="000000" w:themeColor="text1"/>
          <w:sz w:val="24"/>
          <w:szCs w:val="24"/>
        </w:rPr>
        <w:t xml:space="preserve"> </w:t>
      </w:r>
    </w:p>
    <w:sectPr>
      <w:headerReference w:type="even" r:id="rId4"/>
      <w:headerReference w:type="default" r:id="rId5"/>
      <w:footnotePr>
        <w:numFmt w:val="decimal"/>
      </w:footnotePr>
      <w:type w:val="nextPage"/>
      <w:pgSz w:w="11906" w:h="16838"/>
      <w:pgMar w:left="1701" w:right="1134" w:header="1134" w:top="1672"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DejaVu Sans">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pPr>
      <w:r>
        <w:rPr>
          <w:rStyle w:val="Caracteresdenotaderodap"/>
        </w:rPr>
        <w:footnoteRef/>
      </w:r>
      <w:r>
        <w:rPr>
          <w:rStyle w:val="Caracteresdenotaderodap"/>
          <w:rFonts w:cs="Arial" w:ascii="Arial" w:hAnsi="Arial"/>
          <w:vertAlign w:val="superscript"/>
        </w:rPr>
        <w:tab/>
      </w:r>
      <w:r>
        <w:rPr>
          <w:rFonts w:cs="Arial" w:ascii="Arial" w:hAnsi="Arial"/>
          <w:b/>
        </w:rPr>
        <w:t xml:space="preserve"> </w:t>
      </w:r>
      <w:r>
        <w:rPr>
          <w:rFonts w:cs="Arial" w:ascii="Arial" w:hAnsi="Arial"/>
          <w:b/>
        </w:rPr>
        <w:t>Fusão entre BM&amp;FBovespa e Cetip cria a B3, 5ª maior bolsa de valores do mundo</w:t>
      </w:r>
      <w:r>
        <w:rPr>
          <w:rFonts w:cs="Arial" w:ascii="Arial" w:hAnsi="Arial"/>
        </w:rPr>
        <w:t>. EBC. Agência Brasil - Últimas notícias do Brasil e do mundo. Disponível em: &lt; http://agenciabrasil.ebc.</w:t>
        <w:br/>
        <w:t>com.br/economia/noticia/2017-03/fusao-entre-bmfbovespa-e-cetip-cria-b3-5a-maior-bolsa-de-valores-do-mundo&gt;. Acesso em: 21 nov. 2018.</w:t>
      </w:r>
    </w:p>
  </w:footnote>
  <w:footnote w:id="3">
    <w:p>
      <w:pPr>
        <w:pStyle w:val="Normal"/>
        <w:spacing w:lineRule="auto" w:line="240" w:before="0" w:after="0"/>
        <w:rPr>
          <w:rFonts w:ascii="Arial" w:hAnsi="Arial" w:cs="Arial"/>
          <w:sz w:val="20"/>
          <w:szCs w:val="20"/>
        </w:rPr>
      </w:pPr>
      <w:r>
        <w:rPr>
          <w:rStyle w:val="Caracteresdenotaderodap"/>
        </w:rPr>
        <w:footnoteRef/>
      </w:r>
      <w:r>
        <w:rPr>
          <w:rStyle w:val="Caracteresdenotaderodap"/>
          <w:rFonts w:cs="Arial" w:ascii="Arial" w:hAnsi="Arial"/>
          <w:sz w:val="20"/>
          <w:szCs w:val="20"/>
          <w:vertAlign w:val="superscript"/>
        </w:rPr>
        <w:tab/>
        <w:t xml:space="preserve"> </w:t>
      </w:r>
      <w:r>
        <w:rPr>
          <w:rFonts w:cs="Arial" w:ascii="Arial" w:hAnsi="Arial"/>
          <w:b/>
          <w:sz w:val="20"/>
          <w:szCs w:val="20"/>
        </w:rPr>
        <w:t>GERDAU</w:t>
      </w:r>
      <w:r>
        <w:rPr>
          <w:rFonts w:cs="Arial" w:ascii="Arial" w:hAnsi="Arial"/>
          <w:sz w:val="20"/>
          <w:szCs w:val="20"/>
        </w:rPr>
        <w:t>. In: WIKIPÉDIA, a enciclopédia livre. Flórida: Wikimedia Foundation, 2018. Disponível em: &lt;https://pt.wikipedia.org/w/index.php?title=Gerdau&amp;oldid=53050138&gt;. Acesso em: 21 nov. 2018.</w:t>
      </w:r>
    </w:p>
    <w:p>
      <w:pPr>
        <w:pStyle w:val="Notaderodap"/>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1"/>
      <w:rPr>
        <w:rFonts w:ascii="Arial" w:hAnsi="Arial" w:cs="Arial"/>
        <w:sz w:val="24"/>
        <w:szCs w:val="24"/>
      </w:rPr>
    </w:pPr>
    <w:r>
      <w:rPr/>
      <w:fldChar w:fldCharType="begin"/>
    </w:r>
    <w:r>
      <w:rPr/>
      <w:instrText> PAGE </w:instrText>
    </w:r>
    <w:r>
      <w:rPr/>
      <w:fldChar w:fldCharType="separate"/>
    </w:r>
    <w:r>
      <w:rPr/>
      <w:t>14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1"/>
      <w:jc w:val="right"/>
      <w:rPr>
        <w:rFonts w:ascii="Arial" w:hAnsi="Arial" w:cs="Arial"/>
        <w:sz w:val="24"/>
        <w:szCs w:val="24"/>
      </w:rPr>
    </w:pPr>
    <w:r>
      <w:rPr/>
      <w:fldChar w:fldCharType="begin"/>
    </w:r>
    <w:r>
      <w:rPr/>
      <w:instrText> PAGE </w:instrText>
    </w:r>
    <w:r>
      <w:rPr/>
      <w:fldChar w:fldCharType="separate"/>
    </w:r>
    <w:r>
      <w:rPr/>
      <w:t>15</w:t>
    </w:r>
    <w:r>
      <w:rPr/>
      <w:fldChar w:fldCharType="end"/>
    </w:r>
  </w:p>
  <w:p>
    <w:pPr>
      <w:pStyle w:val="Cabealho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4"/>
        <w:rFonts w:ascii="Arial" w:hAnsi="Arial" w:eastAsia="Calibri"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evenAndOddHeaders/>
  <w:footnotePr>
    <w:numFmt w:val="decimal"/>
    <w:footnote w:id="0"/>
    <w:footnote w:id="1"/>
  </w:footnotePr>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Number" w:unhideWhenUsed="0"/>
    <w:lsdException w:name="List 4" w:unhideWhenUsed="0"/>
    <w:lsdException w:name="List 5" w:unhideWhenUsed="0"/>
    <w:lsdException w:name="Title" w:uiPriority="10" w:semiHidden="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uiPriority="22" w:semiHidden="0" w:unhideWhenUsed="0" w:qFormat="1"/>
    <w:lsdException w:name="Emphasis" w:uiPriority="20" w:semiHidden="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semiHidden/>
    <w:qFormat/>
    <w:rsid w:val="00325d4c"/>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paragraph" w:styleId="Ttulo1">
    <w:name w:val="Heading 1"/>
    <w:basedOn w:val="Normal"/>
    <w:next w:val="Normal"/>
    <w:link w:val="Ttulo1Char1"/>
    <w:qFormat/>
    <w:rsid w:val="00271366"/>
    <w:pPr>
      <w:keepNext w:val="true"/>
      <w:keepLines/>
      <w:spacing w:before="240" w:after="0"/>
      <w:outlineLvl w:val="0"/>
    </w:pPr>
    <w:rPr>
      <w:rFonts w:ascii="Arial" w:hAnsi="Arial" w:eastAsia="" w:cs="" w:cstheme="majorBidi" w:eastAsiaTheme="majorEastAsia"/>
      <w:b/>
      <w:sz w:val="24"/>
      <w:szCs w:val="32"/>
    </w:rPr>
  </w:style>
  <w:style w:type="character" w:styleId="DefaultParagraphFont" w:default="1">
    <w:name w:val="Default Paragraph Font"/>
    <w:uiPriority w:val="1"/>
    <w:semiHidden/>
    <w:unhideWhenUsed/>
    <w:qFormat/>
    <w:rPr/>
  </w:style>
  <w:style w:type="character" w:styleId="Appletabspan" w:customStyle="1">
    <w:name w:val="apple-tab-span"/>
    <w:basedOn w:val="DefaultParagraphFont"/>
    <w:semiHidden/>
    <w:qFormat/>
    <w:rsid w:val="00134ad8"/>
    <w:rPr/>
  </w:style>
  <w:style w:type="character" w:styleId="CabealhoChar" w:customStyle="1">
    <w:name w:val="Cabeçalho Char"/>
    <w:basedOn w:val="DefaultParagraphFont"/>
    <w:link w:val="Cabealho1"/>
    <w:semiHidden/>
    <w:qFormat/>
    <w:rsid w:val="00325d4c"/>
    <w:rPr/>
  </w:style>
  <w:style w:type="character" w:styleId="RodapChar" w:customStyle="1">
    <w:name w:val="Rodapé Char"/>
    <w:basedOn w:val="DefaultParagraphFont"/>
    <w:link w:val="Rodap1"/>
    <w:uiPriority w:val="99"/>
    <w:semiHidden/>
    <w:qFormat/>
    <w:rsid w:val="00325d4c"/>
    <w:rPr/>
  </w:style>
  <w:style w:type="character" w:styleId="Ttulo1Char" w:customStyle="1">
    <w:name w:val="Título 1 Char"/>
    <w:link w:val="Ttulo11"/>
    <w:semiHidden/>
    <w:qFormat/>
    <w:rsid w:val="00325d4c"/>
    <w:rPr>
      <w:rFonts w:ascii="Times New Roman" w:hAnsi="Times New Roman" w:eastAsia="Times New Roman" w:cs="Times New Roman"/>
      <w:b/>
      <w:sz w:val="24"/>
      <w:szCs w:val="24"/>
      <w:lang w:eastAsia="pt-BR"/>
    </w:rPr>
  </w:style>
  <w:style w:type="character" w:styleId="TextodebaloChar" w:customStyle="1">
    <w:name w:val="Texto de balão Char"/>
    <w:link w:val="Textodebalo"/>
    <w:uiPriority w:val="99"/>
    <w:semiHidden/>
    <w:qFormat/>
    <w:rsid w:val="00325d4c"/>
    <w:rPr>
      <w:rFonts w:ascii="Tahoma" w:hAnsi="Tahoma" w:cs="Tahoma"/>
      <w:sz w:val="16"/>
      <w:szCs w:val="16"/>
    </w:rPr>
  </w:style>
  <w:style w:type="character" w:styleId="TextodenotaderodapChar" w:customStyle="1">
    <w:name w:val="Texto de nota de rodapé Char"/>
    <w:link w:val="Textodenotaderodap1"/>
    <w:uiPriority w:val="99"/>
    <w:semiHidden/>
    <w:qFormat/>
    <w:rsid w:val="00325d4c"/>
    <w:rPr>
      <w:sz w:val="20"/>
      <w:szCs w:val="20"/>
    </w:rPr>
  </w:style>
  <w:style w:type="character" w:styleId="Ncoradanotaderodap" w:customStyle="1">
    <w:name w:val="Âncora da nota de rodapé"/>
    <w:rsid w:val="008d7f78"/>
    <w:rPr>
      <w:vertAlign w:val="superscript"/>
    </w:rPr>
  </w:style>
  <w:style w:type="character" w:styleId="FootnoteCharacters" w:customStyle="1">
    <w:name w:val="Footnote Characters"/>
    <w:basedOn w:val="DefaultParagraphFont"/>
    <w:semiHidden/>
    <w:unhideWhenUsed/>
    <w:qFormat/>
    <w:rsid w:val="00a835e6"/>
    <w:rPr>
      <w:vertAlign w:val="superscript"/>
    </w:rPr>
  </w:style>
  <w:style w:type="character" w:styleId="LinkdaInternet">
    <w:name w:val="Link da Internet"/>
    <w:basedOn w:val="DefaultParagraphFont"/>
    <w:uiPriority w:val="99"/>
    <w:unhideWhenUsed/>
    <w:rsid w:val="00cf675e"/>
    <w:rPr>
      <w:color w:val="0000FF" w:themeColor="hyperlink"/>
      <w:u w:val="single"/>
    </w:rPr>
  </w:style>
  <w:style w:type="character" w:styleId="Appleconvertedspace" w:customStyle="1">
    <w:name w:val="apple-converted-space"/>
    <w:basedOn w:val="DefaultParagraphFont"/>
    <w:semiHidden/>
    <w:qFormat/>
    <w:rsid w:val="009629ea"/>
    <w:rPr/>
  </w:style>
  <w:style w:type="character" w:styleId="Nfase">
    <w:name w:val="Ênfase"/>
    <w:uiPriority w:val="20"/>
    <w:semiHidden/>
    <w:qFormat/>
    <w:rsid w:val="009629ea"/>
    <w:rPr>
      <w:i/>
      <w:iCs/>
    </w:rPr>
  </w:style>
  <w:style w:type="character" w:styleId="TextodenotadefimChar" w:customStyle="1">
    <w:name w:val="Texto de nota de fim Char"/>
    <w:link w:val="Textodenotadefim1"/>
    <w:uiPriority w:val="99"/>
    <w:semiHidden/>
    <w:qFormat/>
    <w:rsid w:val="00325d4c"/>
    <w:rPr>
      <w:sz w:val="20"/>
      <w:szCs w:val="20"/>
    </w:rPr>
  </w:style>
  <w:style w:type="character" w:styleId="Ncoradanotadefim" w:customStyle="1">
    <w:name w:val="Âncora da nota de fim"/>
    <w:rsid w:val="008d7f78"/>
    <w:rPr>
      <w:vertAlign w:val="superscript"/>
    </w:rPr>
  </w:style>
  <w:style w:type="character" w:styleId="EndnoteCharacters" w:customStyle="1">
    <w:name w:val="Endnote Characters"/>
    <w:uiPriority w:val="99"/>
    <w:semiHidden/>
    <w:qFormat/>
    <w:rsid w:val="00dd657c"/>
    <w:rPr>
      <w:vertAlign w:val="superscript"/>
    </w:rPr>
  </w:style>
  <w:style w:type="character" w:styleId="CorpodetextoChar" w:customStyle="1">
    <w:name w:val="Corpo de texto Char"/>
    <w:link w:val="Corpodetexto"/>
    <w:semiHidden/>
    <w:qFormat/>
    <w:rsid w:val="00325d4c"/>
    <w:rPr>
      <w:rFonts w:ascii="Times New Roman" w:hAnsi="Times New Roman" w:eastAsia="Times New Roman" w:cs="Times New Roman"/>
      <w:sz w:val="26"/>
      <w:szCs w:val="20"/>
      <w:lang w:eastAsia="pt-BR"/>
    </w:rPr>
  </w:style>
  <w:style w:type="character" w:styleId="PlaceholderText">
    <w:name w:val="Placeholder Text"/>
    <w:uiPriority w:val="99"/>
    <w:semiHidden/>
    <w:qFormat/>
    <w:rsid w:val="0068024c"/>
    <w:rPr>
      <w:color w:val="808080"/>
    </w:rPr>
  </w:style>
  <w:style w:type="character" w:styleId="Ttulo2Char" w:customStyle="1">
    <w:name w:val="Título 2 Char"/>
    <w:link w:val="Ttulo21"/>
    <w:uiPriority w:val="9"/>
    <w:semiHidden/>
    <w:qFormat/>
    <w:rsid w:val="008f7b9e"/>
    <w:rPr>
      <w:rFonts w:ascii="Cambria" w:hAnsi="Cambria" w:eastAsia="Times New Roman" w:cs="Times New Roman"/>
      <w:b/>
      <w:bCs/>
      <w:color w:val="4F81BD"/>
      <w:sz w:val="26"/>
      <w:szCs w:val="26"/>
    </w:rPr>
  </w:style>
  <w:style w:type="character" w:styleId="Ttulo3Char" w:customStyle="1">
    <w:name w:val="Título 3 Char"/>
    <w:link w:val="Ttulo31"/>
    <w:uiPriority w:val="9"/>
    <w:semiHidden/>
    <w:qFormat/>
    <w:rsid w:val="008f7b9e"/>
    <w:rPr>
      <w:rFonts w:ascii="Cambria" w:hAnsi="Cambria" w:eastAsia="Times New Roman" w:cs="Times New Roman"/>
      <w:b/>
      <w:bCs/>
      <w:color w:val="4F81BD"/>
    </w:rPr>
  </w:style>
  <w:style w:type="character" w:styleId="ListLabel1" w:customStyle="1">
    <w:name w:val="ListLabel 1"/>
    <w:qFormat/>
    <w:rsid w:val="008d7f78"/>
    <w:rPr>
      <w:sz w:val="20"/>
    </w:rPr>
  </w:style>
  <w:style w:type="character" w:styleId="ListLabel2" w:customStyle="1">
    <w:name w:val="ListLabel 2"/>
    <w:qFormat/>
    <w:rsid w:val="008d7f78"/>
    <w:rPr>
      <w:sz w:val="20"/>
    </w:rPr>
  </w:style>
  <w:style w:type="character" w:styleId="ListLabel3" w:customStyle="1">
    <w:name w:val="ListLabel 3"/>
    <w:qFormat/>
    <w:rsid w:val="008d7f78"/>
    <w:rPr>
      <w:sz w:val="20"/>
    </w:rPr>
  </w:style>
  <w:style w:type="character" w:styleId="ListLabel4" w:customStyle="1">
    <w:name w:val="ListLabel 4"/>
    <w:qFormat/>
    <w:rsid w:val="008d7f78"/>
    <w:rPr>
      <w:sz w:val="20"/>
    </w:rPr>
  </w:style>
  <w:style w:type="character" w:styleId="ListLabel5" w:customStyle="1">
    <w:name w:val="ListLabel 5"/>
    <w:qFormat/>
    <w:rsid w:val="008d7f78"/>
    <w:rPr>
      <w:sz w:val="20"/>
    </w:rPr>
  </w:style>
  <w:style w:type="character" w:styleId="ListLabel6" w:customStyle="1">
    <w:name w:val="ListLabel 6"/>
    <w:qFormat/>
    <w:rsid w:val="008d7f78"/>
    <w:rPr>
      <w:sz w:val="20"/>
    </w:rPr>
  </w:style>
  <w:style w:type="character" w:styleId="ListLabel7" w:customStyle="1">
    <w:name w:val="ListLabel 7"/>
    <w:qFormat/>
    <w:rsid w:val="008d7f78"/>
    <w:rPr>
      <w:sz w:val="20"/>
    </w:rPr>
  </w:style>
  <w:style w:type="character" w:styleId="ListLabel8" w:customStyle="1">
    <w:name w:val="ListLabel 8"/>
    <w:qFormat/>
    <w:rsid w:val="008d7f78"/>
    <w:rPr>
      <w:sz w:val="20"/>
    </w:rPr>
  </w:style>
  <w:style w:type="character" w:styleId="ListLabel9" w:customStyle="1">
    <w:name w:val="ListLabel 9"/>
    <w:qFormat/>
    <w:rsid w:val="008d7f78"/>
    <w:rPr>
      <w:sz w:val="20"/>
    </w:rPr>
  </w:style>
  <w:style w:type="character" w:styleId="ListLabel10" w:customStyle="1">
    <w:name w:val="ListLabel 10"/>
    <w:qFormat/>
    <w:rsid w:val="008d7f78"/>
    <w:rPr>
      <w:sz w:val="20"/>
    </w:rPr>
  </w:style>
  <w:style w:type="character" w:styleId="ListLabel11" w:customStyle="1">
    <w:name w:val="ListLabel 11"/>
    <w:qFormat/>
    <w:rsid w:val="008d7f78"/>
    <w:rPr>
      <w:sz w:val="20"/>
    </w:rPr>
  </w:style>
  <w:style w:type="character" w:styleId="ListLabel12" w:customStyle="1">
    <w:name w:val="ListLabel 12"/>
    <w:qFormat/>
    <w:rsid w:val="008d7f78"/>
    <w:rPr>
      <w:sz w:val="20"/>
    </w:rPr>
  </w:style>
  <w:style w:type="character" w:styleId="ListLabel13" w:customStyle="1">
    <w:name w:val="ListLabel 13"/>
    <w:qFormat/>
    <w:rsid w:val="008d7f78"/>
    <w:rPr>
      <w:sz w:val="20"/>
    </w:rPr>
  </w:style>
  <w:style w:type="character" w:styleId="ListLabel14" w:customStyle="1">
    <w:name w:val="ListLabel 14"/>
    <w:qFormat/>
    <w:rsid w:val="008d7f78"/>
    <w:rPr>
      <w:sz w:val="20"/>
    </w:rPr>
  </w:style>
  <w:style w:type="character" w:styleId="ListLabel15" w:customStyle="1">
    <w:name w:val="ListLabel 15"/>
    <w:qFormat/>
    <w:rsid w:val="008d7f78"/>
    <w:rPr>
      <w:sz w:val="20"/>
    </w:rPr>
  </w:style>
  <w:style w:type="character" w:styleId="ListLabel16" w:customStyle="1">
    <w:name w:val="ListLabel 16"/>
    <w:qFormat/>
    <w:rsid w:val="008d7f78"/>
    <w:rPr>
      <w:sz w:val="20"/>
    </w:rPr>
  </w:style>
  <w:style w:type="character" w:styleId="ListLabel17" w:customStyle="1">
    <w:name w:val="ListLabel 17"/>
    <w:qFormat/>
    <w:rsid w:val="008d7f78"/>
    <w:rPr>
      <w:sz w:val="20"/>
    </w:rPr>
  </w:style>
  <w:style w:type="character" w:styleId="ListLabel18" w:customStyle="1">
    <w:name w:val="ListLabel 18"/>
    <w:qFormat/>
    <w:rsid w:val="008d7f78"/>
    <w:rPr>
      <w:sz w:val="20"/>
    </w:rPr>
  </w:style>
  <w:style w:type="character" w:styleId="ListLabel19" w:customStyle="1">
    <w:name w:val="ListLabel 19"/>
    <w:qFormat/>
    <w:rsid w:val="008d7f78"/>
    <w:rPr>
      <w:sz w:val="20"/>
    </w:rPr>
  </w:style>
  <w:style w:type="character" w:styleId="ListLabel20" w:customStyle="1">
    <w:name w:val="ListLabel 20"/>
    <w:qFormat/>
    <w:rsid w:val="008d7f78"/>
    <w:rPr>
      <w:sz w:val="20"/>
    </w:rPr>
  </w:style>
  <w:style w:type="character" w:styleId="ListLabel21" w:customStyle="1">
    <w:name w:val="ListLabel 21"/>
    <w:qFormat/>
    <w:rsid w:val="008d7f78"/>
    <w:rPr>
      <w:sz w:val="20"/>
    </w:rPr>
  </w:style>
  <w:style w:type="character" w:styleId="ListLabel22" w:customStyle="1">
    <w:name w:val="ListLabel 22"/>
    <w:qFormat/>
    <w:rsid w:val="008d7f78"/>
    <w:rPr>
      <w:sz w:val="20"/>
    </w:rPr>
  </w:style>
  <w:style w:type="character" w:styleId="ListLabel23" w:customStyle="1">
    <w:name w:val="ListLabel 23"/>
    <w:qFormat/>
    <w:rsid w:val="008d7f78"/>
    <w:rPr>
      <w:sz w:val="20"/>
    </w:rPr>
  </w:style>
  <w:style w:type="character" w:styleId="ListLabel24" w:customStyle="1">
    <w:name w:val="ListLabel 24"/>
    <w:qFormat/>
    <w:rsid w:val="008d7f78"/>
    <w:rPr>
      <w:sz w:val="20"/>
    </w:rPr>
  </w:style>
  <w:style w:type="character" w:styleId="ListLabel25" w:customStyle="1">
    <w:name w:val="ListLabel 25"/>
    <w:qFormat/>
    <w:rsid w:val="008d7f78"/>
    <w:rPr>
      <w:sz w:val="20"/>
    </w:rPr>
  </w:style>
  <w:style w:type="character" w:styleId="ListLabel26" w:customStyle="1">
    <w:name w:val="ListLabel 26"/>
    <w:qFormat/>
    <w:rsid w:val="008d7f78"/>
    <w:rPr>
      <w:sz w:val="20"/>
    </w:rPr>
  </w:style>
  <w:style w:type="character" w:styleId="ListLabel27" w:customStyle="1">
    <w:name w:val="ListLabel 27"/>
    <w:qFormat/>
    <w:rsid w:val="008d7f78"/>
    <w:rPr>
      <w:sz w:val="20"/>
    </w:rPr>
  </w:style>
  <w:style w:type="character" w:styleId="ListLabel28" w:customStyle="1">
    <w:name w:val="ListLabel 28"/>
    <w:qFormat/>
    <w:rsid w:val="008d7f78"/>
    <w:rPr>
      <w:rFonts w:cs="Courier New"/>
    </w:rPr>
  </w:style>
  <w:style w:type="character" w:styleId="ListLabel29" w:customStyle="1">
    <w:name w:val="ListLabel 29"/>
    <w:qFormat/>
    <w:rsid w:val="008d7f78"/>
    <w:rPr>
      <w:rFonts w:cs="Courier New"/>
    </w:rPr>
  </w:style>
  <w:style w:type="character" w:styleId="ListLabel30" w:customStyle="1">
    <w:name w:val="ListLabel 30"/>
    <w:qFormat/>
    <w:rsid w:val="008d7f78"/>
    <w:rPr>
      <w:rFonts w:cs="Courier New"/>
    </w:rPr>
  </w:style>
  <w:style w:type="character" w:styleId="ListLabel31" w:customStyle="1">
    <w:name w:val="ListLabel 31"/>
    <w:qFormat/>
    <w:rsid w:val="008d7f78"/>
    <w:rPr>
      <w:sz w:val="20"/>
    </w:rPr>
  </w:style>
  <w:style w:type="character" w:styleId="ListLabel32" w:customStyle="1">
    <w:name w:val="ListLabel 32"/>
    <w:qFormat/>
    <w:rsid w:val="008d7f78"/>
    <w:rPr>
      <w:sz w:val="20"/>
    </w:rPr>
  </w:style>
  <w:style w:type="character" w:styleId="ListLabel33" w:customStyle="1">
    <w:name w:val="ListLabel 33"/>
    <w:qFormat/>
    <w:rsid w:val="008d7f78"/>
    <w:rPr>
      <w:sz w:val="20"/>
    </w:rPr>
  </w:style>
  <w:style w:type="character" w:styleId="ListLabel34" w:customStyle="1">
    <w:name w:val="ListLabel 34"/>
    <w:qFormat/>
    <w:rsid w:val="008d7f78"/>
    <w:rPr>
      <w:sz w:val="20"/>
    </w:rPr>
  </w:style>
  <w:style w:type="character" w:styleId="ListLabel35" w:customStyle="1">
    <w:name w:val="ListLabel 35"/>
    <w:qFormat/>
    <w:rsid w:val="008d7f78"/>
    <w:rPr>
      <w:sz w:val="20"/>
    </w:rPr>
  </w:style>
  <w:style w:type="character" w:styleId="ListLabel36" w:customStyle="1">
    <w:name w:val="ListLabel 36"/>
    <w:qFormat/>
    <w:rsid w:val="008d7f78"/>
    <w:rPr>
      <w:sz w:val="20"/>
    </w:rPr>
  </w:style>
  <w:style w:type="character" w:styleId="ListLabel37" w:customStyle="1">
    <w:name w:val="ListLabel 37"/>
    <w:qFormat/>
    <w:rsid w:val="008d7f78"/>
    <w:rPr>
      <w:sz w:val="20"/>
    </w:rPr>
  </w:style>
  <w:style w:type="character" w:styleId="ListLabel38" w:customStyle="1">
    <w:name w:val="ListLabel 38"/>
    <w:qFormat/>
    <w:rsid w:val="008d7f78"/>
    <w:rPr>
      <w:sz w:val="20"/>
    </w:rPr>
  </w:style>
  <w:style w:type="character" w:styleId="ListLabel39" w:customStyle="1">
    <w:name w:val="ListLabel 39"/>
    <w:qFormat/>
    <w:rsid w:val="008d7f78"/>
    <w:rPr>
      <w:sz w:val="20"/>
    </w:rPr>
  </w:style>
  <w:style w:type="character" w:styleId="ListLabel40" w:customStyle="1">
    <w:name w:val="ListLabel 40"/>
    <w:qFormat/>
    <w:rsid w:val="008d7f78"/>
    <w:rPr>
      <w:rFonts w:cs="Courier New"/>
    </w:rPr>
  </w:style>
  <w:style w:type="character" w:styleId="ListLabel41" w:customStyle="1">
    <w:name w:val="ListLabel 41"/>
    <w:qFormat/>
    <w:rsid w:val="008d7f78"/>
    <w:rPr>
      <w:rFonts w:cs="Courier New"/>
    </w:rPr>
  </w:style>
  <w:style w:type="character" w:styleId="ListLabel42" w:customStyle="1">
    <w:name w:val="ListLabel 42"/>
    <w:qFormat/>
    <w:rsid w:val="008d7f78"/>
    <w:rPr>
      <w:rFonts w:cs="Courier New"/>
    </w:rPr>
  </w:style>
  <w:style w:type="character" w:styleId="ListLabel43" w:customStyle="1">
    <w:name w:val="ListLabel 43"/>
    <w:qFormat/>
    <w:rsid w:val="008d7f78"/>
    <w:rPr>
      <w:rFonts w:cs="Courier New"/>
    </w:rPr>
  </w:style>
  <w:style w:type="character" w:styleId="ListLabel44" w:customStyle="1">
    <w:name w:val="ListLabel 44"/>
    <w:qFormat/>
    <w:rsid w:val="008d7f78"/>
    <w:rPr>
      <w:rFonts w:cs="Courier New"/>
    </w:rPr>
  </w:style>
  <w:style w:type="character" w:styleId="ListLabel45" w:customStyle="1">
    <w:name w:val="ListLabel 45"/>
    <w:qFormat/>
    <w:rsid w:val="008d7f78"/>
    <w:rPr>
      <w:rFonts w:cs="Courier New"/>
    </w:rPr>
  </w:style>
  <w:style w:type="character" w:styleId="Vnculodendice" w:customStyle="1">
    <w:name w:val="Vínculo de índice"/>
    <w:qFormat/>
    <w:rsid w:val="008d7f78"/>
    <w:rPr/>
  </w:style>
  <w:style w:type="character" w:styleId="TextodenotaderodapChar1" w:customStyle="1">
    <w:name w:val="Texto de nota de rodapé Char1"/>
    <w:basedOn w:val="DefaultParagraphFont"/>
    <w:link w:val="Textodenotaderodap"/>
    <w:semiHidden/>
    <w:qFormat/>
    <w:rsid w:val="00a835e6"/>
    <w:rPr>
      <w:lang w:eastAsia="en-US"/>
    </w:rPr>
  </w:style>
  <w:style w:type="character" w:styleId="CabealhoChar1" w:customStyle="1">
    <w:name w:val="Cabeçalho Char1"/>
    <w:basedOn w:val="DefaultParagraphFont"/>
    <w:link w:val="Cabealho"/>
    <w:semiHidden/>
    <w:qFormat/>
    <w:rsid w:val="003352f7"/>
    <w:rPr>
      <w:sz w:val="22"/>
      <w:szCs w:val="22"/>
      <w:lang w:eastAsia="en-US"/>
    </w:rPr>
  </w:style>
  <w:style w:type="character" w:styleId="RodapChar1" w:customStyle="1">
    <w:name w:val="Rodapé Char1"/>
    <w:basedOn w:val="DefaultParagraphFont"/>
    <w:link w:val="Rodap"/>
    <w:uiPriority w:val="99"/>
    <w:semiHidden/>
    <w:qFormat/>
    <w:rsid w:val="003352f7"/>
    <w:rPr>
      <w:sz w:val="22"/>
      <w:szCs w:val="22"/>
      <w:lang w:eastAsia="en-US"/>
    </w:rPr>
  </w:style>
  <w:style w:type="character" w:styleId="Titulo3Char" w:customStyle="1">
    <w:name w:val="titulo 3 Char"/>
    <w:qFormat/>
    <w:rsid w:val="00b7013f"/>
    <w:rPr>
      <w:rFonts w:ascii="Arial" w:hAnsi="Arial"/>
      <w:i/>
      <w:sz w:val="24"/>
    </w:rPr>
  </w:style>
  <w:style w:type="character" w:styleId="PargrafodaListaChar" w:customStyle="1">
    <w:name w:val="Parágrafo da Lista Char"/>
    <w:basedOn w:val="DefaultParagraphFont"/>
    <w:link w:val="PargrafodaLista"/>
    <w:uiPriority w:val="34"/>
    <w:qFormat/>
    <w:rsid w:val="00ac3895"/>
    <w:rPr>
      <w:sz w:val="22"/>
      <w:szCs w:val="22"/>
      <w:lang w:eastAsia="en-US"/>
    </w:rPr>
  </w:style>
  <w:style w:type="character" w:styleId="Strong">
    <w:name w:val="Strong"/>
    <w:basedOn w:val="DefaultParagraphFont"/>
    <w:uiPriority w:val="22"/>
    <w:qFormat/>
    <w:rsid w:val="00377429"/>
    <w:rPr>
      <w:b/>
      <w:bCs/>
    </w:rPr>
  </w:style>
  <w:style w:type="character" w:styleId="ListLabel46" w:customStyle="1">
    <w:name w:val="ListLabel 46"/>
    <w:qFormat/>
    <w:rsid w:val="00ff1798"/>
    <w:rPr>
      <w:rFonts w:ascii="Arial" w:hAnsi="Arial" w:eastAsia="Calibri" w:cs="Arial"/>
      <w:sz w:val="24"/>
    </w:rPr>
  </w:style>
  <w:style w:type="character" w:styleId="ListLabel47" w:customStyle="1">
    <w:name w:val="ListLabel 47"/>
    <w:qFormat/>
    <w:rsid w:val="00ff1798"/>
    <w:rPr>
      <w:rFonts w:cs="Courier New"/>
    </w:rPr>
  </w:style>
  <w:style w:type="character" w:styleId="ListLabel48" w:customStyle="1">
    <w:name w:val="ListLabel 48"/>
    <w:qFormat/>
    <w:rsid w:val="00ff1798"/>
    <w:rPr>
      <w:rFonts w:cs="Courier New"/>
    </w:rPr>
  </w:style>
  <w:style w:type="character" w:styleId="ListLabel49" w:customStyle="1">
    <w:name w:val="ListLabel 49"/>
    <w:qFormat/>
    <w:rsid w:val="00ff1798"/>
    <w:rPr>
      <w:rFonts w:cs="Courier New"/>
    </w:rPr>
  </w:style>
  <w:style w:type="character" w:styleId="ListLabel50" w:customStyle="1">
    <w:name w:val="ListLabel 50"/>
    <w:qFormat/>
    <w:rsid w:val="00ff1798"/>
    <w:rPr>
      <w:rFonts w:ascii="Arial" w:hAnsi="Arial" w:cs="Arial"/>
      <w:color w:val="000000"/>
      <w:sz w:val="24"/>
      <w:szCs w:val="24"/>
    </w:rPr>
  </w:style>
  <w:style w:type="character" w:styleId="Caracteresdenotaderodap" w:customStyle="1">
    <w:name w:val="Caracteres de nota de rodapé"/>
    <w:qFormat/>
    <w:rsid w:val="00ff1798"/>
    <w:rPr/>
  </w:style>
  <w:style w:type="character" w:styleId="Caracteresdenotadefim" w:customStyle="1">
    <w:name w:val="Caracteres de nota de fim"/>
    <w:qFormat/>
    <w:rsid w:val="00ff1798"/>
    <w:rPr/>
  </w:style>
  <w:style w:type="character" w:styleId="ListLabel51" w:customStyle="1">
    <w:name w:val="ListLabel 51"/>
    <w:qFormat/>
    <w:rsid w:val="00ff1798"/>
    <w:rPr>
      <w:rFonts w:ascii="Arial" w:hAnsi="Arial" w:eastAsia="Calibri" w:cs="Arial"/>
      <w:sz w:val="24"/>
    </w:rPr>
  </w:style>
  <w:style w:type="character" w:styleId="ListLabel52" w:customStyle="1">
    <w:name w:val="ListLabel 52"/>
    <w:qFormat/>
    <w:rsid w:val="00ff1798"/>
    <w:rPr>
      <w:rFonts w:cs="Courier New"/>
    </w:rPr>
  </w:style>
  <w:style w:type="character" w:styleId="ListLabel53" w:customStyle="1">
    <w:name w:val="ListLabel 53"/>
    <w:qFormat/>
    <w:rsid w:val="00ff1798"/>
    <w:rPr>
      <w:rFonts w:cs="Wingdings"/>
    </w:rPr>
  </w:style>
  <w:style w:type="character" w:styleId="ListLabel54" w:customStyle="1">
    <w:name w:val="ListLabel 54"/>
    <w:qFormat/>
    <w:rsid w:val="00ff1798"/>
    <w:rPr>
      <w:rFonts w:cs="Symbol"/>
    </w:rPr>
  </w:style>
  <w:style w:type="character" w:styleId="ListLabel55" w:customStyle="1">
    <w:name w:val="ListLabel 55"/>
    <w:qFormat/>
    <w:rsid w:val="00ff1798"/>
    <w:rPr>
      <w:rFonts w:cs="Courier New"/>
    </w:rPr>
  </w:style>
  <w:style w:type="character" w:styleId="ListLabel56" w:customStyle="1">
    <w:name w:val="ListLabel 56"/>
    <w:qFormat/>
    <w:rsid w:val="00ff1798"/>
    <w:rPr>
      <w:rFonts w:cs="Wingdings"/>
    </w:rPr>
  </w:style>
  <w:style w:type="character" w:styleId="ListLabel57" w:customStyle="1">
    <w:name w:val="ListLabel 57"/>
    <w:qFormat/>
    <w:rsid w:val="00ff1798"/>
    <w:rPr>
      <w:rFonts w:cs="Symbol"/>
    </w:rPr>
  </w:style>
  <w:style w:type="character" w:styleId="ListLabel58" w:customStyle="1">
    <w:name w:val="ListLabel 58"/>
    <w:qFormat/>
    <w:rsid w:val="00ff1798"/>
    <w:rPr>
      <w:rFonts w:cs="Courier New"/>
    </w:rPr>
  </w:style>
  <w:style w:type="character" w:styleId="ListLabel59" w:customStyle="1">
    <w:name w:val="ListLabel 59"/>
    <w:qFormat/>
    <w:rsid w:val="00ff1798"/>
    <w:rPr>
      <w:rFonts w:cs="Wingdings"/>
    </w:rPr>
  </w:style>
  <w:style w:type="character" w:styleId="ListLabel60" w:customStyle="1">
    <w:name w:val="ListLabel 60"/>
    <w:qFormat/>
    <w:rsid w:val="00ff1798"/>
    <w:rPr>
      <w:rFonts w:ascii="Arial" w:hAnsi="Arial" w:cs="Arial"/>
      <w:b w:val="false"/>
      <w:bCs w:val="false"/>
      <w:i w:val="false"/>
      <w:iCs w:val="false"/>
      <w:vanish w:val="false"/>
      <w:sz w:val="24"/>
      <w:szCs w:val="24"/>
    </w:rPr>
  </w:style>
  <w:style w:type="character" w:styleId="ListLabel61" w:customStyle="1">
    <w:name w:val="ListLabel 61"/>
    <w:qFormat/>
    <w:rsid w:val="00ff1798"/>
    <w:rPr>
      <w:rFonts w:ascii="Arial" w:hAnsi="Arial" w:cs="Arial"/>
      <w:color w:val="000000"/>
      <w:sz w:val="24"/>
      <w:szCs w:val="24"/>
    </w:rPr>
  </w:style>
  <w:style w:type="character" w:styleId="Ttulo1Char1" w:customStyle="1">
    <w:name w:val="Título 1 Char1"/>
    <w:basedOn w:val="DefaultParagraphFont"/>
    <w:link w:val="Ttulo1"/>
    <w:qFormat/>
    <w:rsid w:val="00271366"/>
    <w:rPr>
      <w:rFonts w:ascii="Arial" w:hAnsi="Arial" w:eastAsia="" w:cs="" w:cstheme="majorBidi" w:eastAsiaTheme="majorEastAsia"/>
      <w:b/>
      <w:sz w:val="24"/>
      <w:szCs w:val="32"/>
      <w:lang w:eastAsia="en-US"/>
    </w:rPr>
  </w:style>
  <w:style w:type="character" w:styleId="ListLabel62">
    <w:name w:val="ListLabel 62"/>
    <w:qFormat/>
    <w:rPr>
      <w:rFonts w:ascii="Arial" w:hAnsi="Arial" w:eastAsia="Calibri" w:cs="Arial"/>
      <w:sz w:val="24"/>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Arial" w:hAnsi="Arial" w:cs="Arial"/>
      <w:sz w:val="24"/>
      <w:szCs w:val="24"/>
    </w:rPr>
  </w:style>
  <w:style w:type="character" w:styleId="ListLabel72">
    <w:name w:val="ListLabel 72"/>
    <w:qFormat/>
    <w:rPr/>
  </w:style>
  <w:style w:type="character" w:styleId="ListLabel73">
    <w:name w:val="ListLabel 73"/>
    <w:qFormat/>
    <w:rPr>
      <w:rFonts w:ascii="Arial" w:hAnsi="Arial" w:eastAsia="Times New Roman" w:cs="Arial"/>
      <w:color w:val="000000"/>
      <w:sz w:val="24"/>
      <w:szCs w:val="24"/>
      <w:u w:val="non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semiHidden/>
    <w:rsid w:val="00203d1c"/>
    <w:pPr>
      <w:spacing w:lineRule="auto" w:line="360" w:before="0" w:after="0"/>
      <w:jc w:val="both"/>
    </w:pPr>
    <w:rPr>
      <w:rFonts w:ascii="Times New Roman" w:hAnsi="Times New Roman" w:eastAsia="Times New Roman"/>
      <w:sz w:val="26"/>
      <w:szCs w:val="20"/>
      <w:lang w:eastAsia="pt-BR"/>
    </w:rPr>
  </w:style>
  <w:style w:type="paragraph" w:styleId="Lista">
    <w:name w:val="List"/>
    <w:basedOn w:val="Corpodetexto"/>
    <w:rsid w:val="008d7f78"/>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8d7f78"/>
    <w:pPr>
      <w:suppressLineNumbers/>
    </w:pPr>
    <w:rPr>
      <w:rFonts w:cs="Mangal"/>
    </w:rPr>
  </w:style>
  <w:style w:type="paragraph" w:styleId="Ttulododocumento">
    <w:name w:val="Title"/>
    <w:basedOn w:val="Normal"/>
    <w:qFormat/>
    <w:rsid w:val="008d7f78"/>
    <w:pPr>
      <w:keepNext w:val="true"/>
      <w:spacing w:before="240" w:after="120"/>
    </w:pPr>
    <w:rPr>
      <w:rFonts w:ascii="Liberation Sans" w:hAnsi="Liberation Sans" w:eastAsia="Microsoft YaHei" w:cs="Mangal"/>
      <w:sz w:val="28"/>
      <w:szCs w:val="28"/>
    </w:rPr>
  </w:style>
  <w:style w:type="paragraph" w:styleId="Caption">
    <w:name w:val="caption"/>
    <w:basedOn w:val="Normal"/>
    <w:next w:val="Normal"/>
    <w:uiPriority w:val="35"/>
    <w:semiHidden/>
    <w:qFormat/>
    <w:rsid w:val="003f3535"/>
    <w:pPr>
      <w:spacing w:lineRule="auto" w:line="240"/>
    </w:pPr>
    <w:rPr>
      <w:b/>
      <w:bCs/>
      <w:color w:val="4F81BD"/>
      <w:sz w:val="18"/>
      <w:szCs w:val="18"/>
    </w:rPr>
  </w:style>
  <w:style w:type="paragraph" w:styleId="Ttulo11" w:customStyle="1">
    <w:name w:val="Título 11"/>
    <w:basedOn w:val="Normal"/>
    <w:next w:val="Normal"/>
    <w:link w:val="Ttulo1Char"/>
    <w:semiHidden/>
    <w:qFormat/>
    <w:rsid w:val="00134ad8"/>
    <w:pPr>
      <w:keepNext w:val="true"/>
      <w:spacing w:lineRule="auto" w:line="360"/>
      <w:jc w:val="both"/>
      <w:outlineLvl w:val="0"/>
    </w:pPr>
    <w:rPr>
      <w:rFonts w:ascii="Times New Roman" w:hAnsi="Times New Roman" w:eastAsia="Times New Roman"/>
      <w:b/>
      <w:sz w:val="24"/>
      <w:szCs w:val="24"/>
    </w:rPr>
  </w:style>
  <w:style w:type="paragraph" w:styleId="Ttulo21" w:customStyle="1">
    <w:name w:val="Título 21"/>
    <w:basedOn w:val="Normal"/>
    <w:next w:val="Normal"/>
    <w:link w:val="Ttulo2Char"/>
    <w:uiPriority w:val="9"/>
    <w:semiHidden/>
    <w:qFormat/>
    <w:rsid w:val="008f7b9e"/>
    <w:pPr>
      <w:keepNext w:val="true"/>
      <w:keepLines/>
      <w:spacing w:before="200" w:after="0"/>
      <w:outlineLvl w:val="1"/>
    </w:pPr>
    <w:rPr>
      <w:rFonts w:ascii="Cambria" w:hAnsi="Cambria" w:eastAsia="Times New Roman"/>
      <w:b/>
      <w:bCs/>
      <w:color w:val="4F81BD"/>
      <w:sz w:val="26"/>
      <w:szCs w:val="26"/>
    </w:rPr>
  </w:style>
  <w:style w:type="paragraph" w:styleId="Ttulo31" w:customStyle="1">
    <w:name w:val="Título 31"/>
    <w:basedOn w:val="Normal"/>
    <w:next w:val="Normal"/>
    <w:link w:val="Ttulo3Char"/>
    <w:uiPriority w:val="9"/>
    <w:semiHidden/>
    <w:qFormat/>
    <w:rsid w:val="008f7b9e"/>
    <w:pPr>
      <w:keepNext w:val="true"/>
      <w:keepLines/>
      <w:spacing w:before="200" w:after="0"/>
      <w:outlineLvl w:val="2"/>
    </w:pPr>
    <w:rPr>
      <w:rFonts w:ascii="Cambria" w:hAnsi="Cambria" w:eastAsia="Times New Roman"/>
      <w:b/>
      <w:bCs/>
      <w:color w:val="4F81BD"/>
    </w:rPr>
  </w:style>
  <w:style w:type="paragraph" w:styleId="Legenda1" w:customStyle="1">
    <w:name w:val="Legenda1"/>
    <w:basedOn w:val="Normal"/>
    <w:qFormat/>
    <w:rsid w:val="008d7f78"/>
    <w:pPr>
      <w:suppressLineNumbers/>
      <w:spacing w:before="120" w:after="120"/>
    </w:pPr>
    <w:rPr>
      <w:rFonts w:cs="Mangal"/>
      <w:i/>
      <w:iCs/>
      <w:sz w:val="24"/>
      <w:szCs w:val="24"/>
    </w:rPr>
  </w:style>
  <w:style w:type="paragraph" w:styleId="NormalWeb">
    <w:name w:val="Normal (Web)"/>
    <w:basedOn w:val="Normal"/>
    <w:uiPriority w:val="99"/>
    <w:semiHidden/>
    <w:qFormat/>
    <w:rsid w:val="00134ad8"/>
    <w:pPr>
      <w:spacing w:lineRule="auto" w:line="240" w:beforeAutospacing="1" w:afterAutospacing="1"/>
    </w:pPr>
    <w:rPr>
      <w:rFonts w:ascii="Times New Roman" w:hAnsi="Times New Roman" w:eastAsia="Times New Roman"/>
      <w:sz w:val="24"/>
      <w:szCs w:val="24"/>
      <w:lang w:eastAsia="pt-BR"/>
    </w:rPr>
  </w:style>
  <w:style w:type="paragraph" w:styleId="Cabealho1" w:customStyle="1">
    <w:name w:val="Cabeçalho1"/>
    <w:basedOn w:val="Normal"/>
    <w:link w:val="CabealhoChar"/>
    <w:semiHidden/>
    <w:qFormat/>
    <w:rsid w:val="00134ad8"/>
    <w:pPr>
      <w:tabs>
        <w:tab w:val="center" w:pos="4252" w:leader="none"/>
        <w:tab w:val="right" w:pos="8504" w:leader="none"/>
      </w:tabs>
      <w:spacing w:lineRule="auto" w:line="240" w:before="0" w:after="0"/>
    </w:pPr>
    <w:rPr/>
  </w:style>
  <w:style w:type="paragraph" w:styleId="Rodap1" w:customStyle="1">
    <w:name w:val="Rodapé1"/>
    <w:basedOn w:val="Normal"/>
    <w:link w:val="RodapChar"/>
    <w:uiPriority w:val="99"/>
    <w:semiHidden/>
    <w:qFormat/>
    <w:rsid w:val="00134ad8"/>
    <w:pPr>
      <w:tabs>
        <w:tab w:val="center" w:pos="4252" w:leader="none"/>
        <w:tab w:val="right" w:pos="8504" w:leader="none"/>
      </w:tabs>
      <w:spacing w:lineRule="auto" w:line="240" w:before="0" w:after="0"/>
    </w:pPr>
    <w:rPr/>
  </w:style>
  <w:style w:type="paragraph" w:styleId="TOCHeading">
    <w:name w:val="TOC Heading"/>
    <w:basedOn w:val="Ttulo11"/>
    <w:next w:val="Normal"/>
    <w:uiPriority w:val="39"/>
    <w:qFormat/>
    <w:rsid w:val="00134ad8"/>
    <w:pPr>
      <w:keepLines/>
      <w:spacing w:lineRule="auto" w:line="276" w:before="480" w:after="200"/>
      <w:jc w:val="left"/>
    </w:pPr>
    <w:rPr>
      <w:rFonts w:ascii="Cambria" w:hAnsi="Cambria"/>
      <w:bCs/>
      <w:color w:val="365F91"/>
      <w:sz w:val="28"/>
      <w:szCs w:val="28"/>
    </w:rPr>
  </w:style>
  <w:style w:type="paragraph" w:styleId="Sumrio21" w:customStyle="1">
    <w:name w:val="Sumário 21"/>
    <w:basedOn w:val="Normal"/>
    <w:next w:val="Normal"/>
    <w:autoRedefine/>
    <w:uiPriority w:val="39"/>
    <w:semiHidden/>
    <w:qFormat/>
    <w:rsid w:val="00134ad8"/>
    <w:pPr>
      <w:spacing w:before="0" w:after="100"/>
      <w:ind w:left="220" w:hanging="0"/>
    </w:pPr>
    <w:rPr>
      <w:rFonts w:eastAsia="Times New Roman"/>
    </w:rPr>
  </w:style>
  <w:style w:type="paragraph" w:styleId="Sumrio11" w:customStyle="1">
    <w:name w:val="Sumário 11"/>
    <w:basedOn w:val="Normal"/>
    <w:next w:val="Normal"/>
    <w:autoRedefine/>
    <w:uiPriority w:val="39"/>
    <w:qFormat/>
    <w:rsid w:val="00cd2f2e"/>
    <w:pPr>
      <w:spacing w:before="0" w:after="100"/>
    </w:pPr>
    <w:rPr>
      <w:rFonts w:ascii="Arial" w:hAnsi="Arial" w:eastAsia="Times New Roman" w:cs="Arial"/>
      <w:b/>
      <w:sz w:val="24"/>
      <w:szCs w:val="24"/>
    </w:rPr>
  </w:style>
  <w:style w:type="paragraph" w:styleId="BalloonText">
    <w:name w:val="Balloon Text"/>
    <w:basedOn w:val="Normal"/>
    <w:link w:val="TextodebaloChar"/>
    <w:uiPriority w:val="99"/>
    <w:semiHidden/>
    <w:qFormat/>
    <w:rsid w:val="00134ad8"/>
    <w:pPr>
      <w:spacing w:lineRule="auto" w:line="240" w:before="0" w:after="0"/>
    </w:pPr>
    <w:rPr>
      <w:rFonts w:ascii="Tahoma" w:hAnsi="Tahoma" w:cs="Tahoma"/>
      <w:sz w:val="16"/>
      <w:szCs w:val="16"/>
    </w:rPr>
  </w:style>
  <w:style w:type="paragraph" w:styleId="Textodenotaderodap1" w:customStyle="1">
    <w:name w:val="Texto de nota de rodapé1"/>
    <w:basedOn w:val="Normal"/>
    <w:link w:val="TextodenotaderodapChar"/>
    <w:semiHidden/>
    <w:qFormat/>
    <w:rsid w:val="00861ffb"/>
    <w:pPr>
      <w:spacing w:lineRule="auto" w:line="240" w:before="0" w:after="0"/>
    </w:pPr>
    <w:rPr>
      <w:sz w:val="20"/>
      <w:szCs w:val="20"/>
    </w:rPr>
  </w:style>
  <w:style w:type="paragraph" w:styleId="Textodenotadefim1" w:customStyle="1">
    <w:name w:val="Texto de nota de fim1"/>
    <w:basedOn w:val="Normal"/>
    <w:link w:val="TextodenotadefimChar"/>
    <w:uiPriority w:val="99"/>
    <w:semiHidden/>
    <w:qFormat/>
    <w:rsid w:val="00dd657c"/>
    <w:pPr>
      <w:spacing w:lineRule="auto" w:line="240" w:before="0" w:after="0"/>
    </w:pPr>
    <w:rPr>
      <w:sz w:val="20"/>
      <w:szCs w:val="20"/>
    </w:rPr>
  </w:style>
  <w:style w:type="paragraph" w:styleId="ListParagraph">
    <w:name w:val="List Paragraph"/>
    <w:basedOn w:val="Normal"/>
    <w:link w:val="PargrafodaListaChar"/>
    <w:uiPriority w:val="34"/>
    <w:qFormat/>
    <w:rsid w:val="0019190e"/>
    <w:pPr>
      <w:spacing w:before="0" w:after="200"/>
      <w:ind w:left="720" w:hanging="0"/>
      <w:contextualSpacing/>
    </w:pPr>
    <w:rPr/>
  </w:style>
  <w:style w:type="paragraph" w:styleId="Estilo1" w:customStyle="1">
    <w:name w:val="Estilo1"/>
    <w:basedOn w:val="NormalWeb"/>
    <w:qFormat/>
    <w:rsid w:val="006539a5"/>
    <w:pPr>
      <w:widowControl w:val="false"/>
      <w:spacing w:lineRule="auto" w:line="360" w:beforeAutospacing="0" w:before="280" w:afterAutospacing="0" w:after="0"/>
    </w:pPr>
    <w:rPr>
      <w:rFonts w:ascii="Arial" w:hAnsi="Arial" w:cs="Arial"/>
      <w:b/>
      <w:bCs/>
      <w:color w:val="000000"/>
    </w:rPr>
  </w:style>
  <w:style w:type="paragraph" w:styleId="CIT" w:customStyle="1">
    <w:name w:val="CIT"/>
    <w:basedOn w:val="Normal"/>
    <w:qFormat/>
    <w:rsid w:val="008d66a3"/>
    <w:pPr>
      <w:widowControl w:val="false"/>
      <w:spacing w:lineRule="auto" w:line="240" w:before="0" w:after="0"/>
      <w:ind w:left="2280" w:right="20" w:hanging="0"/>
      <w:jc w:val="both"/>
    </w:pPr>
    <w:rPr>
      <w:rFonts w:ascii="Arial" w:hAnsi="Arial" w:eastAsia="Arial" w:cs="Arial"/>
      <w:sz w:val="20"/>
      <w:szCs w:val="20"/>
    </w:rPr>
  </w:style>
  <w:style w:type="paragraph" w:styleId="Default" w:customStyle="1">
    <w:name w:val="Default"/>
    <w:qFormat/>
    <w:rsid w:val="005a6be9"/>
    <w:pPr>
      <w:widowControl/>
      <w:bidi w:val="0"/>
      <w:jc w:val="left"/>
    </w:pPr>
    <w:rPr>
      <w:rFonts w:ascii="Times New Roman" w:hAnsi="Times New Roman" w:eastAsia="Calibri" w:cs="Times New Roman"/>
      <w:color w:val="000000"/>
      <w:kern w:val="0"/>
      <w:sz w:val="24"/>
      <w:szCs w:val="24"/>
      <w:lang w:val="pt-BR" w:eastAsia="pt-BR" w:bidi="ar-SA"/>
    </w:rPr>
  </w:style>
  <w:style w:type="paragraph" w:styleId="Quadro" w:customStyle="1">
    <w:name w:val="Quadro"/>
    <w:basedOn w:val="Normal"/>
    <w:qFormat/>
    <w:rsid w:val="00d927e9"/>
    <w:pPr>
      <w:spacing w:lineRule="auto" w:line="360" w:before="0" w:after="0"/>
      <w:jc w:val="center"/>
    </w:pPr>
    <w:rPr>
      <w:rFonts w:ascii="Arial" w:hAnsi="Arial" w:cs="Arial"/>
      <w:b/>
      <w:sz w:val="24"/>
      <w:szCs w:val="24"/>
    </w:rPr>
  </w:style>
  <w:style w:type="paragraph" w:styleId="Figura" w:customStyle="1">
    <w:name w:val="Figura"/>
    <w:basedOn w:val="Quadro"/>
    <w:qFormat/>
    <w:rsid w:val="00c44e6f"/>
    <w:pPr/>
    <w:rPr/>
  </w:style>
  <w:style w:type="paragraph" w:styleId="Grfico" w:customStyle="1">
    <w:name w:val="Gráfico"/>
    <w:basedOn w:val="Figura"/>
    <w:qFormat/>
    <w:rsid w:val="00b51aa8"/>
    <w:pPr/>
    <w:rPr/>
  </w:style>
  <w:style w:type="paragraph" w:styleId="Tabela" w:customStyle="1">
    <w:name w:val="Tabela"/>
    <w:basedOn w:val="Figura"/>
    <w:qFormat/>
    <w:rsid w:val="004e4291"/>
    <w:pPr/>
    <w:rPr/>
  </w:style>
  <w:style w:type="paragraph" w:styleId="Tableoffigures">
    <w:name w:val="table of figures"/>
    <w:basedOn w:val="Normal"/>
    <w:next w:val="Normal"/>
    <w:uiPriority w:val="99"/>
    <w:qFormat/>
    <w:rsid w:val="00f87978"/>
    <w:pPr>
      <w:spacing w:before="0" w:after="0"/>
    </w:pPr>
    <w:rPr/>
  </w:style>
  <w:style w:type="paragraph" w:styleId="ListBullet">
    <w:name w:val="List Bullet"/>
    <w:basedOn w:val="Normal"/>
    <w:uiPriority w:val="99"/>
    <w:semiHidden/>
    <w:qFormat/>
    <w:rsid w:val="008f08cc"/>
    <w:pPr>
      <w:spacing w:before="0" w:after="200"/>
      <w:contextualSpacing/>
    </w:pPr>
    <w:rPr/>
  </w:style>
  <w:style w:type="paragraph" w:styleId="PadroLTTitel" w:customStyle="1">
    <w:name w:val="Padrão~LT~Titel"/>
    <w:qFormat/>
    <w:rsid w:val="00912466"/>
    <w:pPr>
      <w:widowControl w:val="false"/>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jc w:val="center"/>
    </w:pPr>
    <w:rPr>
      <w:rFonts w:ascii="DejaVu Sans" w:hAnsi="DejaVu Sans" w:eastAsia="DejaVu Sans" w:cs="Times New Roman"/>
      <w:color w:val="996600"/>
      <w:kern w:val="2"/>
      <w:sz w:val="88"/>
      <w:szCs w:val="88"/>
      <w:lang w:val="pt-BR" w:eastAsia="pt-BR" w:bidi="ar-SA"/>
    </w:rPr>
  </w:style>
  <w:style w:type="paragraph" w:styleId="Sumrio1" w:customStyle="1">
    <w:name w:val="TOC 1"/>
    <w:basedOn w:val="Normal"/>
    <w:next w:val="Normal"/>
    <w:autoRedefine/>
    <w:uiPriority w:val="39"/>
    <w:qFormat/>
    <w:rsid w:val="009b641f"/>
    <w:pPr>
      <w:spacing w:before="0" w:after="100"/>
    </w:pPr>
    <w:rPr>
      <w:rFonts w:ascii="Arial" w:hAnsi="Arial" w:eastAsia="Times New Roman" w:cs="Arial"/>
      <w:b/>
      <w:sz w:val="24"/>
      <w:szCs w:val="24"/>
    </w:rPr>
  </w:style>
  <w:style w:type="paragraph" w:styleId="Notaderodap">
    <w:name w:val="Footnote Text"/>
    <w:basedOn w:val="Normal"/>
    <w:link w:val="TextodenotaderodapChar1"/>
    <w:semiHidden/>
    <w:unhideWhenUsed/>
    <w:rsid w:val="00a835e6"/>
    <w:pPr>
      <w:spacing w:lineRule="auto" w:line="240" w:before="0" w:after="0"/>
    </w:pPr>
    <w:rPr>
      <w:sz w:val="20"/>
      <w:szCs w:val="20"/>
    </w:rPr>
  </w:style>
  <w:style w:type="paragraph" w:styleId="Cabealho">
    <w:name w:val="Header"/>
    <w:basedOn w:val="Normal"/>
    <w:link w:val="CabealhoChar1"/>
    <w:semiHidden/>
    <w:unhideWhenUsed/>
    <w:rsid w:val="003352f7"/>
    <w:pPr>
      <w:tabs>
        <w:tab w:val="center" w:pos="4252" w:leader="none"/>
        <w:tab w:val="right" w:pos="8504" w:leader="none"/>
      </w:tabs>
      <w:spacing w:lineRule="auto" w:line="240" w:before="0" w:after="0"/>
    </w:pPr>
    <w:rPr/>
  </w:style>
  <w:style w:type="paragraph" w:styleId="Rodap">
    <w:name w:val="Footer"/>
    <w:basedOn w:val="Normal"/>
    <w:link w:val="RodapChar1"/>
    <w:uiPriority w:val="99"/>
    <w:semiHidden/>
    <w:unhideWhenUsed/>
    <w:rsid w:val="003352f7"/>
    <w:pPr>
      <w:tabs>
        <w:tab w:val="center" w:pos="4252" w:leader="none"/>
        <w:tab w:val="right" w:pos="8504" w:leader="none"/>
      </w:tabs>
      <w:spacing w:lineRule="auto" w:line="240" w:before="0" w:after="0"/>
    </w:pPr>
    <w:rPr/>
  </w:style>
  <w:style w:type="paragraph" w:styleId="Titulo2" w:customStyle="1">
    <w:name w:val="titulo 2"/>
    <w:basedOn w:val="Normal"/>
    <w:autoRedefine/>
    <w:qFormat/>
    <w:rsid w:val="00b7013f"/>
    <w:pPr>
      <w:spacing w:lineRule="auto" w:line="360" w:before="0" w:after="0"/>
    </w:pPr>
    <w:rPr>
      <w:rFonts w:ascii="Arial" w:hAnsi="Arial"/>
      <w:b/>
      <w:color w:val="000000"/>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uiPriority w:val="59"/>
    <w:rsid w:val="008d1d3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ororadar.com.br/investimento/bovespa/volatilidade-precos" TargetMode="External"/><Relationship Id="rId3" Type="http://schemas.openxmlformats.org/officeDocument/2006/relationships/hyperlink" Target="http://www.bcb.gov.br/htms/deorf/r199812/texto.asp?dpai=revsfn199812"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8CD5F-F01D-4CEB-B71F-FE37AA92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LibreOffice/6.0.6.2$Windows_X86_64 LibreOffice_project/0c292870b25a325b5ed35f6b45599d2ea4458e77</Application>
  <Pages>15</Pages>
  <Words>3499</Words>
  <Characters>19026</Characters>
  <CharactersWithSpaces>22564</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2018-11-28T22:16:00Z</dcterms:created>
  <dc:creator>Karen</dc:creator>
  <dc:description/>
  <dc:language>pt-BR</dc:language>
  <cp:lastModifiedBy/>
  <cp:lastPrinted>2018-11-28T22:19:00Z</cp:lastPrinted>
  <dcterms:modified xsi:type="dcterms:W3CDTF">2018-12-06T07:54:32Z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