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C78" w:rsidRPr="00DF5D0A" w:rsidRDefault="00867BE0" w:rsidP="0023719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r w:rsidRPr="00DF5D0A">
        <w:rPr>
          <w:rFonts w:ascii="Times New Roman" w:hAnsi="Times New Roman" w:cs="Times New Roman"/>
          <w:b/>
          <w:color w:val="000000" w:themeColor="text1"/>
          <w:sz w:val="28"/>
        </w:rPr>
        <w:t xml:space="preserve">SINOPSE DO CASE: </w:t>
      </w:r>
      <w:r w:rsidR="006E5BAF">
        <w:rPr>
          <w:rFonts w:ascii="Times New Roman" w:hAnsi="Times New Roman" w:cs="Times New Roman"/>
          <w:b/>
          <w:color w:val="000000" w:themeColor="text1"/>
          <w:sz w:val="28"/>
        </w:rPr>
        <w:t>QUANDO O ERRADO VIRA DUVIDOSO</w:t>
      </w:r>
      <w:r w:rsidR="00F57657" w:rsidRPr="00DF5D0A">
        <w:rPr>
          <w:rFonts w:ascii="Times New Roman" w:hAnsi="Times New Roman" w:cs="Times New Roman"/>
          <w:b/>
          <w:color w:val="000000" w:themeColor="text1"/>
          <w:sz w:val="28"/>
        </w:rPr>
        <w:t>¹</w:t>
      </w:r>
    </w:p>
    <w:p w:rsidR="00F57657" w:rsidRPr="00DF5D0A" w:rsidRDefault="00104828" w:rsidP="00104828">
      <w:pPr>
        <w:tabs>
          <w:tab w:val="right" w:pos="9071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="003F0893">
        <w:rPr>
          <w:rFonts w:ascii="Times New Roman" w:hAnsi="Times New Roman" w:cs="Times New Roman"/>
          <w:i/>
          <w:color w:val="000000" w:themeColor="text1"/>
          <w:sz w:val="24"/>
        </w:rPr>
        <w:t>Clara Léda</w:t>
      </w:r>
      <w:r w:rsidR="00F57657" w:rsidRPr="00DF5D0A">
        <w:rPr>
          <w:rFonts w:ascii="Times New Roman" w:hAnsi="Times New Roman" w:cs="Times New Roman"/>
          <w:i/>
          <w:color w:val="000000" w:themeColor="text1"/>
          <w:sz w:val="24"/>
        </w:rPr>
        <w:t>²</w:t>
      </w:r>
    </w:p>
    <w:p w:rsidR="00922DB1" w:rsidRPr="00DF5D0A" w:rsidRDefault="006E5BAF" w:rsidP="0023719C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>Vail Altarugio Filho</w:t>
      </w:r>
      <w:r w:rsidR="00F57657" w:rsidRPr="00DF5D0A">
        <w:rPr>
          <w:rFonts w:ascii="Times New Roman" w:hAnsi="Times New Roman" w:cs="Times New Roman"/>
          <w:i/>
          <w:color w:val="000000" w:themeColor="text1"/>
          <w:sz w:val="24"/>
        </w:rPr>
        <w:t>³</w:t>
      </w:r>
    </w:p>
    <w:p w:rsidR="008465D7" w:rsidRPr="00DF5D0A" w:rsidRDefault="008465D7" w:rsidP="0023719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092" w:rsidRPr="00DF5D0A" w:rsidRDefault="00D62092" w:rsidP="00D620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B58" w:rsidRPr="00DF5D0A" w:rsidRDefault="008465D7" w:rsidP="0023719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F5D0A">
        <w:rPr>
          <w:rFonts w:ascii="Times New Roman" w:hAnsi="Times New Roman" w:cs="Times New Roman"/>
          <w:b/>
          <w:color w:val="000000" w:themeColor="text1"/>
          <w:sz w:val="24"/>
        </w:rPr>
        <w:t xml:space="preserve">2. </w:t>
      </w:r>
      <w:r w:rsidR="00E17BDB" w:rsidRPr="00DF5D0A">
        <w:rPr>
          <w:rFonts w:ascii="Times New Roman" w:hAnsi="Times New Roman" w:cs="Times New Roman"/>
          <w:b/>
          <w:color w:val="000000" w:themeColor="text1"/>
          <w:sz w:val="24"/>
        </w:rPr>
        <w:t>IDENTIFICAÇÃO E ANÁLISE DO CASO</w:t>
      </w:r>
    </w:p>
    <w:p w:rsidR="006E06B2" w:rsidRPr="00DF5D0A" w:rsidRDefault="006E06B2" w:rsidP="0023719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A66E7" w:rsidRDefault="006C0DA4" w:rsidP="0023719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2.1 Descrição</w:t>
      </w:r>
      <w:r w:rsidR="00B9094E" w:rsidRPr="00DF5D0A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>de uma das</w:t>
      </w:r>
      <w:r w:rsidR="00524619" w:rsidRPr="00DF5D0A">
        <w:rPr>
          <w:rFonts w:ascii="Times New Roman" w:hAnsi="Times New Roman" w:cs="Times New Roman"/>
          <w:b/>
          <w:color w:val="000000" w:themeColor="text1"/>
          <w:sz w:val="24"/>
        </w:rPr>
        <w:t xml:space="preserve"> Possíveis Decisões</w:t>
      </w:r>
    </w:p>
    <w:p w:rsidR="006C0DA4" w:rsidRPr="006C0DA4" w:rsidRDefault="006C0DA4" w:rsidP="006C0DA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C0DA4">
        <w:rPr>
          <w:rFonts w:ascii="Times New Roman" w:hAnsi="Times New Roman" w:cs="Times New Roman"/>
          <w:color w:val="000000" w:themeColor="text1"/>
          <w:sz w:val="24"/>
        </w:rPr>
        <w:t>O jui</w:t>
      </w:r>
      <w:r>
        <w:rPr>
          <w:rFonts w:ascii="Times New Roman" w:hAnsi="Times New Roman" w:cs="Times New Roman"/>
          <w:color w:val="000000" w:themeColor="text1"/>
          <w:sz w:val="24"/>
        </w:rPr>
        <w:t>z não deve acatar a preliminar apontada pelo NPJ.</w:t>
      </w:r>
      <w:r w:rsidR="006E5BAF">
        <w:rPr>
          <w:rFonts w:ascii="Times New Roman" w:hAnsi="Times New Roman" w:cs="Times New Roman"/>
          <w:color w:val="000000" w:themeColor="text1"/>
          <w:sz w:val="24"/>
        </w:rPr>
        <w:t xml:space="preserve"> E, os atos processuais praticados a partir da entrada em vigor do Novo Código de Processo Civil, devem ser estar de acordo com o mesmo.</w:t>
      </w:r>
    </w:p>
    <w:p w:rsidR="006E06B2" w:rsidRPr="00DF5D0A" w:rsidRDefault="006E06B2" w:rsidP="00FF1BB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C11470" w:rsidRDefault="00CA66E7" w:rsidP="0069002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F5D0A">
        <w:rPr>
          <w:rFonts w:ascii="Times New Roman" w:hAnsi="Times New Roman" w:cs="Times New Roman"/>
          <w:b/>
          <w:color w:val="000000" w:themeColor="text1"/>
          <w:sz w:val="24"/>
        </w:rPr>
        <w:t>2.2</w:t>
      </w:r>
      <w:r w:rsidR="00524619" w:rsidRPr="00DF5D0A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E4058" w:rsidRPr="00DF5D0A">
        <w:rPr>
          <w:rFonts w:ascii="Times New Roman" w:hAnsi="Times New Roman" w:cs="Times New Roman"/>
          <w:b/>
          <w:color w:val="000000" w:themeColor="text1"/>
          <w:sz w:val="24"/>
        </w:rPr>
        <w:t>Argume</w:t>
      </w:r>
      <w:r w:rsidR="006C0DA4">
        <w:rPr>
          <w:rFonts w:ascii="Times New Roman" w:hAnsi="Times New Roman" w:cs="Times New Roman"/>
          <w:b/>
          <w:color w:val="000000" w:themeColor="text1"/>
          <w:sz w:val="24"/>
        </w:rPr>
        <w:t>ntos capazes de fundamentar a</w:t>
      </w:r>
      <w:r w:rsidR="002E4058" w:rsidRPr="00DF5D0A">
        <w:rPr>
          <w:rFonts w:ascii="Times New Roman" w:hAnsi="Times New Roman" w:cs="Times New Roman"/>
          <w:b/>
          <w:color w:val="000000" w:themeColor="text1"/>
          <w:sz w:val="24"/>
        </w:rPr>
        <w:t xml:space="preserve"> decisão</w:t>
      </w:r>
    </w:p>
    <w:p w:rsidR="00FB757B" w:rsidRDefault="00FB757B" w:rsidP="0069002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4A3" w:rsidRDefault="00663D1C" w:rsidP="0069002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 </w:t>
      </w:r>
      <w:r w:rsidRPr="006C0DA4">
        <w:rPr>
          <w:rFonts w:ascii="Times New Roman" w:hAnsi="Times New Roman" w:cs="Times New Roman"/>
          <w:color w:val="000000" w:themeColor="text1"/>
          <w:sz w:val="24"/>
        </w:rPr>
        <w:t>O jui</w:t>
      </w:r>
      <w:r>
        <w:rPr>
          <w:rFonts w:ascii="Times New Roman" w:hAnsi="Times New Roman" w:cs="Times New Roman"/>
          <w:color w:val="000000" w:themeColor="text1"/>
          <w:sz w:val="24"/>
        </w:rPr>
        <w:t>z não deve acatar a preliminar apontada pelo NPJ.</w:t>
      </w:r>
    </w:p>
    <w:p w:rsidR="0069002E" w:rsidRDefault="0069002E" w:rsidP="0069002E">
      <w:pPr>
        <w:pStyle w:val="artigo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</w:p>
    <w:p w:rsidR="0069002E" w:rsidRDefault="006E5BAF" w:rsidP="0069002E">
      <w:pPr>
        <w:pStyle w:val="artigo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104828">
        <w:rPr>
          <w:color w:val="000000" w:themeColor="text1"/>
        </w:rPr>
        <w:t xml:space="preserve">Diante do Caso exposto, o juiz não deve acatar a </w:t>
      </w:r>
      <w:r w:rsidR="00F65AF2" w:rsidRPr="00104828">
        <w:rPr>
          <w:color w:val="000000" w:themeColor="text1"/>
        </w:rPr>
        <w:t>preliminar</w:t>
      </w:r>
      <w:r w:rsidR="00A64DA0" w:rsidRPr="00104828">
        <w:rPr>
          <w:color w:val="000000" w:themeColor="text1"/>
        </w:rPr>
        <w:t xml:space="preserve"> apontada pelo NPJ, de que a ação proposta pela Defensoria estaria em desconforme com o processo pelo fato de</w:t>
      </w:r>
      <w:r w:rsidR="00F65AF2" w:rsidRPr="00104828">
        <w:rPr>
          <w:color w:val="000000" w:themeColor="text1"/>
        </w:rPr>
        <w:t xml:space="preserve"> </w:t>
      </w:r>
      <w:r w:rsidR="00A64DA0" w:rsidRPr="00104828">
        <w:rPr>
          <w:color w:val="000000" w:themeColor="text1"/>
        </w:rPr>
        <w:t>existir uma ação especifica de procedimento especial chamada Aç</w:t>
      </w:r>
      <w:r w:rsidR="00104828" w:rsidRPr="00104828">
        <w:rPr>
          <w:color w:val="000000" w:themeColor="text1"/>
        </w:rPr>
        <w:t>ão de Nunciação de Obra Nova.  P</w:t>
      </w:r>
      <w:r w:rsidR="00A64DA0" w:rsidRPr="00104828">
        <w:rPr>
          <w:color w:val="000000" w:themeColor="text1"/>
        </w:rPr>
        <w:t>orém, nada impede que se entre com uma ação de procedimento comum no lugar de uma ação de procedimento especial</w:t>
      </w:r>
      <w:r w:rsidR="00104828">
        <w:rPr>
          <w:color w:val="000000" w:themeColor="text1"/>
        </w:rPr>
        <w:t>, como disposto:</w:t>
      </w:r>
      <w:bookmarkStart w:id="1" w:name="art318"/>
      <w:bookmarkEnd w:id="1"/>
    </w:p>
    <w:p w:rsidR="00104828" w:rsidRPr="0069002E" w:rsidRDefault="00104828" w:rsidP="0069002E">
      <w:pPr>
        <w:pStyle w:val="artigo"/>
        <w:spacing w:before="0" w:beforeAutospacing="0" w:after="0" w:afterAutospacing="0"/>
        <w:ind w:left="2268"/>
        <w:jc w:val="both"/>
        <w:rPr>
          <w:color w:val="000000" w:themeColor="text1"/>
        </w:rPr>
      </w:pPr>
      <w:r w:rsidRPr="00104828">
        <w:rPr>
          <w:sz w:val="20"/>
          <w:szCs w:val="20"/>
        </w:rPr>
        <w:t>Art. 318  Aplica-se a todas as causas o procedimento comum, salvo disposição em contrário deste Código ou de lei.</w:t>
      </w:r>
      <w:bookmarkStart w:id="2" w:name="art318p"/>
      <w:bookmarkEnd w:id="2"/>
      <w:r w:rsidRPr="00104828">
        <w:rPr>
          <w:sz w:val="20"/>
          <w:szCs w:val="20"/>
        </w:rPr>
        <w:t xml:space="preserve"> Parágrafo único.  O procedimento comum aplica-se subsidiariamente aos demais procedimentos especiais e ao processo de execução</w:t>
      </w:r>
      <w:r w:rsidR="007806B4">
        <w:rPr>
          <w:sz w:val="20"/>
          <w:szCs w:val="20"/>
        </w:rPr>
        <w:t xml:space="preserve"> (BRASIL, 2015)</w:t>
      </w:r>
      <w:r w:rsidRPr="00104828">
        <w:rPr>
          <w:sz w:val="20"/>
          <w:szCs w:val="20"/>
        </w:rPr>
        <w:t>.</w:t>
      </w:r>
    </w:p>
    <w:p w:rsidR="00221EF1" w:rsidRDefault="0069002E" w:rsidP="00221EF1">
      <w:pPr>
        <w:tabs>
          <w:tab w:val="left" w:pos="142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Dessa forma, não o que se falar em falta de interesse</w:t>
      </w:r>
      <w:r w:rsidR="00A85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agir, pois como bem se sabe, esse instituto se dá pela verificação de dois elementos: necessidade da tutela jurisdicional e adequação da via processual. |O primeiro é quando o processo judicial é necessário para realização do direito material postulado. Enquanto que no segundo diz respeito à via processual adequada para produção do resultado postulado (CÂMARA, 2016).   E é nesse segundo elemento que recai a dúvida se a ação proposta é a adequada ou não. Mas</w:t>
      </w:r>
      <w:r w:rsidR="00394B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5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se pode observar no art. 318 exposto acima, o procedimento comum aplica-se em </w:t>
      </w:r>
      <w:r w:rsidR="00394B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todas as causas, </w:t>
      </w:r>
      <w:r w:rsidR="00394B07">
        <w:rPr>
          <w:rFonts w:ascii="Times New Roman" w:hAnsi="Times New Roman" w:cs="Times New Roman"/>
          <w:color w:val="000000" w:themeColor="text1"/>
          <w:sz w:val="24"/>
          <w:szCs w:val="24"/>
        </w:rPr>
        <w:t>então ação proposta pela Defensoria é capaz de atingir o resultado pretendido por Dona Florinda.</w:t>
      </w:r>
    </w:p>
    <w:p w:rsidR="00394B07" w:rsidRDefault="00394B07" w:rsidP="00E87967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2.2 </w:t>
      </w:r>
      <w:r w:rsidRPr="00394B0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Os atos processuais praticados a partir da entrada em vigor do Novo Código de Processo Civil, devem ser estar de acordo com o mesmo.</w:t>
      </w:r>
    </w:p>
    <w:p w:rsidR="006D3A3D" w:rsidRDefault="006D3A3D" w:rsidP="00394B0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94B07" w:rsidRDefault="00394B07" w:rsidP="00394B0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 Carta Magna dispõe no seu </w:t>
      </w:r>
      <w:r w:rsidR="007806B4">
        <w:rPr>
          <w:rFonts w:ascii="Times New Roman" w:hAnsi="Times New Roman" w:cs="Times New Roman"/>
          <w:color w:val="000000" w:themeColor="text1"/>
          <w:sz w:val="24"/>
        </w:rPr>
        <w:t>art 5º, XXXVI diz que a lei nova não tem condão de desrespeitar o direito adquirido, o ato jurídico perfeito e a coisa julgada. (BRASIL, 1988). Além disso, o art. 6º da Lei de Introdução às normas do Direito Brasileiro diz que</w:t>
      </w:r>
      <w:r w:rsidR="007806B4" w:rsidRPr="006F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6B4" w:rsidRPr="006F266F">
        <w:rPr>
          <w:rFonts w:ascii="Times New Roman" w:hAnsi="Times New Roman" w:cs="Times New Roman"/>
          <w:color w:val="000000"/>
          <w:sz w:val="24"/>
          <w:szCs w:val="24"/>
        </w:rPr>
        <w:t>“A Lei em vigor terá efeito imediato e geral, respeitados o ato jurídico perfeito, o dire</w:t>
      </w:r>
      <w:r w:rsidR="006D3A3D">
        <w:rPr>
          <w:rFonts w:ascii="Times New Roman" w:hAnsi="Times New Roman" w:cs="Times New Roman"/>
          <w:color w:val="000000"/>
          <w:sz w:val="24"/>
          <w:szCs w:val="24"/>
        </w:rPr>
        <w:t>ito adquirido e a coisa julgada.</w:t>
      </w:r>
      <w:r w:rsidR="006F266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D3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66F">
        <w:rPr>
          <w:rFonts w:ascii="Times New Roman" w:hAnsi="Times New Roman" w:cs="Times New Roman"/>
          <w:color w:val="000000"/>
          <w:sz w:val="24"/>
          <w:szCs w:val="24"/>
        </w:rPr>
        <w:t>(BRASIL, 1942).</w:t>
      </w:r>
    </w:p>
    <w:p w:rsidR="006F266F" w:rsidRDefault="006F266F" w:rsidP="00394B0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Dessa forma, observa-se que o ordenamento brasileiro adotou, como regra, o Princípio da Irretroatividade das Leis, objetivando preservar a certeza, a segurança e a estabilidade das situações anteriores a vigência da lei nova</w:t>
      </w:r>
      <w:r w:rsidR="00AF0399">
        <w:rPr>
          <w:rFonts w:ascii="Times New Roman" w:hAnsi="Times New Roman" w:cs="Times New Roman"/>
          <w:color w:val="000000"/>
          <w:sz w:val="24"/>
          <w:szCs w:val="24"/>
        </w:rPr>
        <w:t xml:space="preserve">. O efeito da lei nova é imediato, porém, não se aplicam aos fatos anteriores à ela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(GONÇALVES, 2014). </w:t>
      </w:r>
    </w:p>
    <w:p w:rsidR="00533A16" w:rsidRPr="00E87967" w:rsidRDefault="00936389" w:rsidP="00E8796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Nesse caso, pode-se aplicar também o chamado Princípio do Isolamento do Atos processuais, “no qual a lei nova não atinge os atos processuais já praticados, nem seus efeitos, mas se aplica aos atos processuais a praticar, sem limitações relativas às chamadas </w:t>
      </w:r>
      <w:r w:rsidR="006D3A3D">
        <w:rPr>
          <w:rFonts w:ascii="Times New Roman" w:hAnsi="Times New Roman" w:cs="Times New Roman"/>
          <w:color w:val="000000"/>
          <w:sz w:val="24"/>
          <w:szCs w:val="24"/>
        </w:rPr>
        <w:t>fases processuais.” (CINTRA; DINAMARCO; GRINOVER</w:t>
      </w:r>
      <w:r w:rsidR="00533A16">
        <w:rPr>
          <w:rFonts w:ascii="Times New Roman" w:hAnsi="Times New Roman" w:cs="Times New Roman"/>
          <w:color w:val="000000"/>
          <w:sz w:val="24"/>
          <w:szCs w:val="24"/>
        </w:rPr>
        <w:t>, 2010).</w:t>
      </w:r>
    </w:p>
    <w:p w:rsidR="00533A16" w:rsidRDefault="00533A16" w:rsidP="00394B0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assim, os atos praticados pelas partes e pelo juiz antes da vigência do código não sofrerão prejuízos, mas a partir de agora os atos praticados devem estar à luz do novo Código.</w:t>
      </w:r>
    </w:p>
    <w:p w:rsidR="00E87967" w:rsidRDefault="00E87967" w:rsidP="00394B0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87967" w:rsidRPr="00E87967" w:rsidRDefault="00E87967" w:rsidP="008F1CE4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QUESTÕES </w:t>
      </w:r>
      <w:r w:rsidR="00FB4FB5">
        <w:rPr>
          <w:rFonts w:ascii="Times New Roman" w:hAnsi="Times New Roman" w:cs="Times New Roman"/>
          <w:b/>
          <w:color w:val="000000" w:themeColor="text1"/>
          <w:sz w:val="24"/>
        </w:rPr>
        <w:t>SECUNDÁRIAS</w:t>
      </w:r>
    </w:p>
    <w:p w:rsidR="00394B07" w:rsidRDefault="00394B07" w:rsidP="008F1CE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FB5" w:rsidRDefault="00FB4FB5" w:rsidP="008F1CE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9D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E029D" w:rsidRPr="00BE0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29D" w:rsidRPr="00BE029D">
        <w:rPr>
          <w:rFonts w:ascii="Times New Roman" w:hAnsi="Times New Roman" w:cs="Times New Roman"/>
          <w:sz w:val="24"/>
          <w:szCs w:val="24"/>
        </w:rPr>
        <w:t>Qual seria a ação que a defensoria deveria ter entrado na época?</w:t>
      </w:r>
    </w:p>
    <w:p w:rsidR="00FB757B" w:rsidRDefault="00FB757B" w:rsidP="006861BA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8F1CE4" w:rsidRDefault="00BE029D" w:rsidP="006861BA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7116D4">
        <w:t>Segundo o NPJ, ação específica de procedimento especial que a Defensoria deveria ter entrado</w:t>
      </w:r>
      <w:r w:rsidR="009E4AC5" w:rsidRPr="007116D4">
        <w:t xml:space="preserve"> seria a Ação de Nunciação de Obra Nova prevista no artigo 934 do Código de Processo Civil de 1973. Essa ação não existe mais no Código atual. Segundo o art. 934 compete a ação de nunciação de obra nova </w:t>
      </w:r>
      <w:bookmarkStart w:id="3" w:name="art934i"/>
      <w:bookmarkEnd w:id="3"/>
      <w:r w:rsidR="007116D4">
        <w:t>“</w:t>
      </w:r>
      <w:r w:rsidR="009E4AC5" w:rsidRPr="007116D4">
        <w:rPr>
          <w:color w:val="000000"/>
        </w:rPr>
        <w:t>I - ao proprietário ou possuidor, a fim de impedir que a edificação de obra nova em imóvel vizinho Ihe prejudique o prédio, suas servidões ou fins a que é destinado</w:t>
      </w:r>
      <w:r w:rsidR="007116D4">
        <w:rPr>
          <w:color w:val="000000"/>
          <w:sz w:val="20"/>
          <w:szCs w:val="20"/>
        </w:rPr>
        <w:t xml:space="preserve">” </w:t>
      </w:r>
      <w:r w:rsidR="007116D4">
        <w:rPr>
          <w:color w:val="000000"/>
        </w:rPr>
        <w:t>(BRASIL, 1973).</w:t>
      </w:r>
    </w:p>
    <w:p w:rsidR="008F1CE4" w:rsidRPr="008F1CE4" w:rsidRDefault="008F1CE4" w:rsidP="006861BA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8F1CE4">
        <w:rPr>
          <w:color w:val="000000"/>
        </w:rPr>
        <w:t xml:space="preserve">Como bem explica Scarpinella Bueno, essa ação tem como finalidade </w:t>
      </w:r>
      <w:r>
        <w:rPr>
          <w:color w:val="000000"/>
        </w:rPr>
        <w:t>“</w:t>
      </w:r>
      <w:r w:rsidRPr="008F1CE4">
        <w:rPr>
          <w:color w:val="1A1818"/>
        </w:rPr>
        <w:t>impedir que obras ou modificações em bens imóveis afetem outros imóveis, os direitos e interesses de seus coproprietários, ou, ainda, as posturas edilícias</w:t>
      </w:r>
      <w:r w:rsidR="006861BA">
        <w:rPr>
          <w:color w:val="1A1818"/>
        </w:rPr>
        <w:t xml:space="preserve"> </w:t>
      </w:r>
      <w:r w:rsidRPr="008F1CE4">
        <w:rPr>
          <w:color w:val="1A1818"/>
        </w:rPr>
        <w:t>aplicáveis à espécie.</w:t>
      </w:r>
      <w:r>
        <w:rPr>
          <w:color w:val="1A1818"/>
        </w:rPr>
        <w:t>” (BUENO, 2011).</w:t>
      </w:r>
    </w:p>
    <w:p w:rsidR="007116D4" w:rsidRDefault="007116D4" w:rsidP="008F1CE4">
      <w:pPr>
        <w:pStyle w:val="NormalWeb"/>
        <w:spacing w:before="0" w:beforeAutospacing="0" w:after="0" w:afterAutospacing="0" w:line="360" w:lineRule="auto"/>
        <w:ind w:firstLine="437"/>
        <w:jc w:val="both"/>
        <w:rPr>
          <w:color w:val="000000"/>
        </w:rPr>
      </w:pPr>
    </w:p>
    <w:p w:rsidR="008F1CE4" w:rsidRDefault="006861BA" w:rsidP="006861BA">
      <w:pPr>
        <w:pStyle w:val="NormalWeb"/>
        <w:spacing w:before="0" w:beforeAutospacing="0" w:after="0" w:afterAutospacing="0" w:line="360" w:lineRule="auto"/>
        <w:jc w:val="both"/>
      </w:pPr>
      <w:r w:rsidRPr="006861BA">
        <w:rPr>
          <w:color w:val="000000"/>
        </w:rPr>
        <w:lastRenderedPageBreak/>
        <w:t xml:space="preserve">2.2 </w:t>
      </w:r>
      <w:r w:rsidRPr="006861BA">
        <w:t>Com o código novo, qual seria ação que deveria</w:t>
      </w:r>
      <w:r w:rsidR="005F5E44">
        <w:t xml:space="preserve"> ser utilizada hoje e as consequ</w:t>
      </w:r>
      <w:r w:rsidRPr="006861BA">
        <w:t>ências da não utilização no caso concreto?</w:t>
      </w:r>
    </w:p>
    <w:p w:rsidR="00FB757B" w:rsidRDefault="00FB757B" w:rsidP="005F5E44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5F5E44" w:rsidRDefault="006861BA" w:rsidP="005F5E44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A ação proposta pela Defensoria – ação de obrigação de não fazer com antecipação de tutela – está </w:t>
      </w:r>
      <w:r w:rsidR="005F5E44">
        <w:t>correta. Pode-se que está ação é uma tutela inibitória, prevista no art. 497 caput e parágrafo único do novo Código de Processo Civil.</w:t>
      </w:r>
      <w:bookmarkStart w:id="4" w:name="art497"/>
      <w:bookmarkEnd w:id="4"/>
    </w:p>
    <w:p w:rsidR="005F5E44" w:rsidRPr="005F5E44" w:rsidRDefault="005F5E44" w:rsidP="005F5E44">
      <w:pPr>
        <w:pStyle w:val="NormalWeb"/>
        <w:spacing w:before="0" w:beforeAutospacing="0" w:after="0" w:afterAutospacing="0"/>
        <w:ind w:left="2268"/>
        <w:jc w:val="both"/>
      </w:pPr>
      <w:r w:rsidRPr="005F5E44">
        <w:rPr>
          <w:sz w:val="20"/>
          <w:szCs w:val="20"/>
        </w:rPr>
        <w:t>Art. 497.  Na ação que tenha por objeto a prestação de fazer ou de não fazer, o juiz, se procedente o pedido, concederá a tutela específica ou determinará providências que assegurem a obtenção de tutela pelo resultado prático equivalente.</w:t>
      </w:r>
      <w:bookmarkStart w:id="5" w:name="art497p"/>
      <w:bookmarkEnd w:id="5"/>
      <w:r w:rsidRPr="005F5E44">
        <w:rPr>
          <w:sz w:val="20"/>
          <w:szCs w:val="20"/>
        </w:rPr>
        <w:t>Parágrafo único.  Para a concessão da tutela específica destinada a inibir a prática, a reiteração ou a continuação de um ilícito, ou a sua remoção, é irrelevante a demonstração da ocorrência de dano ou da existência de culpa ou dolo.</w:t>
      </w:r>
      <w:r>
        <w:rPr>
          <w:sz w:val="20"/>
          <w:szCs w:val="20"/>
        </w:rPr>
        <w:t xml:space="preserve"> (BRASIL, 2015).</w:t>
      </w:r>
    </w:p>
    <w:p w:rsidR="004E7C3F" w:rsidRDefault="004E7C3F" w:rsidP="005F5E44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Segundo os doutrinadores, Marinoni, Arenhart e Mitidiero, </w:t>
      </w:r>
      <w:r w:rsidR="001F0BF3">
        <w:t xml:space="preserve">a tutela inibitória é contra um ato ilícito, não participam da causa de pedir, da defesa, da prova e da sentença, ou seja, não compõe o mérito da causa, as alegações relacionadas ao dano ocorrido ou que possivelmente poderia ocorrer, e também a existência de culpa ou dolo (MARINONI; ARENHART; MITIDIERO, 2015). </w:t>
      </w:r>
    </w:p>
    <w:p w:rsidR="005F5E44" w:rsidRPr="005F5E44" w:rsidRDefault="004E7C3F" w:rsidP="005F5E44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 tutela inibitória, prevista no art. 497, parágrafo único do atual Código, é uma tutela preventiva. Tem como objetivo inibir a prática ou a continuação de um ilícito</w:t>
      </w:r>
      <w:r w:rsidR="001F0BF3">
        <w:t xml:space="preserve"> (MARINONI; ARENHART; MITIDIERO, 2015)</w:t>
      </w:r>
      <w:r>
        <w:t xml:space="preserve">. </w:t>
      </w:r>
    </w:p>
    <w:p w:rsidR="00BE029D" w:rsidRPr="00BE029D" w:rsidRDefault="00BE029D" w:rsidP="00BE029D">
      <w:pPr>
        <w:tabs>
          <w:tab w:val="left" w:pos="142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art934ii"/>
      <w:bookmarkEnd w:id="6"/>
    </w:p>
    <w:p w:rsidR="00D94457" w:rsidRPr="00EF7EF9" w:rsidRDefault="00D94457" w:rsidP="00B90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7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</w:p>
    <w:p w:rsidR="00C11470" w:rsidRPr="00EF7EF9" w:rsidRDefault="00C11470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6522B5" w:rsidRPr="00E55708" w:rsidRDefault="006522B5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5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BRASIL.</w:t>
      </w:r>
      <w:r w:rsidRPr="00E557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Constituição (1988).</w:t>
      </w:r>
      <w:r w:rsidRPr="00E55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Constituição da República Federativa do Brasil. Brasília, DF, Senado,</w:t>
      </w:r>
      <w:r w:rsidRPr="00E5570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55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1998.</w:t>
      </w:r>
    </w:p>
    <w:p w:rsidR="008117E5" w:rsidRPr="00E55708" w:rsidRDefault="00E55708" w:rsidP="001F0BF3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E55708">
        <w:rPr>
          <w:rFonts w:ascii="Times New Roman" w:hAnsi="Times New Roman" w:cs="Times New Roman"/>
          <w:sz w:val="24"/>
          <w:szCs w:val="24"/>
        </w:rPr>
        <w:br/>
      </w:r>
      <w:r w:rsidRPr="00E55708">
        <w:rPr>
          <w:rStyle w:val="Forte"/>
          <w:rFonts w:ascii="Times New Roman" w:hAnsi="Times New Roman" w:cs="Times New Roman"/>
          <w:b w:val="0"/>
          <w:sz w:val="24"/>
          <w:szCs w:val="24"/>
        </w:rPr>
        <w:t>BRASIL</w:t>
      </w:r>
      <w:r w:rsidRPr="00E55708">
        <w:rPr>
          <w:rFonts w:ascii="Times New Roman" w:hAnsi="Times New Roman" w:cs="Times New Roman"/>
          <w:b/>
          <w:sz w:val="24"/>
          <w:szCs w:val="24"/>
        </w:rPr>
        <w:t>.</w:t>
      </w:r>
      <w:r w:rsidRPr="00E55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757B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Código de Processo Civil</w:t>
      </w:r>
      <w:r w:rsidRPr="00E55708">
        <w:rPr>
          <w:rStyle w:val="nfase"/>
          <w:rFonts w:ascii="Times New Roman" w:hAnsi="Times New Roman" w:cs="Times New Roman"/>
          <w:i w:val="0"/>
          <w:sz w:val="24"/>
          <w:szCs w:val="24"/>
        </w:rPr>
        <w:t>, Lei 13.105, de 16 de março de 2015.</w:t>
      </w:r>
    </w:p>
    <w:p w:rsidR="001F0BF3" w:rsidRDefault="001F0BF3" w:rsidP="001F0BF3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E55708" w:rsidRPr="00E55708" w:rsidRDefault="00E55708" w:rsidP="001F0BF3">
      <w:pPr>
        <w:spacing w:after="0" w:line="240" w:lineRule="auto"/>
        <w:jc w:val="both"/>
        <w:rPr>
          <w:rStyle w:val="nfase"/>
          <w:i w:val="0"/>
        </w:rPr>
      </w:pPr>
      <w:r w:rsidRPr="00E55708">
        <w:rPr>
          <w:rStyle w:val="Forte"/>
          <w:rFonts w:ascii="Times New Roman" w:hAnsi="Times New Roman" w:cs="Times New Roman"/>
          <w:b w:val="0"/>
          <w:sz w:val="24"/>
          <w:szCs w:val="24"/>
        </w:rPr>
        <w:t>BRASIL</w:t>
      </w:r>
      <w:r w:rsidRPr="00E557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B757B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Código de Processo Civil</w:t>
      </w:r>
      <w:r w:rsidRPr="00E55708">
        <w:rPr>
          <w:rStyle w:val="nfase"/>
          <w:rFonts w:ascii="Times New Roman" w:hAnsi="Times New Roman" w:cs="Times New Roman"/>
          <w:i w:val="0"/>
          <w:sz w:val="24"/>
          <w:szCs w:val="24"/>
        </w:rPr>
        <w:t>, Lei 5.869, de 11 de janeiro de 1973.</w:t>
      </w:r>
    </w:p>
    <w:p w:rsidR="001F0BF3" w:rsidRDefault="001F0BF3" w:rsidP="001F0BF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55708" w:rsidRPr="004E7C3F" w:rsidRDefault="004E7C3F" w:rsidP="001F0BF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BRASIL. </w:t>
      </w:r>
      <w:r w:rsidRPr="00FB757B">
        <w:rPr>
          <w:rFonts w:ascii="Times New Roman" w:hAnsi="Times New Roman" w:cs="Times New Roman"/>
          <w:b/>
          <w:iCs/>
          <w:sz w:val="24"/>
          <w:szCs w:val="24"/>
        </w:rPr>
        <w:t>Lei de Introdução às Normas do Direito Brasileiro</w:t>
      </w:r>
      <w:r>
        <w:rPr>
          <w:rFonts w:ascii="Times New Roman" w:hAnsi="Times New Roman" w:cs="Times New Roman"/>
          <w:iCs/>
          <w:sz w:val="24"/>
          <w:szCs w:val="24"/>
        </w:rPr>
        <w:t>, Decreto-lei, de 4 de setembro de 1942.</w:t>
      </w:r>
    </w:p>
    <w:p w:rsidR="001F0BF3" w:rsidRDefault="001F0BF3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117E5" w:rsidRPr="008117E5" w:rsidRDefault="008117E5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BUENO, Cássio Scarpinella. </w:t>
      </w:r>
      <w:r w:rsidRPr="00FB75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Curso Sistematizado de Direito Processual Civil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Procedimentos Especiais do Código de Processo Civil</w:t>
      </w:r>
      <w:r w:rsidR="00A3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juizados especiais. Vol. 2. Tomo II. São Paulo:  Saraiva, 2011.</w:t>
      </w:r>
    </w:p>
    <w:p w:rsidR="00FB757B" w:rsidRDefault="00FB757B" w:rsidP="001F0B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C3F" w:rsidRDefault="00FB757B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CINTRA, Antonio Carlos de Araújo; DINAMARCO, Cândido Rangel; GRINOVER, Ada Pellegrini. </w:t>
      </w:r>
      <w:r w:rsidRPr="00FB757B">
        <w:rPr>
          <w:rFonts w:ascii="Times New Roman" w:hAnsi="Times New Roman" w:cs="Times New Roman"/>
          <w:b/>
          <w:color w:val="000000"/>
          <w:sz w:val="24"/>
          <w:szCs w:val="24"/>
        </w:rPr>
        <w:t>Teoria Geral do Processo</w:t>
      </w:r>
      <w:r>
        <w:rPr>
          <w:rFonts w:ascii="Times New Roman" w:hAnsi="Times New Roman" w:cs="Times New Roman"/>
          <w:color w:val="000000"/>
          <w:sz w:val="24"/>
          <w:szCs w:val="24"/>
        </w:rPr>
        <w:t>. Ed. 26</w:t>
      </w:r>
      <w:r>
        <w:rPr>
          <w:rFonts w:ascii="Times New Roman" w:hAnsi="Times New Roman" w:cs="Times New Roman"/>
          <w:color w:val="000000"/>
          <w:sz w:val="26"/>
          <w:szCs w:val="24"/>
        </w:rPr>
        <w:t xml:space="preserve">º.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São Paulo: Editora Malheiros, 2010</w:t>
      </w:r>
    </w:p>
    <w:p w:rsidR="00FB757B" w:rsidRDefault="00FB757B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689C" w:rsidRPr="0034689C" w:rsidRDefault="0034689C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CÂMARA, Alexandre Freitas. </w:t>
      </w:r>
      <w:r w:rsidRPr="00FB75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 Novo Processo Civil Brasileiro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Ed. 2º. São Paulo: Atlas, 2016.</w:t>
      </w:r>
    </w:p>
    <w:p w:rsidR="0034689C" w:rsidRDefault="0034689C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964A3" w:rsidRDefault="0034689C" w:rsidP="001F0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GONÇALVES, Carlos Roberto. </w:t>
      </w:r>
      <w:r w:rsidRPr="00FB75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Direito Civil Brasileiro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Parte Geral. Vol 1. Ed.</w:t>
      </w:r>
      <w:r w:rsidR="00A3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12. São Paulo: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Saraiva, 2014.</w:t>
      </w:r>
    </w:p>
    <w:p w:rsidR="00F210A6" w:rsidRDefault="00F210A6" w:rsidP="009F0F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87967" w:rsidRPr="00FB757B" w:rsidRDefault="001F0BF3" w:rsidP="009F0F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757B">
        <w:rPr>
          <w:rFonts w:ascii="Times New Roman" w:hAnsi="Times New Roman" w:cs="Times New Roman"/>
          <w:sz w:val="24"/>
          <w:szCs w:val="24"/>
        </w:rPr>
        <w:t>MARINONI, Luis Guilherme; ARENHART, Sérgio Cruz; MITIDIERO, Danie</w:t>
      </w:r>
      <w:r w:rsidR="00FB757B" w:rsidRPr="00FB757B">
        <w:rPr>
          <w:rFonts w:ascii="Times New Roman" w:hAnsi="Times New Roman" w:cs="Times New Roman"/>
          <w:sz w:val="24"/>
          <w:szCs w:val="24"/>
        </w:rPr>
        <w:t xml:space="preserve">l. </w:t>
      </w:r>
      <w:r w:rsidR="00FB757B" w:rsidRPr="00FB757B">
        <w:rPr>
          <w:rFonts w:ascii="Times New Roman" w:hAnsi="Times New Roman" w:cs="Times New Roman"/>
          <w:b/>
          <w:sz w:val="24"/>
          <w:szCs w:val="24"/>
        </w:rPr>
        <w:t>Novo Código de Processo Civil Comentado</w:t>
      </w:r>
      <w:r w:rsidR="00FB757B" w:rsidRPr="00FB757B">
        <w:rPr>
          <w:rFonts w:ascii="Times New Roman" w:hAnsi="Times New Roman" w:cs="Times New Roman"/>
          <w:sz w:val="24"/>
          <w:szCs w:val="24"/>
        </w:rPr>
        <w:t xml:space="preserve">. São Paulo. Editora Revista dos Tribunais, </w:t>
      </w:r>
      <w:r w:rsidRPr="00FB757B">
        <w:rPr>
          <w:rFonts w:ascii="Times New Roman" w:hAnsi="Times New Roman" w:cs="Times New Roman"/>
          <w:sz w:val="24"/>
          <w:szCs w:val="24"/>
        </w:rPr>
        <w:t>2015</w:t>
      </w:r>
      <w:r w:rsidR="00FB757B" w:rsidRPr="00FB757B">
        <w:rPr>
          <w:rFonts w:ascii="Times New Roman" w:hAnsi="Times New Roman" w:cs="Times New Roman"/>
          <w:sz w:val="24"/>
          <w:szCs w:val="24"/>
        </w:rPr>
        <w:t>.</w:t>
      </w:r>
    </w:p>
    <w:sectPr w:rsidR="00E87967" w:rsidRPr="00FB757B" w:rsidSect="003D3B58">
      <w:headerReference w:type="default" r:id="rId8"/>
      <w:headerReference w:type="first" r:id="rId9"/>
      <w:footerReference w:type="firs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0D" w:rsidRDefault="0029770D" w:rsidP="00F57657">
      <w:pPr>
        <w:spacing w:after="0" w:line="240" w:lineRule="auto"/>
      </w:pPr>
      <w:r>
        <w:separator/>
      </w:r>
    </w:p>
  </w:endnote>
  <w:endnote w:type="continuationSeparator" w:id="0">
    <w:p w:rsidR="0029770D" w:rsidRDefault="0029770D" w:rsidP="00F5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BDB" w:rsidRPr="003D3B58" w:rsidRDefault="00E17BDB" w:rsidP="00E17BDB">
    <w:pPr>
      <w:pStyle w:val="Default"/>
      <w:rPr>
        <w:rFonts w:ascii="Times New Roman" w:hAnsi="Times New Roman" w:cs="Times New Roman"/>
        <w:sz w:val="20"/>
        <w:szCs w:val="20"/>
      </w:rPr>
    </w:pPr>
    <w:r w:rsidRPr="003D3B58">
      <w:rPr>
        <w:rFonts w:ascii="Times New Roman" w:hAnsi="Times New Roman" w:cs="Times New Roman"/>
        <w:sz w:val="20"/>
        <w:szCs w:val="20"/>
      </w:rPr>
      <w:t>_________________________</w:t>
    </w:r>
  </w:p>
  <w:p w:rsidR="00E17BDB" w:rsidRPr="000A5B56" w:rsidRDefault="00E17BDB" w:rsidP="00E17BDB">
    <w:pPr>
      <w:pStyle w:val="Defaul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¹Case apresentado à disciplina </w:t>
    </w:r>
    <w:r w:rsidR="006E5BAF">
      <w:rPr>
        <w:rFonts w:ascii="Times New Roman" w:hAnsi="Times New Roman" w:cs="Times New Roman"/>
        <w:sz w:val="20"/>
        <w:szCs w:val="20"/>
      </w:rPr>
      <w:t>Processo Cautelar e Procedimentos Especiais</w:t>
    </w:r>
    <w:r w:rsidRPr="000A5B56">
      <w:rPr>
        <w:rFonts w:ascii="Times New Roman" w:hAnsi="Times New Roman" w:cs="Times New Roman"/>
        <w:sz w:val="20"/>
        <w:szCs w:val="20"/>
      </w:rPr>
      <w:t xml:space="preserve">, da Unidade de Ensino Superior Dom Bosco - UNDB. </w:t>
    </w:r>
  </w:p>
  <w:p w:rsidR="00E17BDB" w:rsidRPr="000A5B56" w:rsidRDefault="00E17BDB" w:rsidP="00E17BDB">
    <w:pPr>
      <w:pStyle w:val="Defaul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²</w:t>
    </w:r>
    <w:r w:rsidRPr="000A5B56">
      <w:rPr>
        <w:rFonts w:ascii="Times New Roman" w:hAnsi="Times New Roman" w:cs="Times New Roman"/>
        <w:sz w:val="20"/>
        <w:szCs w:val="20"/>
      </w:rPr>
      <w:t>Alun</w:t>
    </w:r>
    <w:r w:rsidR="003F0893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 xml:space="preserve"> do </w:t>
    </w:r>
    <w:r w:rsidR="006E5BAF">
      <w:rPr>
        <w:rFonts w:ascii="Times New Roman" w:hAnsi="Times New Roman" w:cs="Times New Roman"/>
        <w:sz w:val="20"/>
        <w:szCs w:val="20"/>
      </w:rPr>
      <w:t>8</w:t>
    </w:r>
    <w:r w:rsidRPr="000A5B56">
      <w:rPr>
        <w:rFonts w:ascii="Times New Roman" w:hAnsi="Times New Roman" w:cs="Times New Roman"/>
        <w:sz w:val="20"/>
        <w:szCs w:val="20"/>
      </w:rPr>
      <w:t xml:space="preserve">º Período, do Curso de </w:t>
    </w:r>
    <w:r>
      <w:rPr>
        <w:rFonts w:ascii="Times New Roman" w:hAnsi="Times New Roman" w:cs="Times New Roman"/>
        <w:sz w:val="20"/>
        <w:szCs w:val="20"/>
      </w:rPr>
      <w:t>Direito</w:t>
    </w:r>
    <w:r w:rsidRPr="000A5B56">
      <w:rPr>
        <w:rFonts w:ascii="Times New Roman" w:hAnsi="Times New Roman" w:cs="Times New Roman"/>
        <w:sz w:val="20"/>
        <w:szCs w:val="20"/>
      </w:rPr>
      <w:t xml:space="preserve">, da UNDB. </w:t>
    </w:r>
  </w:p>
  <w:p w:rsidR="00E17BDB" w:rsidRPr="000A5B56" w:rsidRDefault="00E17BDB" w:rsidP="00E17BDB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³ Professor</w:t>
    </w:r>
    <w:r w:rsidR="00867BE0">
      <w:rPr>
        <w:rFonts w:ascii="Times New Roman" w:hAnsi="Times New Roman" w:cs="Times New Roman"/>
        <w:sz w:val="20"/>
        <w:szCs w:val="20"/>
      </w:rPr>
      <w:t xml:space="preserve"> da Disciplina</w:t>
    </w:r>
    <w:r w:rsidR="006E5BAF" w:rsidRPr="006E5BAF">
      <w:rPr>
        <w:rFonts w:ascii="Times New Roman" w:hAnsi="Times New Roman" w:cs="Times New Roman"/>
        <w:sz w:val="20"/>
        <w:szCs w:val="20"/>
      </w:rPr>
      <w:t xml:space="preserve"> </w:t>
    </w:r>
    <w:r w:rsidR="006E5BAF">
      <w:rPr>
        <w:rFonts w:ascii="Times New Roman" w:hAnsi="Times New Roman" w:cs="Times New Roman"/>
        <w:sz w:val="20"/>
        <w:szCs w:val="20"/>
      </w:rPr>
      <w:t>Processo Cautelar e Procedimentos Especiais</w:t>
    </w:r>
    <w:r w:rsidR="000B1B61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da UNDB.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0D" w:rsidRDefault="0029770D" w:rsidP="00F57657">
      <w:pPr>
        <w:spacing w:after="0" w:line="240" w:lineRule="auto"/>
      </w:pPr>
      <w:r>
        <w:separator/>
      </w:r>
    </w:p>
  </w:footnote>
  <w:footnote w:type="continuationSeparator" w:id="0">
    <w:p w:rsidR="0029770D" w:rsidRDefault="0029770D" w:rsidP="00F5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57" w:rsidRDefault="00F57657" w:rsidP="00F57657">
    <w:pPr>
      <w:pStyle w:val="Cabealho"/>
      <w:tabs>
        <w:tab w:val="clear" w:pos="850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B58" w:rsidRDefault="003D3B58">
    <w:pPr>
      <w:pStyle w:val="Cabealho"/>
    </w:pPr>
    <w:r w:rsidRPr="003D3B58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1501140</wp:posOffset>
          </wp:positionH>
          <wp:positionV relativeFrom="paragraph">
            <wp:posOffset>-97155</wp:posOffset>
          </wp:positionV>
          <wp:extent cx="2181225" cy="571500"/>
          <wp:effectExtent l="19050" t="0" r="9525" b="0"/>
          <wp:wrapNone/>
          <wp:docPr id="2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40D"/>
    <w:multiLevelType w:val="hybridMultilevel"/>
    <w:tmpl w:val="38CA29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49E0"/>
    <w:multiLevelType w:val="hybridMultilevel"/>
    <w:tmpl w:val="A29CD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5B17"/>
    <w:multiLevelType w:val="hybridMultilevel"/>
    <w:tmpl w:val="99F4A044"/>
    <w:lvl w:ilvl="0" w:tplc="7E56216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36D8"/>
    <w:multiLevelType w:val="hybridMultilevel"/>
    <w:tmpl w:val="B132788C"/>
    <w:lvl w:ilvl="0" w:tplc="9B207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0786C"/>
    <w:multiLevelType w:val="hybridMultilevel"/>
    <w:tmpl w:val="516CF638"/>
    <w:lvl w:ilvl="0" w:tplc="DBB696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4B3D"/>
    <w:multiLevelType w:val="multilevel"/>
    <w:tmpl w:val="CF70BB5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6F5735BF"/>
    <w:multiLevelType w:val="multilevel"/>
    <w:tmpl w:val="CF70BB5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57"/>
    <w:rsid w:val="00004BB2"/>
    <w:rsid w:val="00010D01"/>
    <w:rsid w:val="0001485C"/>
    <w:rsid w:val="00023DE3"/>
    <w:rsid w:val="00025C82"/>
    <w:rsid w:val="00045501"/>
    <w:rsid w:val="000A0721"/>
    <w:rsid w:val="000A1A16"/>
    <w:rsid w:val="000B1B61"/>
    <w:rsid w:val="000C3B69"/>
    <w:rsid w:val="000D5C54"/>
    <w:rsid w:val="000D5D20"/>
    <w:rsid w:val="000E36F2"/>
    <w:rsid w:val="000E502B"/>
    <w:rsid w:val="000F1BB9"/>
    <w:rsid w:val="00100287"/>
    <w:rsid w:val="00104828"/>
    <w:rsid w:val="00113D92"/>
    <w:rsid w:val="00133EE1"/>
    <w:rsid w:val="00136192"/>
    <w:rsid w:val="00142F91"/>
    <w:rsid w:val="00153D73"/>
    <w:rsid w:val="001643ED"/>
    <w:rsid w:val="0016497B"/>
    <w:rsid w:val="0017127B"/>
    <w:rsid w:val="00177392"/>
    <w:rsid w:val="001A06AA"/>
    <w:rsid w:val="001A0D2E"/>
    <w:rsid w:val="001A1C4E"/>
    <w:rsid w:val="001B6AAE"/>
    <w:rsid w:val="001E4CD8"/>
    <w:rsid w:val="001F0BF3"/>
    <w:rsid w:val="001F4244"/>
    <w:rsid w:val="001F5A09"/>
    <w:rsid w:val="00212594"/>
    <w:rsid w:val="0021589E"/>
    <w:rsid w:val="00221EF1"/>
    <w:rsid w:val="00222D6E"/>
    <w:rsid w:val="00224793"/>
    <w:rsid w:val="00226860"/>
    <w:rsid w:val="0023719C"/>
    <w:rsid w:val="002468A0"/>
    <w:rsid w:val="002535B7"/>
    <w:rsid w:val="0026506D"/>
    <w:rsid w:val="002671EF"/>
    <w:rsid w:val="00276774"/>
    <w:rsid w:val="00285229"/>
    <w:rsid w:val="0029770D"/>
    <w:rsid w:val="002A34BA"/>
    <w:rsid w:val="002B3547"/>
    <w:rsid w:val="002C212C"/>
    <w:rsid w:val="002C3982"/>
    <w:rsid w:val="002C4B85"/>
    <w:rsid w:val="002D327A"/>
    <w:rsid w:val="002D5C49"/>
    <w:rsid w:val="002E4058"/>
    <w:rsid w:val="002F6A78"/>
    <w:rsid w:val="003060F9"/>
    <w:rsid w:val="00314A83"/>
    <w:rsid w:val="00320B1B"/>
    <w:rsid w:val="00320B96"/>
    <w:rsid w:val="00323411"/>
    <w:rsid w:val="003433EF"/>
    <w:rsid w:val="00345461"/>
    <w:rsid w:val="0034689C"/>
    <w:rsid w:val="0036194F"/>
    <w:rsid w:val="00370743"/>
    <w:rsid w:val="003813C9"/>
    <w:rsid w:val="00383070"/>
    <w:rsid w:val="003831CA"/>
    <w:rsid w:val="003922A2"/>
    <w:rsid w:val="00394B07"/>
    <w:rsid w:val="003964A3"/>
    <w:rsid w:val="003A4810"/>
    <w:rsid w:val="003A7905"/>
    <w:rsid w:val="003B08A5"/>
    <w:rsid w:val="003B0BA1"/>
    <w:rsid w:val="003D3B58"/>
    <w:rsid w:val="003E400C"/>
    <w:rsid w:val="003F0893"/>
    <w:rsid w:val="003F743C"/>
    <w:rsid w:val="00402551"/>
    <w:rsid w:val="00413B8B"/>
    <w:rsid w:val="004154CC"/>
    <w:rsid w:val="004251C6"/>
    <w:rsid w:val="004446FC"/>
    <w:rsid w:val="0045603F"/>
    <w:rsid w:val="00457B8C"/>
    <w:rsid w:val="00467D3C"/>
    <w:rsid w:val="00475C55"/>
    <w:rsid w:val="004763D7"/>
    <w:rsid w:val="00484E69"/>
    <w:rsid w:val="004923F8"/>
    <w:rsid w:val="004A48F1"/>
    <w:rsid w:val="004A7D9F"/>
    <w:rsid w:val="004C4B33"/>
    <w:rsid w:val="004E7C3F"/>
    <w:rsid w:val="004F0EC0"/>
    <w:rsid w:val="004F2D47"/>
    <w:rsid w:val="004F7BBC"/>
    <w:rsid w:val="00504DBD"/>
    <w:rsid w:val="00505CAB"/>
    <w:rsid w:val="00524619"/>
    <w:rsid w:val="00527F2F"/>
    <w:rsid w:val="00533A16"/>
    <w:rsid w:val="00541553"/>
    <w:rsid w:val="00542CD1"/>
    <w:rsid w:val="00542CE1"/>
    <w:rsid w:val="00544FD7"/>
    <w:rsid w:val="005534A2"/>
    <w:rsid w:val="00557D71"/>
    <w:rsid w:val="00572723"/>
    <w:rsid w:val="00581D8A"/>
    <w:rsid w:val="005829AC"/>
    <w:rsid w:val="00591A62"/>
    <w:rsid w:val="005A7C78"/>
    <w:rsid w:val="005B02E6"/>
    <w:rsid w:val="005B1E0B"/>
    <w:rsid w:val="005C1FE3"/>
    <w:rsid w:val="005D173D"/>
    <w:rsid w:val="005D451B"/>
    <w:rsid w:val="005D6832"/>
    <w:rsid w:val="005E0167"/>
    <w:rsid w:val="005F5E44"/>
    <w:rsid w:val="00612A71"/>
    <w:rsid w:val="00634E4E"/>
    <w:rsid w:val="006522B5"/>
    <w:rsid w:val="00652317"/>
    <w:rsid w:val="00663D1C"/>
    <w:rsid w:val="006703F2"/>
    <w:rsid w:val="006738A3"/>
    <w:rsid w:val="006861BA"/>
    <w:rsid w:val="0068719D"/>
    <w:rsid w:val="0069002E"/>
    <w:rsid w:val="00697538"/>
    <w:rsid w:val="006B54EC"/>
    <w:rsid w:val="006C0DA4"/>
    <w:rsid w:val="006C74E0"/>
    <w:rsid w:val="006D165D"/>
    <w:rsid w:val="006D2BEE"/>
    <w:rsid w:val="006D3A3D"/>
    <w:rsid w:val="006D481F"/>
    <w:rsid w:val="006E06B2"/>
    <w:rsid w:val="006E5BAF"/>
    <w:rsid w:val="006F266F"/>
    <w:rsid w:val="007046E7"/>
    <w:rsid w:val="007054E5"/>
    <w:rsid w:val="007116D4"/>
    <w:rsid w:val="00721CAE"/>
    <w:rsid w:val="00726686"/>
    <w:rsid w:val="00735B49"/>
    <w:rsid w:val="0075124C"/>
    <w:rsid w:val="007648D3"/>
    <w:rsid w:val="007710C3"/>
    <w:rsid w:val="00773EEE"/>
    <w:rsid w:val="00776900"/>
    <w:rsid w:val="007806B4"/>
    <w:rsid w:val="007810CD"/>
    <w:rsid w:val="00792082"/>
    <w:rsid w:val="00794379"/>
    <w:rsid w:val="007A7735"/>
    <w:rsid w:val="007B1E88"/>
    <w:rsid w:val="007C41D5"/>
    <w:rsid w:val="007D6BE2"/>
    <w:rsid w:val="007E4E2C"/>
    <w:rsid w:val="008117E5"/>
    <w:rsid w:val="00814BF1"/>
    <w:rsid w:val="00820C88"/>
    <w:rsid w:val="00826B17"/>
    <w:rsid w:val="00830D2B"/>
    <w:rsid w:val="008465D7"/>
    <w:rsid w:val="00852553"/>
    <w:rsid w:val="00867BE0"/>
    <w:rsid w:val="00867D5C"/>
    <w:rsid w:val="008709AB"/>
    <w:rsid w:val="00883970"/>
    <w:rsid w:val="00886928"/>
    <w:rsid w:val="008A0693"/>
    <w:rsid w:val="008B3CAF"/>
    <w:rsid w:val="008B4ED9"/>
    <w:rsid w:val="008C51FC"/>
    <w:rsid w:val="008D69ED"/>
    <w:rsid w:val="008F1CE4"/>
    <w:rsid w:val="008F5756"/>
    <w:rsid w:val="008F702B"/>
    <w:rsid w:val="0090533D"/>
    <w:rsid w:val="0091405C"/>
    <w:rsid w:val="00915118"/>
    <w:rsid w:val="00922DB1"/>
    <w:rsid w:val="00936389"/>
    <w:rsid w:val="009573F4"/>
    <w:rsid w:val="009708B7"/>
    <w:rsid w:val="009820DB"/>
    <w:rsid w:val="00987501"/>
    <w:rsid w:val="0099063A"/>
    <w:rsid w:val="00991A11"/>
    <w:rsid w:val="009A5995"/>
    <w:rsid w:val="009B2271"/>
    <w:rsid w:val="009C25D5"/>
    <w:rsid w:val="009C2DEB"/>
    <w:rsid w:val="009D39E9"/>
    <w:rsid w:val="009E4AC5"/>
    <w:rsid w:val="009E6E93"/>
    <w:rsid w:val="009F0F88"/>
    <w:rsid w:val="009F4A11"/>
    <w:rsid w:val="00A132F5"/>
    <w:rsid w:val="00A31991"/>
    <w:rsid w:val="00A539E3"/>
    <w:rsid w:val="00A64DA0"/>
    <w:rsid w:val="00A855D9"/>
    <w:rsid w:val="00AD7A0D"/>
    <w:rsid w:val="00AE3F74"/>
    <w:rsid w:val="00AE5BBD"/>
    <w:rsid w:val="00AF0399"/>
    <w:rsid w:val="00AF3679"/>
    <w:rsid w:val="00B1592D"/>
    <w:rsid w:val="00B17DA7"/>
    <w:rsid w:val="00B223F0"/>
    <w:rsid w:val="00B23D75"/>
    <w:rsid w:val="00B27901"/>
    <w:rsid w:val="00B305A0"/>
    <w:rsid w:val="00B46B67"/>
    <w:rsid w:val="00B57585"/>
    <w:rsid w:val="00B9094E"/>
    <w:rsid w:val="00B938A6"/>
    <w:rsid w:val="00BB7AA8"/>
    <w:rsid w:val="00BD13C3"/>
    <w:rsid w:val="00BD3359"/>
    <w:rsid w:val="00BE029D"/>
    <w:rsid w:val="00C11470"/>
    <w:rsid w:val="00C14905"/>
    <w:rsid w:val="00C27F78"/>
    <w:rsid w:val="00C426E0"/>
    <w:rsid w:val="00C60DAD"/>
    <w:rsid w:val="00C925F6"/>
    <w:rsid w:val="00CA66E7"/>
    <w:rsid w:val="00CB5379"/>
    <w:rsid w:val="00CC24AA"/>
    <w:rsid w:val="00CC6022"/>
    <w:rsid w:val="00CF06C0"/>
    <w:rsid w:val="00D05E37"/>
    <w:rsid w:val="00D1470B"/>
    <w:rsid w:val="00D32C8E"/>
    <w:rsid w:val="00D3633F"/>
    <w:rsid w:val="00D45F95"/>
    <w:rsid w:val="00D475ED"/>
    <w:rsid w:val="00D57E0E"/>
    <w:rsid w:val="00D62092"/>
    <w:rsid w:val="00D764DE"/>
    <w:rsid w:val="00D94457"/>
    <w:rsid w:val="00DA1D52"/>
    <w:rsid w:val="00DA3EB7"/>
    <w:rsid w:val="00DA5CBA"/>
    <w:rsid w:val="00DB652E"/>
    <w:rsid w:val="00DC3451"/>
    <w:rsid w:val="00DC5CDE"/>
    <w:rsid w:val="00DD180F"/>
    <w:rsid w:val="00DF49F3"/>
    <w:rsid w:val="00DF5D0A"/>
    <w:rsid w:val="00E13A2C"/>
    <w:rsid w:val="00E16313"/>
    <w:rsid w:val="00E17BDB"/>
    <w:rsid w:val="00E208B7"/>
    <w:rsid w:val="00E40A3B"/>
    <w:rsid w:val="00E516CC"/>
    <w:rsid w:val="00E55708"/>
    <w:rsid w:val="00E7236E"/>
    <w:rsid w:val="00E73FF0"/>
    <w:rsid w:val="00E87967"/>
    <w:rsid w:val="00E917D2"/>
    <w:rsid w:val="00EA69C9"/>
    <w:rsid w:val="00EB4799"/>
    <w:rsid w:val="00EC42A4"/>
    <w:rsid w:val="00EC50B9"/>
    <w:rsid w:val="00EC5CD9"/>
    <w:rsid w:val="00ED25CB"/>
    <w:rsid w:val="00EE18BF"/>
    <w:rsid w:val="00EF7EF9"/>
    <w:rsid w:val="00F06861"/>
    <w:rsid w:val="00F13853"/>
    <w:rsid w:val="00F210A6"/>
    <w:rsid w:val="00F57657"/>
    <w:rsid w:val="00F61206"/>
    <w:rsid w:val="00F6298D"/>
    <w:rsid w:val="00F65AF2"/>
    <w:rsid w:val="00F671D9"/>
    <w:rsid w:val="00F87EFD"/>
    <w:rsid w:val="00F94B69"/>
    <w:rsid w:val="00F94F56"/>
    <w:rsid w:val="00FA3AAF"/>
    <w:rsid w:val="00FA7347"/>
    <w:rsid w:val="00FB4FB5"/>
    <w:rsid w:val="00FB757B"/>
    <w:rsid w:val="00FC24A2"/>
    <w:rsid w:val="00FD42BE"/>
    <w:rsid w:val="00FD43E0"/>
    <w:rsid w:val="00FE2583"/>
    <w:rsid w:val="00FE321F"/>
    <w:rsid w:val="00FE35E7"/>
    <w:rsid w:val="00FF1BB5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85167-E81D-42A4-A09A-04A806BF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C78"/>
  </w:style>
  <w:style w:type="paragraph" w:styleId="Ttulo1">
    <w:name w:val="heading 1"/>
    <w:basedOn w:val="Normal"/>
    <w:link w:val="Ttulo1Char"/>
    <w:uiPriority w:val="9"/>
    <w:qFormat/>
    <w:rsid w:val="00D9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1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7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657"/>
  </w:style>
  <w:style w:type="paragraph" w:styleId="Rodap">
    <w:name w:val="footer"/>
    <w:basedOn w:val="Normal"/>
    <w:link w:val="RodapChar"/>
    <w:uiPriority w:val="99"/>
    <w:unhideWhenUsed/>
    <w:rsid w:val="00F57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7657"/>
  </w:style>
  <w:style w:type="paragraph" w:styleId="PargrafodaLista">
    <w:name w:val="List Paragraph"/>
    <w:basedOn w:val="Normal"/>
    <w:uiPriority w:val="34"/>
    <w:qFormat/>
    <w:rsid w:val="00922DB1"/>
    <w:pPr>
      <w:ind w:left="720"/>
      <w:contextualSpacing/>
    </w:pPr>
  </w:style>
  <w:style w:type="paragraph" w:customStyle="1" w:styleId="Default">
    <w:name w:val="Default"/>
    <w:rsid w:val="003D3B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944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ontepargpadro"/>
    <w:rsid w:val="00D94457"/>
  </w:style>
  <w:style w:type="character" w:styleId="Forte">
    <w:name w:val="Strong"/>
    <w:basedOn w:val="Fontepargpadro"/>
    <w:uiPriority w:val="22"/>
    <w:qFormat/>
    <w:rsid w:val="00D94457"/>
    <w:rPr>
      <w:b/>
      <w:bCs/>
    </w:rPr>
  </w:style>
  <w:style w:type="character" w:styleId="Hyperlink">
    <w:name w:val="Hyperlink"/>
    <w:basedOn w:val="Fontepargpadro"/>
    <w:uiPriority w:val="99"/>
    <w:unhideWhenUsed/>
    <w:rsid w:val="00D94457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DD18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8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08B7"/>
    <w:rPr>
      <w:color w:val="800080" w:themeColor="followedHyperlink"/>
      <w:u w:val="single"/>
    </w:rPr>
  </w:style>
  <w:style w:type="character" w:customStyle="1" w:styleId="char-style-override-1">
    <w:name w:val="char-style-override-1"/>
    <w:basedOn w:val="Fontepargpadro"/>
    <w:rsid w:val="00C60DAD"/>
  </w:style>
  <w:style w:type="character" w:customStyle="1" w:styleId="char-style-override-4">
    <w:name w:val="char-style-override-4"/>
    <w:basedOn w:val="Fontepargpadro"/>
    <w:rsid w:val="00C60DAD"/>
  </w:style>
  <w:style w:type="character" w:styleId="nfase">
    <w:name w:val="Emphasis"/>
    <w:basedOn w:val="Fontepargpadro"/>
    <w:uiPriority w:val="20"/>
    <w:qFormat/>
    <w:rsid w:val="00EA69C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771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b">
    <w:name w:val="cab"/>
    <w:basedOn w:val="Normal"/>
    <w:rsid w:val="0078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">
    <w:name w:val="par"/>
    <w:basedOn w:val="Normal"/>
    <w:rsid w:val="0078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10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7E736-06C3-47D7-8303-F2C4E2B0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Filho</dc:creator>
  <cp:lastModifiedBy>MARCELO MACHADO RODRIGUES</cp:lastModifiedBy>
  <cp:revision>2</cp:revision>
  <dcterms:created xsi:type="dcterms:W3CDTF">2018-07-10T14:08:00Z</dcterms:created>
  <dcterms:modified xsi:type="dcterms:W3CDTF">2018-07-10T14:08:00Z</dcterms:modified>
</cp:coreProperties>
</file>