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C0D" w:rsidRPr="00BE10A7" w:rsidRDefault="008C6C0F" w:rsidP="00CC2B5A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CC2B5A" w:rsidRPr="00BE10A7">
        <w:rPr>
          <w:b/>
          <w:sz w:val="24"/>
        </w:rPr>
        <w:t xml:space="preserve">SINOPSE DE </w:t>
      </w:r>
      <w:r w:rsidR="00CC2B5A" w:rsidRPr="00BE10A7">
        <w:rPr>
          <w:b/>
          <w:i/>
          <w:sz w:val="24"/>
        </w:rPr>
        <w:t>CASE</w:t>
      </w:r>
      <w:r w:rsidR="005C0068" w:rsidRPr="00BE10A7">
        <w:rPr>
          <w:rStyle w:val="Refdenotaderodap"/>
          <w:b/>
          <w:sz w:val="24"/>
        </w:rPr>
        <w:footnoteReference w:id="1"/>
      </w:r>
    </w:p>
    <w:p w:rsidR="005C0068" w:rsidRPr="00BE10A7" w:rsidRDefault="00BB0894" w:rsidP="005C0068">
      <w:pPr>
        <w:jc w:val="right"/>
        <w:rPr>
          <w:i/>
          <w:sz w:val="24"/>
        </w:rPr>
      </w:pPr>
      <w:r>
        <w:rPr>
          <w:i/>
          <w:sz w:val="24"/>
        </w:rPr>
        <w:t xml:space="preserve">Bruno Henrique </w:t>
      </w:r>
      <w:r w:rsidR="008C6C0F">
        <w:rPr>
          <w:i/>
          <w:sz w:val="24"/>
        </w:rPr>
        <w:t xml:space="preserve">de Oliveira </w:t>
      </w:r>
      <w:r>
        <w:rPr>
          <w:i/>
          <w:sz w:val="24"/>
        </w:rPr>
        <w:t>Coqueiro</w:t>
      </w:r>
      <w:r w:rsidR="005C0068" w:rsidRPr="00BE10A7">
        <w:rPr>
          <w:rStyle w:val="Refdenotaderodap"/>
          <w:i/>
          <w:sz w:val="24"/>
        </w:rPr>
        <w:footnoteReference w:id="2"/>
      </w:r>
    </w:p>
    <w:p w:rsidR="005C0068" w:rsidRPr="00BE10A7" w:rsidRDefault="00BB0894" w:rsidP="0043704D">
      <w:pPr>
        <w:jc w:val="right"/>
        <w:rPr>
          <w:i/>
          <w:sz w:val="24"/>
        </w:rPr>
      </w:pPr>
      <w:proofErr w:type="spellStart"/>
      <w:r>
        <w:rPr>
          <w:i/>
          <w:sz w:val="24"/>
        </w:rPr>
        <w:t>Mayco</w:t>
      </w:r>
      <w:proofErr w:type="spellEnd"/>
      <w:r>
        <w:rPr>
          <w:i/>
          <w:sz w:val="24"/>
        </w:rPr>
        <w:t xml:space="preserve"> Murilo Pinheiro</w:t>
      </w:r>
      <w:r w:rsidR="005C0068" w:rsidRPr="00BE10A7">
        <w:rPr>
          <w:rStyle w:val="Refdenotaderodap"/>
          <w:i/>
          <w:sz w:val="24"/>
        </w:rPr>
        <w:footnoteReference w:id="3"/>
      </w:r>
    </w:p>
    <w:p w:rsidR="005C0068" w:rsidRPr="00BE10A7" w:rsidRDefault="005C0068" w:rsidP="005C0068">
      <w:pPr>
        <w:rPr>
          <w:i/>
          <w:sz w:val="24"/>
        </w:rPr>
      </w:pPr>
    </w:p>
    <w:p w:rsidR="005C0068" w:rsidRPr="00BE10A7" w:rsidRDefault="005C0068" w:rsidP="005C0068">
      <w:pPr>
        <w:rPr>
          <w:b/>
          <w:sz w:val="24"/>
        </w:rPr>
      </w:pPr>
      <w:r w:rsidRPr="00BE10A7">
        <w:rPr>
          <w:b/>
          <w:sz w:val="24"/>
        </w:rPr>
        <w:t>1 DO CASO</w:t>
      </w:r>
    </w:p>
    <w:p w:rsidR="00953DC8" w:rsidRPr="00953DC8" w:rsidRDefault="00953DC8" w:rsidP="00953DC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cs="Times New Roman"/>
          <w:sz w:val="24"/>
        </w:rPr>
      </w:pPr>
      <w:r w:rsidRPr="00953DC8">
        <w:rPr>
          <w:rFonts w:cs="Times New Roman"/>
          <w:sz w:val="24"/>
        </w:rPr>
        <w:t>CARLA BRAGA foi admitida em 16/05/2017 pela VIAÇÃO AÉREA NORTE S.A para exercer a função de encarregada de pátio de aeronaves, recebendo o salário de R$ 1.500,00, por mês, como trabalhadora temporária pela RH Trabalhos Temporários Ltda., sendo desligada em 29/11/2017.</w:t>
      </w:r>
    </w:p>
    <w:p w:rsidR="00425411" w:rsidRDefault="00953DC8" w:rsidP="0042541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cs="Times New Roman"/>
          <w:sz w:val="24"/>
        </w:rPr>
      </w:pPr>
      <w:r w:rsidRPr="00953DC8">
        <w:rPr>
          <w:rFonts w:cs="Times New Roman"/>
          <w:sz w:val="24"/>
        </w:rPr>
        <w:t xml:space="preserve">Em 20/11/2017, a VIAÇÃO AÉREA NORTE S.A foi incorporada pela </w:t>
      </w:r>
      <w:r>
        <w:rPr>
          <w:rFonts w:cs="Times New Roman"/>
          <w:sz w:val="24"/>
        </w:rPr>
        <w:t xml:space="preserve">VIAÇÃO AÉREA MARANHÃO S.A., que </w:t>
      </w:r>
      <w:r w:rsidRPr="00953DC8">
        <w:rPr>
          <w:rFonts w:cs="Times New Roman"/>
          <w:sz w:val="24"/>
        </w:rPr>
        <w:t>prosseguiu na exploração do negócio. Mesmo após essa modificação CARLA permaneceu trabalhando no mesmo local e horário, desenvolvendo as mesmas atividades profissionais, até seu desligamento sem a formalização de qualquer ad</w:t>
      </w:r>
      <w:r w:rsidR="00425411">
        <w:rPr>
          <w:rFonts w:cs="Times New Roman"/>
          <w:sz w:val="24"/>
        </w:rPr>
        <w:t xml:space="preserve">itivo contratual neste período. </w:t>
      </w:r>
      <w:r w:rsidRPr="00953DC8">
        <w:rPr>
          <w:rFonts w:cs="Times New Roman"/>
          <w:sz w:val="24"/>
        </w:rPr>
        <w:t>Em 15/01/2018, CARLA foi contratada, por meio de contrato de experiência de 30 dias, diretamente pel</w:t>
      </w:r>
      <w:r>
        <w:rPr>
          <w:rFonts w:cs="Times New Roman"/>
          <w:sz w:val="24"/>
        </w:rPr>
        <w:t xml:space="preserve">a </w:t>
      </w:r>
      <w:r w:rsidRPr="00953DC8">
        <w:rPr>
          <w:rFonts w:cs="Times New Roman"/>
          <w:sz w:val="24"/>
        </w:rPr>
        <w:t>VIAÇÃO AÉREA MARANHÃO S.A., com o mesmo salário anteriormente recebido</w:t>
      </w:r>
      <w:r>
        <w:rPr>
          <w:rFonts w:cs="Times New Roman"/>
          <w:sz w:val="24"/>
        </w:rPr>
        <w:t xml:space="preserve">, sendo desligada no término do </w:t>
      </w:r>
      <w:r w:rsidRPr="00953DC8">
        <w:rPr>
          <w:rFonts w:cs="Times New Roman"/>
          <w:sz w:val="24"/>
        </w:rPr>
        <w:t>período ajustado no contrato de experiência, com o pagamento das verbas rescisórias devidas no período do contrato de experiên</w:t>
      </w:r>
      <w:r w:rsidR="00425411">
        <w:rPr>
          <w:rFonts w:cs="Times New Roman"/>
          <w:sz w:val="24"/>
        </w:rPr>
        <w:t>cia.</w:t>
      </w:r>
    </w:p>
    <w:p w:rsidR="00953DC8" w:rsidRPr="00953DC8" w:rsidRDefault="00953DC8" w:rsidP="0042541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cs="Times New Roman"/>
          <w:sz w:val="24"/>
        </w:rPr>
      </w:pPr>
      <w:r w:rsidRPr="00953DC8">
        <w:rPr>
          <w:rFonts w:cs="Times New Roman"/>
          <w:sz w:val="24"/>
        </w:rPr>
        <w:t xml:space="preserve">Como encarregada de pátio de aeronaves CARLA fazia a inspeção final das </w:t>
      </w:r>
      <w:r>
        <w:rPr>
          <w:rFonts w:cs="Times New Roman"/>
          <w:sz w:val="24"/>
        </w:rPr>
        <w:t xml:space="preserve">bagagens que seriam embarcadas, </w:t>
      </w:r>
      <w:r w:rsidRPr="00953DC8">
        <w:rPr>
          <w:rFonts w:cs="Times New Roman"/>
          <w:sz w:val="24"/>
        </w:rPr>
        <w:t xml:space="preserve">sob a subordinação de ADRIANA SILVA, supervisora de pátio, funcionária da VIAÇÃO AÉREA NORTE S.A com o salário de R$ 6.000,00, por mês. Ambas utilizavam os protetores auriculares fornecidos pelas empresas, entretanto, os mesmos apenas atenuavam o grande barulho oriundo dos motores das aeronaves, resultando em surdez parcial bilateral permanente das obreiras, diagnosticada em exame médico </w:t>
      </w:r>
      <w:r w:rsidR="00425411">
        <w:rPr>
          <w:rFonts w:cs="Times New Roman"/>
          <w:sz w:val="24"/>
        </w:rPr>
        <w:t>realizado dia 31/10/17. Ademais, a</w:t>
      </w:r>
      <w:r w:rsidRPr="00953DC8">
        <w:rPr>
          <w:rFonts w:cs="Times New Roman"/>
          <w:sz w:val="24"/>
        </w:rPr>
        <w:t xml:space="preserve">s duas obreiras </w:t>
      </w:r>
      <w:r w:rsidR="00425411">
        <w:rPr>
          <w:rFonts w:cs="Times New Roman"/>
          <w:sz w:val="24"/>
        </w:rPr>
        <w:t>sofreram</w:t>
      </w:r>
      <w:r w:rsidRPr="00953DC8">
        <w:rPr>
          <w:rFonts w:cs="Times New Roman"/>
          <w:sz w:val="24"/>
        </w:rPr>
        <w:t xml:space="preserve"> </w:t>
      </w:r>
      <w:r w:rsidR="00425411">
        <w:rPr>
          <w:rFonts w:cs="Times New Roman"/>
          <w:sz w:val="24"/>
        </w:rPr>
        <w:t xml:space="preserve">um acidente </w:t>
      </w:r>
      <w:r w:rsidRPr="00953DC8">
        <w:rPr>
          <w:rFonts w:cs="Times New Roman"/>
          <w:sz w:val="24"/>
        </w:rPr>
        <w:t>na queda de uma pont</w:t>
      </w:r>
      <w:r>
        <w:rPr>
          <w:rFonts w:cs="Times New Roman"/>
          <w:sz w:val="24"/>
        </w:rPr>
        <w:t xml:space="preserve">e de embarque </w:t>
      </w:r>
      <w:r w:rsidRPr="00953DC8">
        <w:rPr>
          <w:rFonts w:cs="Times New Roman"/>
          <w:sz w:val="24"/>
        </w:rPr>
        <w:t>no dia 01/02/2018, resultando em escoriações leves em Adriana e em amputação da mão esquerda de Carla.</w:t>
      </w:r>
    </w:p>
    <w:p w:rsidR="00C03AC1" w:rsidRPr="00BB0894" w:rsidRDefault="005C0068" w:rsidP="00CB28A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BE10A7">
        <w:rPr>
          <w:b/>
          <w:sz w:val="24"/>
        </w:rPr>
        <w:t>Questão principal</w:t>
      </w:r>
      <w:r w:rsidRPr="00C03AC1">
        <w:rPr>
          <w:sz w:val="24"/>
          <w:szCs w:val="24"/>
        </w:rPr>
        <w:t xml:space="preserve">: </w:t>
      </w:r>
      <w:r w:rsidR="00BB0894" w:rsidRPr="00BB0894">
        <w:rPr>
          <w:rFonts w:cs="Times New Roman"/>
          <w:sz w:val="24"/>
          <w:szCs w:val="24"/>
        </w:rPr>
        <w:t>Carla teve todos os seus direitos trabalhistas respeitados? Caso negativo, quais os direitos lhe</w:t>
      </w:r>
      <w:r w:rsidR="00BB0894">
        <w:rPr>
          <w:rFonts w:cs="Times New Roman"/>
          <w:sz w:val="24"/>
          <w:szCs w:val="24"/>
        </w:rPr>
        <w:t xml:space="preserve"> </w:t>
      </w:r>
      <w:r w:rsidR="00BB0894" w:rsidRPr="00BB0894">
        <w:rPr>
          <w:rFonts w:cs="Times New Roman"/>
          <w:sz w:val="24"/>
          <w:szCs w:val="24"/>
        </w:rPr>
        <w:t>foram suprimidos</w:t>
      </w:r>
      <w:r w:rsidR="00C03AC1" w:rsidRPr="00BB0894">
        <w:rPr>
          <w:rFonts w:cs="Times New Roman"/>
          <w:sz w:val="24"/>
          <w:szCs w:val="24"/>
        </w:rPr>
        <w:t>?</w:t>
      </w:r>
      <w:r w:rsidR="00C03AC1" w:rsidRPr="00C03AC1">
        <w:rPr>
          <w:sz w:val="24"/>
          <w:szCs w:val="24"/>
        </w:rPr>
        <w:t xml:space="preserve"> </w:t>
      </w:r>
    </w:p>
    <w:p w:rsidR="00E478BE" w:rsidRDefault="00E478BE" w:rsidP="00421C6D">
      <w:pPr>
        <w:spacing w:line="360" w:lineRule="auto"/>
        <w:jc w:val="both"/>
        <w:rPr>
          <w:b/>
          <w:sz w:val="24"/>
        </w:rPr>
      </w:pPr>
    </w:p>
    <w:p w:rsidR="00CB28AB" w:rsidRDefault="00CB28AB" w:rsidP="00421C6D">
      <w:pPr>
        <w:spacing w:line="360" w:lineRule="auto"/>
        <w:jc w:val="both"/>
        <w:rPr>
          <w:b/>
          <w:sz w:val="24"/>
        </w:rPr>
      </w:pPr>
    </w:p>
    <w:p w:rsidR="00E00C2B" w:rsidRPr="00BE10A7" w:rsidRDefault="005C0068" w:rsidP="00421C6D">
      <w:pPr>
        <w:spacing w:line="360" w:lineRule="auto"/>
        <w:jc w:val="both"/>
        <w:rPr>
          <w:b/>
          <w:sz w:val="24"/>
        </w:rPr>
      </w:pPr>
      <w:r w:rsidRPr="00BE10A7">
        <w:rPr>
          <w:b/>
          <w:sz w:val="24"/>
        </w:rPr>
        <w:t>2 DA</w:t>
      </w:r>
      <w:r w:rsidR="007E1D0D">
        <w:rPr>
          <w:b/>
          <w:sz w:val="24"/>
        </w:rPr>
        <w:t xml:space="preserve"> IDENTIFICAÇÃO E DA</w:t>
      </w:r>
      <w:r w:rsidRPr="00BE10A7">
        <w:rPr>
          <w:b/>
          <w:sz w:val="24"/>
        </w:rPr>
        <w:t xml:space="preserve">S </w:t>
      </w:r>
      <w:r w:rsidR="00451904" w:rsidRPr="00BE10A7">
        <w:rPr>
          <w:b/>
          <w:sz w:val="24"/>
        </w:rPr>
        <w:t xml:space="preserve">ANÁLISES </w:t>
      </w:r>
      <w:r w:rsidR="00140432">
        <w:rPr>
          <w:b/>
          <w:sz w:val="24"/>
        </w:rPr>
        <w:t xml:space="preserve">POSSÍVEIS </w:t>
      </w:r>
    </w:p>
    <w:p w:rsidR="00CB28AB" w:rsidRDefault="00465E62" w:rsidP="00465E62">
      <w:pPr>
        <w:spacing w:line="360" w:lineRule="auto"/>
        <w:jc w:val="both"/>
        <w:rPr>
          <w:b/>
          <w:sz w:val="24"/>
        </w:rPr>
      </w:pPr>
      <w:r w:rsidRPr="00BE10A7">
        <w:rPr>
          <w:b/>
          <w:sz w:val="24"/>
        </w:rPr>
        <w:t xml:space="preserve">2.1 </w:t>
      </w:r>
      <w:r w:rsidR="00CB28AB">
        <w:rPr>
          <w:b/>
          <w:sz w:val="24"/>
        </w:rPr>
        <w:t>Da negação aos direitos trabalhistas de Carla</w:t>
      </w:r>
    </w:p>
    <w:p w:rsidR="00C773CC" w:rsidRDefault="00C773CC" w:rsidP="00CB28A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Quando pensamos nas modificações dos contratos trabalhistas no contexto do ano de 2017, vem-nos à memória a alteração feita na legislação trabalhista pratica pela Reforma que aconteceu nos últimos tempos. Nessa estrada, cabe ao case a discussão e adequação do caso concreto à legislação modificadora.</w:t>
      </w:r>
      <w:r w:rsidR="00CB4D27">
        <w:rPr>
          <w:sz w:val="24"/>
        </w:rPr>
        <w:t xml:space="preserve"> Além disso, é necessário ainda esclarecermos algumas questões pertinentes ao contrato temporário, que, no dado contexto, houve desrespeito de aplicação.</w:t>
      </w:r>
    </w:p>
    <w:p w:rsidR="00CB4D27" w:rsidRDefault="00CB4D27" w:rsidP="00DE7DB8">
      <w:pPr>
        <w:spacing w:line="360" w:lineRule="auto"/>
        <w:jc w:val="both"/>
        <w:rPr>
          <w:sz w:val="24"/>
        </w:rPr>
      </w:pPr>
      <w:r>
        <w:rPr>
          <w:sz w:val="24"/>
        </w:rPr>
        <w:t>2.1.1 Da duração do contrato de trabalho temporário</w:t>
      </w:r>
    </w:p>
    <w:p w:rsidR="00CB4D27" w:rsidRDefault="00CB4D27" w:rsidP="00CB28A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O conceito trazido para contrato de trabalho temporário é aquele visto na legislação pertinente e atual que trouxe em seu artigo 1º, do Decreto 73.841 de 1974, que diz </w:t>
      </w:r>
      <w:r w:rsidRPr="00CB4D27">
        <w:rPr>
          <w:rFonts w:cs="Times New Roman"/>
          <w:sz w:val="24"/>
          <w:szCs w:val="24"/>
        </w:rPr>
        <w:t>“</w:t>
      </w:r>
      <w:r w:rsidRPr="00CB4D27">
        <w:rPr>
          <w:rFonts w:cs="Times New Roman"/>
          <w:color w:val="000000"/>
          <w:sz w:val="24"/>
          <w:szCs w:val="24"/>
          <w:shd w:val="clear" w:color="auto" w:fill="FFFFFF"/>
        </w:rPr>
        <w:t>Trabalho temporário é aquele prestado por pessoa física a uma empresa, para atender necessidade transitória de substituição de pessoal regular e permanente ou a acréscimo extraordinário de serviços”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.</w:t>
      </w:r>
    </w:p>
    <w:p w:rsidR="000A4280" w:rsidRDefault="00CB4D27" w:rsidP="00CB28A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A duração do contrato de trabalho temporário, via de regra, também é regulado pelo mesmo decreto, que ainda perdura com vigência em curso, mesmo dada à reforma trabalhista de 2017. O Decreto regula que o contrato de trabalho temporário durará </w:t>
      </w:r>
      <w:r w:rsidR="000A4280">
        <w:rPr>
          <w:sz w:val="24"/>
        </w:rPr>
        <w:t>180 dias, consecutivos ou não, como assegura o artigo 10, parágrafo 1º, da Lei 6.019 de 1974:</w:t>
      </w:r>
    </w:p>
    <w:p w:rsidR="000A4280" w:rsidRPr="0004114B" w:rsidRDefault="000A4280" w:rsidP="000A4280">
      <w:pPr>
        <w:pStyle w:val="texto2"/>
        <w:shd w:val="clear" w:color="auto" w:fill="FFFFFF"/>
        <w:spacing w:before="300" w:beforeAutospacing="0" w:after="300" w:afterAutospacing="0"/>
        <w:ind w:left="2268"/>
        <w:jc w:val="both"/>
        <w:rPr>
          <w:color w:val="000000"/>
          <w:sz w:val="20"/>
        </w:rPr>
      </w:pPr>
      <w:r w:rsidRPr="0004114B">
        <w:rPr>
          <w:color w:val="000000"/>
          <w:sz w:val="20"/>
        </w:rPr>
        <w:t>Art. 10.  Qualquer que seja o ramo da empresa tomadora de serviços, não existe vínculo de emprego entre ela e os trabalhadores contratados pelas empresas de trabalho temporário. </w:t>
      </w:r>
      <w:hyperlink r:id="rId7" w:anchor="art1" w:history="1">
        <w:r w:rsidRPr="0004114B">
          <w:rPr>
            <w:rStyle w:val="Hyperlink"/>
            <w:sz w:val="20"/>
          </w:rPr>
          <w:t>(Redação dada pela Lei nº 13.429, de 2017)</w:t>
        </w:r>
      </w:hyperlink>
      <w:r w:rsidRPr="0004114B">
        <w:rPr>
          <w:color w:val="000000"/>
          <w:sz w:val="20"/>
        </w:rPr>
        <w:t xml:space="preserve"> § 1</w:t>
      </w:r>
      <w:r w:rsidRPr="0004114B">
        <w:rPr>
          <w:color w:val="000000"/>
          <w:sz w:val="20"/>
          <w:u w:val="single"/>
          <w:vertAlign w:val="superscript"/>
        </w:rPr>
        <w:t>o</w:t>
      </w:r>
      <w:r w:rsidRPr="0004114B">
        <w:rPr>
          <w:color w:val="000000"/>
          <w:sz w:val="20"/>
        </w:rPr>
        <w:t xml:space="preserve">  O contrato de trabalho temporário, com relação ao mesmo empregador, </w:t>
      </w:r>
      <w:r w:rsidRPr="0004114B">
        <w:rPr>
          <w:b/>
          <w:color w:val="000000"/>
          <w:sz w:val="20"/>
        </w:rPr>
        <w:t>não poderá exceder ao prazo de cento e oitenta dias</w:t>
      </w:r>
      <w:r w:rsidRPr="0004114B">
        <w:rPr>
          <w:color w:val="000000"/>
          <w:sz w:val="20"/>
        </w:rPr>
        <w:t xml:space="preserve">, </w:t>
      </w:r>
      <w:r w:rsidRPr="0004114B">
        <w:rPr>
          <w:b/>
          <w:color w:val="000000"/>
          <w:sz w:val="20"/>
        </w:rPr>
        <w:t>consecutivos ou não</w:t>
      </w:r>
      <w:r w:rsidRPr="0004114B">
        <w:rPr>
          <w:color w:val="000000"/>
          <w:sz w:val="20"/>
        </w:rPr>
        <w:t>. (BRASIL, 1974)</w:t>
      </w:r>
      <w:r w:rsidR="0004114B" w:rsidRPr="0004114B">
        <w:rPr>
          <w:color w:val="000000"/>
          <w:sz w:val="20"/>
        </w:rPr>
        <w:t xml:space="preserve"> (</w:t>
      </w:r>
      <w:r w:rsidR="0004114B" w:rsidRPr="0004114B">
        <w:rPr>
          <w:i/>
          <w:color w:val="000000"/>
          <w:sz w:val="20"/>
        </w:rPr>
        <w:t>Grifo nosso</w:t>
      </w:r>
      <w:r w:rsidR="0004114B" w:rsidRPr="0004114B">
        <w:rPr>
          <w:color w:val="000000"/>
          <w:sz w:val="20"/>
        </w:rPr>
        <w:t>)</w:t>
      </w:r>
    </w:p>
    <w:p w:rsidR="0004114B" w:rsidRDefault="0004114B" w:rsidP="00CB28A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A expressão em destaque significa dizer que há, para a prorrogação do contrato de trabalho, a necessidade de justificação para a prorrogação, a expressão insta dizer que há a possibilidade ser cindido, de acordo com a necessidade expressa no início do contrato temporário. A Portaria do</w:t>
      </w:r>
      <w:r w:rsidR="000273D5">
        <w:rPr>
          <w:sz w:val="24"/>
        </w:rPr>
        <w:t xml:space="preserve"> M</w:t>
      </w:r>
      <w:r>
        <w:rPr>
          <w:sz w:val="24"/>
        </w:rPr>
        <w:t>T</w:t>
      </w:r>
      <w:r w:rsidR="000273D5">
        <w:rPr>
          <w:sz w:val="24"/>
        </w:rPr>
        <w:t>E</w:t>
      </w:r>
      <w:r>
        <w:rPr>
          <w:sz w:val="24"/>
        </w:rPr>
        <w:t xml:space="preserve"> 789/14 fixa que:</w:t>
      </w:r>
    </w:p>
    <w:p w:rsidR="0004114B" w:rsidRPr="0004114B" w:rsidRDefault="0004114B" w:rsidP="0004114B">
      <w:pPr>
        <w:spacing w:line="240" w:lineRule="auto"/>
        <w:ind w:left="2268"/>
        <w:jc w:val="both"/>
        <w:rPr>
          <w:color w:val="171717"/>
          <w:szCs w:val="22"/>
          <w:shd w:val="clear" w:color="auto" w:fill="FFFFFF"/>
        </w:rPr>
      </w:pPr>
      <w:r w:rsidRPr="0004114B">
        <w:rPr>
          <w:color w:val="171717"/>
          <w:szCs w:val="22"/>
          <w:shd w:val="clear" w:color="auto" w:fill="FFFFFF"/>
        </w:rPr>
        <w:t>A autorização da prorrogação do contrato de trabalho por mais três meses quando: (1) ocorrerem circunstâncias, já conhecidas na data da sua celebração, que justifiquem a contratação de trabalhador temporário por período superior a três meses; ou (2) houver motivo que justifique a prorrogação de contrato de trabalho temporário, que exceda o prazo total de três meses de duração. [...]</w:t>
      </w:r>
    </w:p>
    <w:p w:rsidR="00CB4D27" w:rsidRDefault="000A4280" w:rsidP="00CB28A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Podemos perceber que </w:t>
      </w:r>
      <w:r w:rsidR="0004114B">
        <w:rPr>
          <w:sz w:val="24"/>
        </w:rPr>
        <w:t>o</w:t>
      </w:r>
      <w:r>
        <w:rPr>
          <w:sz w:val="24"/>
        </w:rPr>
        <w:t xml:space="preserve"> artigo</w:t>
      </w:r>
      <w:r w:rsidR="0004114B">
        <w:rPr>
          <w:sz w:val="24"/>
        </w:rPr>
        <w:t xml:space="preserve"> </w:t>
      </w:r>
      <w:proofErr w:type="spellStart"/>
      <w:r w:rsidR="0004114B">
        <w:rPr>
          <w:sz w:val="24"/>
        </w:rPr>
        <w:t>retromencionado</w:t>
      </w:r>
      <w:proofErr w:type="spellEnd"/>
      <w:r w:rsidR="0004114B">
        <w:rPr>
          <w:sz w:val="24"/>
        </w:rPr>
        <w:t xml:space="preserve">, que </w:t>
      </w:r>
      <w:r>
        <w:rPr>
          <w:sz w:val="24"/>
        </w:rPr>
        <w:t>advém de uma modificação da Reforma Trabalhista,</w:t>
      </w:r>
      <w:r w:rsidR="0004114B">
        <w:rPr>
          <w:sz w:val="24"/>
        </w:rPr>
        <w:t xml:space="preserve"> e ainda a Portaria do MTE, que regula o pedido de prorrogação do contrato temporário assegura</w:t>
      </w:r>
      <w:r>
        <w:rPr>
          <w:sz w:val="24"/>
        </w:rPr>
        <w:t xml:space="preserve"> </w:t>
      </w:r>
      <w:r w:rsidR="0004114B">
        <w:rPr>
          <w:sz w:val="24"/>
        </w:rPr>
        <w:t>a</w:t>
      </w:r>
      <w:r>
        <w:rPr>
          <w:sz w:val="24"/>
        </w:rPr>
        <w:t>o caso concreto, que CARLA,</w:t>
      </w:r>
      <w:r w:rsidR="0004114B">
        <w:rPr>
          <w:sz w:val="24"/>
        </w:rPr>
        <w:t xml:space="preserve"> trabalhadora do contrato temporário,</w:t>
      </w:r>
      <w:r>
        <w:rPr>
          <w:sz w:val="24"/>
        </w:rPr>
        <w:t xml:space="preserve"> faz jus à sua permanência no emprego, uma vez que </w:t>
      </w:r>
      <w:r w:rsidR="00DE7DB8">
        <w:rPr>
          <w:sz w:val="24"/>
        </w:rPr>
        <w:t xml:space="preserve">continuou a desempenhar a função, mesmo ultrapassado o prazo máximo </w:t>
      </w:r>
      <w:r w:rsidR="000273D5">
        <w:rPr>
          <w:sz w:val="24"/>
        </w:rPr>
        <w:t>para término do contrato, sem qualquer justificativa que comprovem a permanência da condição de temporária.</w:t>
      </w:r>
    </w:p>
    <w:p w:rsidR="0004114B" w:rsidRDefault="0004114B" w:rsidP="0004114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2.1.2 Da permanência da empregada frente </w:t>
      </w:r>
      <w:r w:rsidR="005B04B6">
        <w:rPr>
          <w:sz w:val="24"/>
        </w:rPr>
        <w:t>à</w:t>
      </w:r>
      <w:r>
        <w:rPr>
          <w:sz w:val="24"/>
        </w:rPr>
        <w:t xml:space="preserve"> dilação do prazo </w:t>
      </w:r>
      <w:r w:rsidR="005B04B6">
        <w:rPr>
          <w:sz w:val="24"/>
        </w:rPr>
        <w:t>do contrato de trabalho</w:t>
      </w:r>
    </w:p>
    <w:p w:rsidR="005B04B6" w:rsidRDefault="004753CC" w:rsidP="005B04B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O contrato de trabalho temporário, assim como o contrato de experiência, possui prazo determinado para fins de limitação a seu título, isso insta dizer que são necessariamente rigorosos seus limites acerca da vigência, que são, respectivamente de 180, assegura uma única exceção, e 90 dias. Nas duas regras, entre o exercício de contratos temporários e os contratos de experiência prestados a um mesmo tomador, o prazo entre os dois instrumentos devem ser de 90 dias, como assegura o artigo 10 § 5º da Lei 6.019/74:</w:t>
      </w:r>
    </w:p>
    <w:p w:rsidR="004753CC" w:rsidRPr="004753CC" w:rsidRDefault="004753CC" w:rsidP="004753CC">
      <w:pPr>
        <w:spacing w:line="240" w:lineRule="auto"/>
        <w:ind w:left="2268"/>
        <w:jc w:val="both"/>
        <w:rPr>
          <w:i/>
        </w:rPr>
      </w:pPr>
      <w:r w:rsidRPr="004753CC">
        <w:t xml:space="preserve">Art. 10 </w:t>
      </w:r>
      <w:proofErr w:type="spellStart"/>
      <w:r w:rsidRPr="004753CC">
        <w:rPr>
          <w:i/>
        </w:rPr>
        <w:t>omissis</w:t>
      </w:r>
      <w:proofErr w:type="spellEnd"/>
    </w:p>
    <w:p w:rsidR="004753CC" w:rsidRPr="004753CC" w:rsidRDefault="004753CC" w:rsidP="004753CC">
      <w:pPr>
        <w:spacing w:line="240" w:lineRule="auto"/>
        <w:ind w:left="2268"/>
        <w:jc w:val="both"/>
        <w:rPr>
          <w:rFonts w:cs="Times New Roman"/>
          <w:i/>
          <w:sz w:val="24"/>
        </w:rPr>
      </w:pPr>
      <w:r w:rsidRPr="004753CC">
        <w:rPr>
          <w:rFonts w:cs="Times New Roman"/>
          <w:color w:val="000000"/>
          <w:shd w:val="clear" w:color="auto" w:fill="FFFFFF"/>
        </w:rPr>
        <w:t>§5º O trabalhador temporário que cumprir o período estipulado nos §§ 1</w:t>
      </w:r>
      <w:r w:rsidRPr="004753CC">
        <w:rPr>
          <w:rFonts w:cs="Times New Roman"/>
          <w:color w:val="000000"/>
          <w:u w:val="single"/>
          <w:shd w:val="clear" w:color="auto" w:fill="FFFFFF"/>
          <w:vertAlign w:val="superscript"/>
        </w:rPr>
        <w:t>o</w:t>
      </w:r>
      <w:r w:rsidRPr="004753CC">
        <w:rPr>
          <w:rFonts w:cs="Times New Roman"/>
          <w:color w:val="000000"/>
          <w:shd w:val="clear" w:color="auto" w:fill="FFFFFF"/>
        </w:rPr>
        <w:t> e 2</w:t>
      </w:r>
      <w:r w:rsidRPr="004753CC">
        <w:rPr>
          <w:rFonts w:cs="Times New Roman"/>
          <w:color w:val="000000"/>
          <w:u w:val="single"/>
          <w:shd w:val="clear" w:color="auto" w:fill="FFFFFF"/>
          <w:vertAlign w:val="superscript"/>
        </w:rPr>
        <w:t>o</w:t>
      </w:r>
      <w:r w:rsidRPr="004753CC">
        <w:rPr>
          <w:rFonts w:cs="Times New Roman"/>
          <w:color w:val="000000"/>
          <w:shd w:val="clear" w:color="auto" w:fill="FFFFFF"/>
        </w:rPr>
        <w:t> deste artigo somente poderá ser colocado à disposição da mesma tomadora de serviços em novo contrato temporário, após noventa dias do término do contrato anterior</w:t>
      </w:r>
      <w:r>
        <w:rPr>
          <w:rFonts w:cs="Times New Roman"/>
          <w:color w:val="000000"/>
          <w:shd w:val="clear" w:color="auto" w:fill="FFFFFF"/>
        </w:rPr>
        <w:t>. (BRASIL, 1974)</w:t>
      </w:r>
    </w:p>
    <w:p w:rsidR="004753CC" w:rsidRDefault="004753CC" w:rsidP="004753CC">
      <w:pPr>
        <w:spacing w:line="360" w:lineRule="auto"/>
        <w:ind w:firstLine="113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E como ainda afirma posição doutrinária a respeito por MARIANO JÚNIOR,</w:t>
      </w:r>
    </w:p>
    <w:p w:rsidR="004753CC" w:rsidRPr="004753CC" w:rsidRDefault="004753CC" w:rsidP="004753CC">
      <w:pPr>
        <w:spacing w:line="240" w:lineRule="auto"/>
        <w:ind w:left="2268"/>
        <w:jc w:val="both"/>
        <w:rPr>
          <w:rFonts w:cs="Times New Roman"/>
          <w:sz w:val="28"/>
        </w:rPr>
      </w:pPr>
      <w:r w:rsidRPr="004753CC">
        <w:rPr>
          <w:rFonts w:cs="Times New Roman"/>
          <w:szCs w:val="18"/>
          <w:shd w:val="clear" w:color="auto" w:fill="FFFFFF"/>
        </w:rPr>
        <w:t>O contrato de experiência não poderá exceder 90 dias sob pena de tornar-se contrato por prazo indeterminado. Em regra, o contrato de trabalho não requer uma formalidade, podendo ser expresso ou tácito, de sorte que, o único contrato que o legislador exigiu, obrigatoriamente, a existência de contrato escrito foi na existência de contrato temporário</w:t>
      </w:r>
      <w:r>
        <w:rPr>
          <w:rStyle w:val="Refdenotaderodap"/>
          <w:rFonts w:cs="Times New Roman"/>
          <w:szCs w:val="18"/>
          <w:shd w:val="clear" w:color="auto" w:fill="FFFFFF"/>
        </w:rPr>
        <w:footnoteReference w:id="4"/>
      </w:r>
      <w:r w:rsidR="00567DBD">
        <w:rPr>
          <w:rFonts w:cs="Times New Roman"/>
          <w:szCs w:val="18"/>
          <w:shd w:val="clear" w:color="auto" w:fill="FFFFFF"/>
        </w:rPr>
        <w:t>.</w:t>
      </w:r>
      <w:r>
        <w:rPr>
          <w:rFonts w:cs="Times New Roman"/>
          <w:szCs w:val="18"/>
          <w:shd w:val="clear" w:color="auto" w:fill="FFFFFF"/>
        </w:rPr>
        <w:t xml:space="preserve"> </w:t>
      </w:r>
    </w:p>
    <w:p w:rsidR="00567DBD" w:rsidRDefault="00567DBD" w:rsidP="00567DBD">
      <w:pPr>
        <w:spacing w:line="360" w:lineRule="auto"/>
        <w:ind w:firstLine="113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Logo, o que torna a premissa da permanência da emprega Carla como transformado em vínculo empregatício por tempo indeterminado. Outro fator que integra seu vínculo permanente ao tomador de serviço é o fato de ter ocorrido acidentes de trabalho com a empregada.</w:t>
      </w:r>
    </w:p>
    <w:p w:rsidR="00CB28AB" w:rsidRDefault="00567DBD" w:rsidP="006B5454">
      <w:pPr>
        <w:spacing w:line="360" w:lineRule="auto"/>
        <w:ind w:firstLine="1134"/>
        <w:jc w:val="both"/>
        <w:rPr>
          <w:rFonts w:cs="Times New Roman"/>
          <w:sz w:val="24"/>
        </w:rPr>
      </w:pPr>
      <w:r w:rsidRPr="00FF78A5">
        <w:rPr>
          <w:rFonts w:cs="Times New Roman"/>
          <w:sz w:val="24"/>
        </w:rPr>
        <w:t>O acidente dentro do contrato de trabalho temporário</w:t>
      </w:r>
      <w:r>
        <w:rPr>
          <w:rFonts w:cs="Times New Roman"/>
          <w:sz w:val="24"/>
        </w:rPr>
        <w:t xml:space="preserve">, assim como no contrato de experiência garantem a estabilidade </w:t>
      </w:r>
      <w:r w:rsidR="00FF78A5">
        <w:rPr>
          <w:rFonts w:cs="Times New Roman"/>
          <w:sz w:val="24"/>
        </w:rPr>
        <w:t>empregatícia a</w:t>
      </w:r>
      <w:r>
        <w:rPr>
          <w:rFonts w:cs="Times New Roman"/>
          <w:sz w:val="24"/>
        </w:rPr>
        <w:t>o trabalhador</w:t>
      </w:r>
      <w:r w:rsidR="00FF78A5">
        <w:rPr>
          <w:rFonts w:cs="Times New Roman"/>
          <w:sz w:val="24"/>
        </w:rPr>
        <w:t xml:space="preserve">, o que mais uma vez garante a permanência de Carla no contrato de trabalho, sem prejuízo do seguro de acidentes de trabalho, como aduz o artigo 17, V, do Decreto 73.841 de </w:t>
      </w:r>
      <w:r w:rsidR="006B5454">
        <w:rPr>
          <w:rFonts w:cs="Times New Roman"/>
          <w:sz w:val="24"/>
        </w:rPr>
        <w:t xml:space="preserve">1974, assim como a alínea “g” do artigo 12, </w:t>
      </w:r>
      <w:r w:rsidR="006B5454">
        <w:rPr>
          <w:rFonts w:cs="Times New Roman"/>
          <w:sz w:val="24"/>
        </w:rPr>
        <w:lastRenderedPageBreak/>
        <w:t>da Lei 6.019 também de 1974. Além desses dois dispositivos ainda é possível citar a Lei de regulação de auxílios da Previdência Social, que aduz ainda em seu artigo 118:</w:t>
      </w:r>
    </w:p>
    <w:p w:rsidR="006B5454" w:rsidRDefault="006B5454" w:rsidP="006B5454">
      <w:pPr>
        <w:spacing w:line="240" w:lineRule="auto"/>
        <w:ind w:left="2268"/>
        <w:jc w:val="both"/>
        <w:rPr>
          <w:rFonts w:cs="Times New Roman"/>
          <w:color w:val="000000"/>
          <w:shd w:val="clear" w:color="auto" w:fill="FFFFFF"/>
        </w:rPr>
      </w:pPr>
      <w:r w:rsidRPr="006B5454">
        <w:rPr>
          <w:rFonts w:cs="Times New Roman"/>
          <w:b/>
          <w:color w:val="000000"/>
          <w:shd w:val="clear" w:color="auto" w:fill="FFFFFF"/>
        </w:rPr>
        <w:t>O segurado que sofreu acidente do trabalho tem garantida, pelo prazo mínimo de doze meses</w:t>
      </w:r>
      <w:r w:rsidRPr="006B5454">
        <w:rPr>
          <w:rFonts w:cs="Times New Roman"/>
          <w:color w:val="000000"/>
          <w:shd w:val="clear" w:color="auto" w:fill="FFFFFF"/>
        </w:rPr>
        <w:t>, a manutenção do seu contrato de trabalho na empresa, após a cessação do auxílio-doença acidentário, independentemente de percepção de auxílio-acidente.</w:t>
      </w:r>
      <w:r>
        <w:rPr>
          <w:rFonts w:cs="Times New Roman"/>
          <w:color w:val="000000"/>
          <w:shd w:val="clear" w:color="auto" w:fill="FFFFFF"/>
        </w:rPr>
        <w:t>(BRASIL, 1991) (</w:t>
      </w:r>
      <w:r>
        <w:rPr>
          <w:rFonts w:cs="Times New Roman"/>
          <w:i/>
          <w:color w:val="000000"/>
          <w:shd w:val="clear" w:color="auto" w:fill="FFFFFF"/>
        </w:rPr>
        <w:t>Grifo nosso</w:t>
      </w:r>
      <w:r>
        <w:rPr>
          <w:rFonts w:cs="Times New Roman"/>
          <w:color w:val="000000"/>
          <w:shd w:val="clear" w:color="auto" w:fill="FFFFFF"/>
        </w:rPr>
        <w:t>)</w:t>
      </w:r>
    </w:p>
    <w:p w:rsidR="00CB28AB" w:rsidRDefault="006B5454" w:rsidP="00F84725">
      <w:pPr>
        <w:spacing w:line="360" w:lineRule="auto"/>
        <w:ind w:firstLine="1134"/>
        <w:jc w:val="both"/>
        <w:rPr>
          <w:rFonts w:cs="Times New Roman"/>
          <w:color w:val="000000"/>
          <w:sz w:val="24"/>
          <w:shd w:val="clear" w:color="auto" w:fill="FFFFFF"/>
        </w:rPr>
      </w:pPr>
      <w:r>
        <w:rPr>
          <w:rFonts w:cs="Times New Roman"/>
          <w:color w:val="000000"/>
          <w:sz w:val="24"/>
          <w:shd w:val="clear" w:color="auto" w:fill="FFFFFF"/>
        </w:rPr>
        <w:t xml:space="preserve">Portanto, é com vistas nos dispositivos supracitados que </w:t>
      </w:r>
      <w:r w:rsidR="00B46B71">
        <w:rPr>
          <w:rFonts w:cs="Times New Roman"/>
          <w:color w:val="000000"/>
          <w:sz w:val="24"/>
          <w:shd w:val="clear" w:color="auto" w:fill="FFFFFF"/>
        </w:rPr>
        <w:t>se vislumbra</w:t>
      </w:r>
      <w:r>
        <w:rPr>
          <w:rFonts w:cs="Times New Roman"/>
          <w:color w:val="000000"/>
          <w:sz w:val="24"/>
          <w:shd w:val="clear" w:color="auto" w:fill="FFFFFF"/>
        </w:rPr>
        <w:t>, em suma, à empregada Carla a manutenção dos vinculo empregatício, seja por rompimento do lapso temporal máximo, seja em vista de acidente de trabalho sofrido, sem prejuízo ainda dos direitos garantidos nos artigos 17</w:t>
      </w:r>
      <w:r w:rsidR="00B46B71">
        <w:rPr>
          <w:rFonts w:cs="Times New Roman"/>
          <w:color w:val="000000"/>
          <w:sz w:val="24"/>
          <w:shd w:val="clear" w:color="auto" w:fill="FFFFFF"/>
        </w:rPr>
        <w:t xml:space="preserve"> </w:t>
      </w:r>
      <w:r>
        <w:rPr>
          <w:rFonts w:cs="Times New Roman"/>
          <w:color w:val="000000"/>
          <w:sz w:val="24"/>
          <w:shd w:val="clear" w:color="auto" w:fill="FFFFFF"/>
        </w:rPr>
        <w:t>do Decreto 73.841/74 e 12</w:t>
      </w:r>
      <w:r w:rsidR="00F84725">
        <w:rPr>
          <w:rFonts w:cs="Times New Roman"/>
          <w:color w:val="000000"/>
          <w:sz w:val="24"/>
          <w:shd w:val="clear" w:color="auto" w:fill="FFFFFF"/>
        </w:rPr>
        <w:t>, da Lei 6.019/74.</w:t>
      </w:r>
    </w:p>
    <w:p w:rsidR="00F84725" w:rsidRPr="00F84725" w:rsidRDefault="00F84725" w:rsidP="00F84725">
      <w:pPr>
        <w:spacing w:line="360" w:lineRule="auto"/>
        <w:ind w:firstLine="1134"/>
        <w:jc w:val="both"/>
        <w:rPr>
          <w:rFonts w:cs="Times New Roman"/>
          <w:color w:val="000000"/>
          <w:sz w:val="24"/>
          <w:shd w:val="clear" w:color="auto" w:fill="FFFFFF"/>
        </w:rPr>
      </w:pPr>
    </w:p>
    <w:p w:rsidR="0083586A" w:rsidRPr="00BE10A7" w:rsidRDefault="0083586A" w:rsidP="0083586A">
      <w:pPr>
        <w:pStyle w:val="NormalWeb"/>
        <w:shd w:val="clear" w:color="auto" w:fill="FFFFFF"/>
        <w:spacing w:before="0" w:beforeAutospacing="0" w:after="345" w:afterAutospacing="0" w:line="360" w:lineRule="auto"/>
        <w:jc w:val="both"/>
        <w:textAlignment w:val="baseline"/>
        <w:rPr>
          <w:b/>
        </w:rPr>
      </w:pPr>
      <w:r w:rsidRPr="00BE10A7">
        <w:rPr>
          <w:b/>
        </w:rPr>
        <w:t>3 DESCRIÇÃO DOS CRITÉRIOS E VALORES CONTIDOS EM CADA DECISÃO POSSÍVEL</w:t>
      </w:r>
    </w:p>
    <w:p w:rsidR="00524552" w:rsidRPr="00BE10A7" w:rsidRDefault="0083586A" w:rsidP="00524552">
      <w:pPr>
        <w:spacing w:line="360" w:lineRule="auto"/>
        <w:ind w:firstLine="1134"/>
        <w:jc w:val="both"/>
        <w:rPr>
          <w:rFonts w:cs="Times New Roman"/>
          <w:sz w:val="24"/>
          <w:szCs w:val="24"/>
        </w:rPr>
      </w:pPr>
      <w:r w:rsidRPr="00BE10A7">
        <w:rPr>
          <w:rFonts w:cs="Times New Roman"/>
          <w:sz w:val="24"/>
          <w:szCs w:val="24"/>
        </w:rPr>
        <w:t>O case em tela possibilita a ampl</w:t>
      </w:r>
      <w:r w:rsidR="007328B3">
        <w:rPr>
          <w:rFonts w:cs="Times New Roman"/>
          <w:sz w:val="24"/>
          <w:szCs w:val="24"/>
        </w:rPr>
        <w:t>iação dos conhecimentos acerca das interpreta</w:t>
      </w:r>
      <w:r w:rsidR="00F84725">
        <w:rPr>
          <w:rFonts w:cs="Times New Roman"/>
          <w:sz w:val="24"/>
          <w:szCs w:val="24"/>
        </w:rPr>
        <w:t>ções e</w:t>
      </w:r>
      <w:r w:rsidRPr="00BE10A7">
        <w:rPr>
          <w:rFonts w:cs="Times New Roman"/>
          <w:sz w:val="24"/>
          <w:szCs w:val="24"/>
        </w:rPr>
        <w:t xml:space="preserve"> </w:t>
      </w:r>
      <w:r w:rsidR="007328B3">
        <w:rPr>
          <w:rFonts w:cs="Times New Roman"/>
          <w:sz w:val="24"/>
          <w:szCs w:val="24"/>
        </w:rPr>
        <w:t xml:space="preserve">das fundamentações </w:t>
      </w:r>
      <w:r w:rsidR="00F84725">
        <w:rPr>
          <w:rFonts w:cs="Times New Roman"/>
          <w:sz w:val="24"/>
          <w:szCs w:val="24"/>
        </w:rPr>
        <w:t>acerca do direito individual do trabalho</w:t>
      </w:r>
      <w:r w:rsidR="007328B3">
        <w:rPr>
          <w:rFonts w:cs="Times New Roman"/>
          <w:sz w:val="24"/>
          <w:szCs w:val="24"/>
        </w:rPr>
        <w:t xml:space="preserve">, o que é </w:t>
      </w:r>
      <w:r w:rsidRPr="00BE10A7">
        <w:rPr>
          <w:rFonts w:cs="Times New Roman"/>
          <w:sz w:val="24"/>
          <w:szCs w:val="24"/>
        </w:rPr>
        <w:t xml:space="preserve">imprescindível ao exercício pleno da função jurídica. O conhecimento acerca da temática traz a possibilidade </w:t>
      </w:r>
      <w:r w:rsidR="00371C5F">
        <w:rPr>
          <w:rFonts w:cs="Times New Roman"/>
          <w:sz w:val="24"/>
          <w:szCs w:val="24"/>
        </w:rPr>
        <w:t xml:space="preserve">de entendimento dos institutos processuais </w:t>
      </w:r>
      <w:r w:rsidR="00F84725">
        <w:rPr>
          <w:rFonts w:cs="Times New Roman"/>
          <w:sz w:val="24"/>
          <w:szCs w:val="24"/>
        </w:rPr>
        <w:t>trabalhistas, assim como das garantias de direitos sociais</w:t>
      </w:r>
      <w:r w:rsidR="00371C5F">
        <w:rPr>
          <w:rFonts w:cs="Times New Roman"/>
          <w:sz w:val="24"/>
          <w:szCs w:val="24"/>
        </w:rPr>
        <w:t xml:space="preserve"> </w:t>
      </w:r>
      <w:r w:rsidRPr="00BE10A7">
        <w:rPr>
          <w:rFonts w:cs="Times New Roman"/>
          <w:sz w:val="24"/>
          <w:szCs w:val="24"/>
        </w:rPr>
        <w:t>inerentes ao indivíduo, perpassando pelos</w:t>
      </w:r>
      <w:r w:rsidR="00F84725">
        <w:rPr>
          <w:rFonts w:cs="Times New Roman"/>
          <w:sz w:val="24"/>
          <w:szCs w:val="24"/>
        </w:rPr>
        <w:t xml:space="preserve"> debates acerca da reforma trabalhista e da relação entre empregador e empregado</w:t>
      </w:r>
      <w:r w:rsidRPr="00BE10A7">
        <w:rPr>
          <w:sz w:val="24"/>
          <w:szCs w:val="24"/>
        </w:rPr>
        <w:t>.</w:t>
      </w:r>
    </w:p>
    <w:p w:rsidR="00371C5F" w:rsidRDefault="00371C5F" w:rsidP="0083586A">
      <w:pPr>
        <w:spacing w:line="360" w:lineRule="auto"/>
        <w:jc w:val="both"/>
        <w:rPr>
          <w:rFonts w:cs="Times New Roman"/>
          <w:sz w:val="24"/>
          <w:szCs w:val="24"/>
        </w:rPr>
      </w:pPr>
    </w:p>
    <w:p w:rsidR="007D7334" w:rsidRDefault="007D7334" w:rsidP="0083586A">
      <w:pPr>
        <w:spacing w:line="360" w:lineRule="auto"/>
        <w:jc w:val="both"/>
        <w:rPr>
          <w:rFonts w:cs="Times New Roman"/>
          <w:sz w:val="24"/>
          <w:szCs w:val="24"/>
        </w:rPr>
      </w:pPr>
    </w:p>
    <w:p w:rsidR="007D7334" w:rsidRDefault="007D7334" w:rsidP="0083586A">
      <w:pPr>
        <w:spacing w:line="360" w:lineRule="auto"/>
        <w:jc w:val="both"/>
        <w:rPr>
          <w:rFonts w:cs="Times New Roman"/>
          <w:sz w:val="24"/>
          <w:szCs w:val="24"/>
        </w:rPr>
      </w:pPr>
    </w:p>
    <w:p w:rsidR="007D7334" w:rsidRDefault="007D7334" w:rsidP="0083586A">
      <w:pPr>
        <w:spacing w:line="360" w:lineRule="auto"/>
        <w:jc w:val="both"/>
        <w:rPr>
          <w:rFonts w:cs="Times New Roman"/>
          <w:sz w:val="24"/>
          <w:szCs w:val="24"/>
        </w:rPr>
      </w:pPr>
    </w:p>
    <w:p w:rsidR="007D7334" w:rsidRDefault="007D7334" w:rsidP="0083586A">
      <w:pPr>
        <w:spacing w:line="360" w:lineRule="auto"/>
        <w:jc w:val="both"/>
        <w:rPr>
          <w:rFonts w:cs="Times New Roman"/>
          <w:sz w:val="24"/>
          <w:szCs w:val="24"/>
        </w:rPr>
      </w:pPr>
    </w:p>
    <w:p w:rsidR="007D7334" w:rsidRDefault="007D7334" w:rsidP="0083586A">
      <w:pPr>
        <w:spacing w:line="360" w:lineRule="auto"/>
        <w:jc w:val="both"/>
        <w:rPr>
          <w:rFonts w:cs="Times New Roman"/>
          <w:sz w:val="24"/>
          <w:szCs w:val="24"/>
        </w:rPr>
      </w:pPr>
    </w:p>
    <w:p w:rsidR="007D7334" w:rsidRDefault="007D7334" w:rsidP="0083586A">
      <w:pPr>
        <w:spacing w:line="360" w:lineRule="auto"/>
        <w:jc w:val="both"/>
        <w:rPr>
          <w:rFonts w:cs="Times New Roman"/>
          <w:sz w:val="24"/>
          <w:szCs w:val="24"/>
        </w:rPr>
      </w:pPr>
    </w:p>
    <w:p w:rsidR="007D7334" w:rsidRDefault="007D7334" w:rsidP="0083586A">
      <w:pPr>
        <w:spacing w:line="360" w:lineRule="auto"/>
        <w:jc w:val="both"/>
        <w:rPr>
          <w:rFonts w:cs="Times New Roman"/>
          <w:sz w:val="24"/>
          <w:szCs w:val="24"/>
        </w:rPr>
      </w:pPr>
    </w:p>
    <w:p w:rsidR="007D7334" w:rsidRDefault="007D7334" w:rsidP="0083586A">
      <w:pPr>
        <w:spacing w:line="360" w:lineRule="auto"/>
        <w:jc w:val="both"/>
        <w:rPr>
          <w:rFonts w:cs="Times New Roman"/>
          <w:sz w:val="24"/>
          <w:szCs w:val="24"/>
        </w:rPr>
      </w:pPr>
      <w:bookmarkStart w:id="0" w:name="_GoBack"/>
      <w:bookmarkEnd w:id="0"/>
    </w:p>
    <w:p w:rsidR="007D7334" w:rsidRDefault="007D7334" w:rsidP="0083586A">
      <w:pPr>
        <w:spacing w:line="360" w:lineRule="auto"/>
        <w:jc w:val="both"/>
        <w:rPr>
          <w:rFonts w:cs="Times New Roman"/>
          <w:sz w:val="24"/>
          <w:szCs w:val="24"/>
        </w:rPr>
      </w:pPr>
    </w:p>
    <w:p w:rsidR="00524552" w:rsidRDefault="0083586A" w:rsidP="0083586A">
      <w:pPr>
        <w:spacing w:line="360" w:lineRule="auto"/>
        <w:jc w:val="both"/>
        <w:rPr>
          <w:rFonts w:cs="Times New Roman"/>
          <w:sz w:val="24"/>
          <w:szCs w:val="24"/>
        </w:rPr>
      </w:pPr>
      <w:r w:rsidRPr="00BE10A7">
        <w:rPr>
          <w:rFonts w:cs="Times New Roman"/>
          <w:sz w:val="24"/>
          <w:szCs w:val="24"/>
        </w:rPr>
        <w:lastRenderedPageBreak/>
        <w:t>REFERÊNCIAS</w:t>
      </w:r>
    </w:p>
    <w:p w:rsidR="00371C5F" w:rsidRDefault="00833647" w:rsidP="0083586A">
      <w:pPr>
        <w:spacing w:line="36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BRASIL. </w:t>
      </w:r>
      <w:r w:rsidR="00F84725">
        <w:rPr>
          <w:rFonts w:cs="Times New Roman"/>
          <w:b/>
          <w:sz w:val="24"/>
          <w:szCs w:val="24"/>
        </w:rPr>
        <w:t>Lei 6.019 de 1974</w:t>
      </w:r>
      <w:r>
        <w:rPr>
          <w:rFonts w:cs="Times New Roman"/>
          <w:b/>
          <w:sz w:val="24"/>
          <w:szCs w:val="24"/>
        </w:rPr>
        <w:t>.</w:t>
      </w:r>
    </w:p>
    <w:p w:rsidR="00F84725" w:rsidRDefault="00F84725" w:rsidP="0083586A">
      <w:pPr>
        <w:spacing w:line="36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BRASIL. </w:t>
      </w:r>
      <w:r>
        <w:rPr>
          <w:rFonts w:cs="Times New Roman"/>
          <w:b/>
          <w:sz w:val="24"/>
          <w:szCs w:val="24"/>
        </w:rPr>
        <w:t xml:space="preserve">Lei 13.429 de 20 de março de 2017. </w:t>
      </w:r>
    </w:p>
    <w:p w:rsidR="00F84725" w:rsidRPr="00F84725" w:rsidRDefault="00F84725" w:rsidP="0083586A">
      <w:pPr>
        <w:spacing w:line="36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BRASIL. </w:t>
      </w:r>
      <w:r w:rsidRPr="00F84725">
        <w:rPr>
          <w:rFonts w:cs="Times New Roman"/>
          <w:b/>
          <w:sz w:val="24"/>
          <w:szCs w:val="24"/>
        </w:rPr>
        <w:t>Lei 8.213 de 1991. Lei da Previdência Social.</w:t>
      </w:r>
    </w:p>
    <w:p w:rsidR="00F84725" w:rsidRPr="00F84725" w:rsidRDefault="00F84725" w:rsidP="0083586A">
      <w:pPr>
        <w:spacing w:line="360" w:lineRule="auto"/>
        <w:jc w:val="both"/>
        <w:rPr>
          <w:rFonts w:cs="Times New Roman"/>
          <w:b/>
          <w:sz w:val="24"/>
          <w:szCs w:val="24"/>
        </w:rPr>
      </w:pPr>
      <w:r w:rsidRPr="00F84725">
        <w:rPr>
          <w:rFonts w:cs="Times New Roman"/>
          <w:sz w:val="24"/>
          <w:szCs w:val="24"/>
        </w:rPr>
        <w:t>BRASIL.</w:t>
      </w:r>
      <w:r w:rsidRPr="00F84725">
        <w:rPr>
          <w:rFonts w:cs="Times New Roman"/>
          <w:b/>
          <w:sz w:val="24"/>
          <w:szCs w:val="24"/>
        </w:rPr>
        <w:t xml:space="preserve"> Decreto 73.841 de 1974.</w:t>
      </w:r>
    </w:p>
    <w:p w:rsidR="00A00A4D" w:rsidRPr="00833647" w:rsidRDefault="00F84725" w:rsidP="00371C5F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 w:val="24"/>
          <w:szCs w:val="24"/>
          <w:shd w:val="clear" w:color="auto" w:fill="FFFFFF"/>
        </w:rPr>
        <w:t xml:space="preserve">MARIANO JÚNOR, Alberto Ribeiro. </w:t>
      </w:r>
      <w:r w:rsidRPr="00F84725">
        <w:rPr>
          <w:rFonts w:cs="Times New Roman"/>
          <w:b/>
          <w:sz w:val="24"/>
          <w:szCs w:val="24"/>
          <w:shd w:val="clear" w:color="auto" w:fill="FFFFFF"/>
        </w:rPr>
        <w:t>Contrato de Experiência e a Estabilidade acidentária</w:t>
      </w:r>
      <w:r>
        <w:rPr>
          <w:rFonts w:cs="Times New Roman"/>
          <w:sz w:val="24"/>
          <w:szCs w:val="24"/>
          <w:shd w:val="clear" w:color="auto" w:fill="FFFFFF"/>
        </w:rPr>
        <w:t xml:space="preserve">. Disponível em: </w:t>
      </w:r>
      <w:hyperlink r:id="rId8" w:history="1">
        <w:r w:rsidRPr="005E22E6">
          <w:rPr>
            <w:rStyle w:val="Hyperlink"/>
            <w:rFonts w:cs="Times New Roman"/>
            <w:sz w:val="24"/>
            <w:szCs w:val="24"/>
            <w:shd w:val="clear" w:color="auto" w:fill="FFFFFF"/>
          </w:rPr>
          <w:t>http://www.ambito-juridico.com.br/site/index.php?n_link=revista_artigos_leitura&amp;artigo_id=9242</w:t>
        </w:r>
      </w:hyperlink>
      <w:r>
        <w:rPr>
          <w:rFonts w:cs="Times New Roman"/>
          <w:sz w:val="24"/>
          <w:szCs w:val="24"/>
          <w:shd w:val="clear" w:color="auto" w:fill="FFFFFF"/>
        </w:rPr>
        <w:t xml:space="preserve">. </w:t>
      </w:r>
    </w:p>
    <w:sectPr w:rsidR="00A00A4D" w:rsidRPr="00833647" w:rsidSect="0057181A">
      <w:head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CB2" w:rsidRDefault="00401CB2" w:rsidP="00CC2B5A">
      <w:pPr>
        <w:spacing w:after="0" w:line="240" w:lineRule="auto"/>
      </w:pPr>
      <w:r>
        <w:separator/>
      </w:r>
    </w:p>
  </w:endnote>
  <w:endnote w:type="continuationSeparator" w:id="0">
    <w:p w:rsidR="00401CB2" w:rsidRDefault="00401CB2" w:rsidP="00CC2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CB2" w:rsidRDefault="00401CB2" w:rsidP="00CC2B5A">
      <w:pPr>
        <w:spacing w:after="0" w:line="240" w:lineRule="auto"/>
      </w:pPr>
      <w:r>
        <w:separator/>
      </w:r>
    </w:p>
  </w:footnote>
  <w:footnote w:type="continuationSeparator" w:id="0">
    <w:p w:rsidR="00401CB2" w:rsidRDefault="00401CB2" w:rsidP="00CC2B5A">
      <w:pPr>
        <w:spacing w:after="0" w:line="240" w:lineRule="auto"/>
      </w:pPr>
      <w:r>
        <w:continuationSeparator/>
      </w:r>
    </w:p>
  </w:footnote>
  <w:footnote w:id="1">
    <w:p w:rsidR="005C0068" w:rsidRDefault="005C0068">
      <w:pPr>
        <w:pStyle w:val="Textodenotaderodap"/>
      </w:pPr>
      <w:r>
        <w:rPr>
          <w:rStyle w:val="Refdenotaderodap"/>
        </w:rPr>
        <w:footnoteRef/>
      </w:r>
      <w:r>
        <w:t xml:space="preserve"> Case apresentado à disciplina de </w:t>
      </w:r>
      <w:r w:rsidR="00BB0894">
        <w:t>Direito Individual do Trabalho</w:t>
      </w:r>
      <w:r>
        <w:t xml:space="preserve">.  </w:t>
      </w:r>
    </w:p>
  </w:footnote>
  <w:footnote w:id="2">
    <w:p w:rsidR="005C0068" w:rsidRDefault="005C0068">
      <w:pPr>
        <w:pStyle w:val="Textodenotaderodap"/>
      </w:pPr>
      <w:r>
        <w:rPr>
          <w:rStyle w:val="Refdenotaderodap"/>
        </w:rPr>
        <w:footnoteRef/>
      </w:r>
      <w:r>
        <w:t xml:space="preserve"> Graduando do curso de Direito da Unidade de Ensino Superior Dom Bosco – UNDB.</w:t>
      </w:r>
    </w:p>
  </w:footnote>
  <w:footnote w:id="3">
    <w:p w:rsidR="005C0068" w:rsidRDefault="005C0068">
      <w:pPr>
        <w:pStyle w:val="Textodenotaderodap"/>
      </w:pPr>
      <w:r>
        <w:rPr>
          <w:rStyle w:val="Refdenotaderodap"/>
        </w:rPr>
        <w:footnoteRef/>
      </w:r>
      <w:r>
        <w:t xml:space="preserve"> Professor </w:t>
      </w:r>
      <w:r w:rsidR="001325CE">
        <w:t>Esp</w:t>
      </w:r>
      <w:r>
        <w:t>. do Curso de Direito – UNDB.</w:t>
      </w:r>
    </w:p>
  </w:footnote>
  <w:footnote w:id="4">
    <w:p w:rsidR="004753CC" w:rsidRDefault="004753CC" w:rsidP="00567DB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567DBD">
        <w:t xml:space="preserve">Disponível </w:t>
      </w:r>
      <w:hyperlink r:id="rId1" w:history="1">
        <w:r w:rsidR="00567DBD" w:rsidRPr="005E22E6">
          <w:rPr>
            <w:rStyle w:val="Hyperlink"/>
          </w:rPr>
          <w:t>http://www.ambitojuridico.com.br/site/index.php?n_link=revista_artigos_leitura&amp;artigo_id=9242</w:t>
        </w:r>
      </w:hyperlink>
      <w:r w:rsidR="00567DBD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B5A" w:rsidRDefault="00CC2B5A" w:rsidP="00CC2B5A">
    <w:pPr>
      <w:pStyle w:val="Cabealho"/>
      <w:jc w:val="center"/>
    </w:pPr>
    <w:r w:rsidRPr="006F2289">
      <w:rPr>
        <w:rFonts w:cs="Times New Roman"/>
        <w:noProof/>
        <w:sz w:val="28"/>
        <w:szCs w:val="24"/>
        <w:lang w:eastAsia="pt-BR"/>
      </w:rPr>
      <w:drawing>
        <wp:inline distT="0" distB="0" distL="0" distR="0" wp14:anchorId="470C8F76" wp14:editId="47E86F7E">
          <wp:extent cx="2428875" cy="4762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4903" cy="475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586BE4"/>
    <w:multiLevelType w:val="hybridMultilevel"/>
    <w:tmpl w:val="D640FC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5A"/>
    <w:rsid w:val="000273D5"/>
    <w:rsid w:val="00035FC5"/>
    <w:rsid w:val="0004114B"/>
    <w:rsid w:val="00094195"/>
    <w:rsid w:val="000A4280"/>
    <w:rsid w:val="001325CE"/>
    <w:rsid w:val="00140432"/>
    <w:rsid w:val="00162293"/>
    <w:rsid w:val="00213136"/>
    <w:rsid w:val="00292321"/>
    <w:rsid w:val="002E4E14"/>
    <w:rsid w:val="002F6298"/>
    <w:rsid w:val="00371C5F"/>
    <w:rsid w:val="00383FB0"/>
    <w:rsid w:val="003A79BF"/>
    <w:rsid w:val="00401CB2"/>
    <w:rsid w:val="00421C6D"/>
    <w:rsid w:val="00425411"/>
    <w:rsid w:val="0043704D"/>
    <w:rsid w:val="00451904"/>
    <w:rsid w:val="00465E62"/>
    <w:rsid w:val="004753CC"/>
    <w:rsid w:val="00524552"/>
    <w:rsid w:val="00567DBD"/>
    <w:rsid w:val="0057181A"/>
    <w:rsid w:val="00575433"/>
    <w:rsid w:val="005B04B6"/>
    <w:rsid w:val="005C0068"/>
    <w:rsid w:val="005E0601"/>
    <w:rsid w:val="005E2868"/>
    <w:rsid w:val="006922A3"/>
    <w:rsid w:val="00692973"/>
    <w:rsid w:val="006B5454"/>
    <w:rsid w:val="007328B3"/>
    <w:rsid w:val="007D7334"/>
    <w:rsid w:val="007E1D0D"/>
    <w:rsid w:val="00830BA1"/>
    <w:rsid w:val="00833647"/>
    <w:rsid w:val="0083586A"/>
    <w:rsid w:val="008C6C0F"/>
    <w:rsid w:val="00904A2E"/>
    <w:rsid w:val="00953DC8"/>
    <w:rsid w:val="00A00A4D"/>
    <w:rsid w:val="00A62F66"/>
    <w:rsid w:val="00AB420B"/>
    <w:rsid w:val="00AF6B61"/>
    <w:rsid w:val="00B01269"/>
    <w:rsid w:val="00B417CE"/>
    <w:rsid w:val="00B46B71"/>
    <w:rsid w:val="00B57C0D"/>
    <w:rsid w:val="00BB0894"/>
    <w:rsid w:val="00BE10A7"/>
    <w:rsid w:val="00C03AC1"/>
    <w:rsid w:val="00C0720F"/>
    <w:rsid w:val="00C15CD9"/>
    <w:rsid w:val="00C51F97"/>
    <w:rsid w:val="00C773CC"/>
    <w:rsid w:val="00C86D8C"/>
    <w:rsid w:val="00CB28AB"/>
    <w:rsid w:val="00CB4D27"/>
    <w:rsid w:val="00CC2B5A"/>
    <w:rsid w:val="00D77C15"/>
    <w:rsid w:val="00DA78FB"/>
    <w:rsid w:val="00DB3A99"/>
    <w:rsid w:val="00DE7DB8"/>
    <w:rsid w:val="00DF7619"/>
    <w:rsid w:val="00E00C2B"/>
    <w:rsid w:val="00E235B0"/>
    <w:rsid w:val="00E23A4A"/>
    <w:rsid w:val="00E34224"/>
    <w:rsid w:val="00E478BE"/>
    <w:rsid w:val="00ED00E3"/>
    <w:rsid w:val="00F84725"/>
    <w:rsid w:val="00FB6047"/>
    <w:rsid w:val="00FC732D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C9A7B"/>
  <w15:docId w15:val="{941F2DA4-A5CA-4FA1-88BC-376BD6C4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2B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B5A"/>
  </w:style>
  <w:style w:type="paragraph" w:styleId="Rodap">
    <w:name w:val="footer"/>
    <w:basedOn w:val="Normal"/>
    <w:link w:val="RodapChar"/>
    <w:uiPriority w:val="99"/>
    <w:unhideWhenUsed/>
    <w:rsid w:val="00CC2B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B5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C0068"/>
    <w:pPr>
      <w:spacing w:after="0"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C0068"/>
  </w:style>
  <w:style w:type="character" w:styleId="Refdenotaderodap">
    <w:name w:val="footnote reference"/>
    <w:basedOn w:val="Fontepargpadro"/>
    <w:uiPriority w:val="99"/>
    <w:semiHidden/>
    <w:unhideWhenUsed/>
    <w:rsid w:val="005C006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5190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52455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86D8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7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04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1313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BE10A7"/>
    <w:rPr>
      <w:b/>
      <w:bCs/>
    </w:rPr>
  </w:style>
  <w:style w:type="paragraph" w:customStyle="1" w:styleId="texto2">
    <w:name w:val="texto2"/>
    <w:basedOn w:val="Normal"/>
    <w:rsid w:val="000A428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02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01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bito-juridico.com.br/site/index.php?n_link=revista_artigos_leitura&amp;artigo_id=924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15-2018/2017/Lei/L13429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mbitojuridico.com.br/site/index.php?n_link=revista_artigos_leitura&amp;artigo_id=924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Lopez</dc:creator>
  <cp:lastModifiedBy>luanalindoso29@hotmail.com</cp:lastModifiedBy>
  <cp:revision>3</cp:revision>
  <dcterms:created xsi:type="dcterms:W3CDTF">2018-06-21T23:57:00Z</dcterms:created>
  <dcterms:modified xsi:type="dcterms:W3CDTF">2018-06-21T23:57:00Z</dcterms:modified>
</cp:coreProperties>
</file>