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03" w:rsidRPr="00B93883" w:rsidRDefault="00B93883" w:rsidP="00351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883">
        <w:rPr>
          <w:rFonts w:ascii="Times New Roman" w:hAnsi="Times New Roman" w:cs="Times New Roman"/>
          <w:b/>
          <w:sz w:val="28"/>
          <w:szCs w:val="28"/>
        </w:rPr>
        <w:t xml:space="preserve">SINOPSE DO </w:t>
      </w:r>
      <w:r w:rsidRPr="00B93883">
        <w:rPr>
          <w:rFonts w:ascii="Times New Roman" w:hAnsi="Times New Roman" w:cs="Times New Roman"/>
          <w:b/>
          <w:i/>
          <w:sz w:val="28"/>
          <w:szCs w:val="28"/>
        </w:rPr>
        <w:t>CASE</w:t>
      </w:r>
      <w:r w:rsidRPr="00B93883">
        <w:rPr>
          <w:rFonts w:ascii="Times New Roman" w:hAnsi="Times New Roman" w:cs="Times New Roman"/>
          <w:i/>
          <w:sz w:val="28"/>
          <w:szCs w:val="28"/>
        </w:rPr>
        <w:t>:</w:t>
      </w:r>
      <w:r w:rsidR="00B605F4">
        <w:rPr>
          <w:rFonts w:ascii="Times New Roman" w:hAnsi="Times New Roman" w:cs="Times New Roman"/>
          <w:sz w:val="28"/>
          <w:szCs w:val="28"/>
        </w:rPr>
        <w:t xml:space="preserve"> A validade do aval sem autorização do cônjuge</w:t>
      </w:r>
      <w:r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B93883" w:rsidRPr="00B93883" w:rsidRDefault="00B93883" w:rsidP="00B938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883" w:rsidRPr="00B93883" w:rsidRDefault="00B93883" w:rsidP="00B9388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35110A">
        <w:rPr>
          <w:rFonts w:ascii="Times New Roman" w:hAnsi="Times New Roman" w:cs="Times New Roman"/>
          <w:i/>
          <w:sz w:val="24"/>
          <w:szCs w:val="24"/>
        </w:rPr>
        <w:t>Lavínia Feitosa Silva Assunção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B93883" w:rsidRPr="00B93883" w:rsidRDefault="00B605F4" w:rsidP="00B9388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Murilo Duailibe Salem Neto</w:t>
      </w:r>
      <w:r w:rsidR="00B93883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B93883" w:rsidRPr="00B93883" w:rsidRDefault="00B93883" w:rsidP="00B938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0CD3" w:rsidRDefault="00B93883" w:rsidP="00B938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3883"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DD5013" w:rsidRDefault="00D7047A" w:rsidP="00DD50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D5013">
        <w:rPr>
          <w:rFonts w:ascii="Times New Roman" w:hAnsi="Times New Roman" w:cs="Times New Roman"/>
          <w:sz w:val="24"/>
          <w:szCs w:val="24"/>
        </w:rPr>
        <w:t>cas</w:t>
      </w:r>
      <w:r w:rsidR="00DD5013">
        <w:rPr>
          <w:rFonts w:ascii="Times New Roman" w:hAnsi="Times New Roman" w:cs="Times New Roman"/>
          <w:sz w:val="24"/>
          <w:szCs w:val="24"/>
        </w:rPr>
        <w:t xml:space="preserve">o narra o seguinte fato: João de Deus emitiu um cheque em favor de Maria José, tendo como seu avalista Antônio Francisco, casado pelo regime legal, porém sem a autorização da sua esposa. Por conseguinte, praticamente um ano depois, Maria José apresenta o cheque para pagamento, porém João de Deus não possuía o saldo suficiente em conta. Logo após este acontecimento, Maria José tornou a apresentar o cheque e mais uma vez o resultado se repetiu. Passados alguns meses, a mesma entrou com uma ação monitória contra João de Deus e Antônio de Deus, que se eximiram da culpa, respectivamente, por falta de provas que comprovassem a relação que gerou o cheque e pelo fato do aval não ser válido por conta da não outorgação da sua esposa. </w:t>
      </w:r>
    </w:p>
    <w:p w:rsidR="00671872" w:rsidRPr="00B93883" w:rsidRDefault="00671872" w:rsidP="00B938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3883" w:rsidRDefault="00B93883" w:rsidP="00B938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3883">
        <w:rPr>
          <w:rFonts w:ascii="Times New Roman" w:hAnsi="Times New Roman" w:cs="Times New Roman"/>
          <w:b/>
          <w:sz w:val="24"/>
          <w:szCs w:val="24"/>
        </w:rPr>
        <w:t>2 IDENTIFICAÇÃO E ANÁLISE DO CASO</w:t>
      </w:r>
    </w:p>
    <w:p w:rsidR="003E2133" w:rsidRDefault="00B93883" w:rsidP="003511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C657E">
        <w:rPr>
          <w:rFonts w:ascii="Times New Roman" w:hAnsi="Times New Roman" w:cs="Times New Roman"/>
          <w:b/>
          <w:sz w:val="24"/>
          <w:szCs w:val="24"/>
        </w:rPr>
        <w:t>2.1 Descrição das decisões possíveis</w:t>
      </w:r>
    </w:p>
    <w:p w:rsidR="00B605F4" w:rsidRDefault="00B605F4" w:rsidP="00B93883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Manutenç</w:t>
      </w:r>
      <w:r w:rsidR="00C52F99">
        <w:rPr>
          <w:rFonts w:ascii="Times New Roman" w:hAnsi="Times New Roman" w:cs="Times New Roman"/>
          <w:sz w:val="24"/>
          <w:szCs w:val="24"/>
        </w:rPr>
        <w:t>ão do aval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F99" w:rsidRPr="00C52F99" w:rsidRDefault="00B605F4" w:rsidP="00C52F99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Extinç</w:t>
      </w:r>
      <w:r w:rsidR="00C52F99">
        <w:rPr>
          <w:rFonts w:ascii="Times New Roman" w:hAnsi="Times New Roman" w:cs="Times New Roman"/>
          <w:sz w:val="24"/>
          <w:szCs w:val="24"/>
        </w:rPr>
        <w:t>ão do aval</w:t>
      </w:r>
    </w:p>
    <w:p w:rsidR="00C52F99" w:rsidRDefault="00C52F99" w:rsidP="00DD50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EAE" w:rsidRPr="00DD5013" w:rsidRDefault="00B93883" w:rsidP="00DD50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57E">
        <w:rPr>
          <w:rFonts w:ascii="Times New Roman" w:hAnsi="Times New Roman" w:cs="Times New Roman"/>
          <w:b/>
          <w:sz w:val="24"/>
          <w:szCs w:val="24"/>
        </w:rPr>
        <w:t>2.2 Argumentos capa</w:t>
      </w:r>
      <w:r>
        <w:rPr>
          <w:rFonts w:ascii="Times New Roman" w:hAnsi="Times New Roman" w:cs="Times New Roman"/>
          <w:b/>
          <w:sz w:val="24"/>
          <w:szCs w:val="24"/>
        </w:rPr>
        <w:t>zes de fundamentar cada decisão</w:t>
      </w:r>
    </w:p>
    <w:p w:rsidR="00C52F99" w:rsidRDefault="00C52F99" w:rsidP="00C07A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B22" w:rsidRPr="00C52F99" w:rsidRDefault="00B93883" w:rsidP="00C07A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F99">
        <w:rPr>
          <w:rFonts w:ascii="Times New Roman" w:hAnsi="Times New Roman" w:cs="Times New Roman"/>
          <w:b/>
          <w:sz w:val="24"/>
          <w:szCs w:val="24"/>
        </w:rPr>
        <w:t>2.2.1</w:t>
      </w:r>
      <w:r w:rsidR="00CC0B22" w:rsidRPr="00C5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EAE" w:rsidRPr="00C52F99">
        <w:rPr>
          <w:rFonts w:ascii="Times New Roman" w:hAnsi="Times New Roman" w:cs="Times New Roman"/>
          <w:b/>
          <w:sz w:val="24"/>
          <w:szCs w:val="24"/>
        </w:rPr>
        <w:t>Manutenção do cheque</w:t>
      </w:r>
    </w:p>
    <w:p w:rsidR="000E3B1A" w:rsidRPr="0017426B" w:rsidRDefault="0017426B" w:rsidP="001742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26B">
        <w:rPr>
          <w:rFonts w:ascii="Times New Roman" w:hAnsi="Times New Roman" w:cs="Times New Roman"/>
          <w:sz w:val="24"/>
          <w:szCs w:val="24"/>
        </w:rPr>
        <w:t xml:space="preserve">Entende-se por cheque: </w:t>
      </w:r>
    </w:p>
    <w:p w:rsidR="0017426B" w:rsidRDefault="0017426B" w:rsidP="0017426B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</w:pPr>
      <w:r w:rsidRPr="0017426B"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  <w:t>Uma promessa indireta de pagamento feita pelo emitente cujo conteúdo, tal como na letra de câmbio, corresponde a uma ordem de pagamento a um Banco ou Instituição Financeira assemelhada para pagar uma quantia determinada ao emitente ou a terceiro, havendo fundos</w:t>
      </w:r>
      <w:r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  <w:t xml:space="preserve"> disponíveis em poder do sacado</w:t>
      </w:r>
      <w:r w:rsidRPr="0017426B"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  <w:t>. (COSTA, 2008: 323)</w:t>
      </w:r>
    </w:p>
    <w:p w:rsidR="0017426B" w:rsidRDefault="0017426B" w:rsidP="0017426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</w:pPr>
    </w:p>
    <w:p w:rsidR="00F8007D" w:rsidRDefault="0017426B" w:rsidP="0017426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>Sendo esse, julgado como um negócio jurídico, p</w:t>
      </w:r>
      <w:r w:rsidR="003725C7"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 xml:space="preserve">rimeiramente deve se notar se houve a válida realização do princípio da autonomia, pois segundo GAGLIANO e PAMPLONA, </w:t>
      </w:r>
      <w:r w:rsidR="003725C7"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lastRenderedPageBreak/>
        <w:t>“contrato sem vontade não é contrato”</w:t>
      </w:r>
      <w:r w:rsidR="00E4525D"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 xml:space="preserve"> (p. 72, 2012</w:t>
      </w:r>
      <w:bookmarkStart w:id="0" w:name="_GoBack"/>
      <w:bookmarkEnd w:id="0"/>
      <w:r w:rsidR="003725C7"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>). Dessa f</w:t>
      </w:r>
      <w:r w:rsidR="0032612A"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>orma, utilizando-se desse mesmo princípio ao se tratar das obrigações cambiais, ULHOA afirma, que “</w:t>
      </w:r>
      <w:r w:rsidR="003261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32612A" w:rsidRPr="003261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elo princípio da autonomia das obrigações cambiais, os vícios que comprometem a validade de uma relação jurídica, documentada em título de crédito, não se estendem às demais relaçõe</w:t>
      </w:r>
      <w:r w:rsidR="0032612A" w:rsidRPr="003261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abrangidas no mesmo documento</w:t>
      </w:r>
      <w:r w:rsidR="0032612A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” (p. </w:t>
      </w:r>
      <w:r w:rsidR="00E4525D">
        <w:rPr>
          <w:rFonts w:ascii="Helvetica" w:hAnsi="Helvetica"/>
          <w:color w:val="000000"/>
          <w:sz w:val="20"/>
          <w:szCs w:val="20"/>
          <w:shd w:val="clear" w:color="auto" w:fill="FFFFFF"/>
        </w:rPr>
        <w:t>1274, 2012</w:t>
      </w:r>
      <w:r w:rsidR="0032612A">
        <w:rPr>
          <w:rFonts w:ascii="Helvetica" w:hAnsi="Helvetica"/>
          <w:color w:val="000000"/>
          <w:sz w:val="20"/>
          <w:szCs w:val="20"/>
          <w:shd w:val="clear" w:color="auto" w:fill="FFFFFF"/>
        </w:rPr>
        <w:t>)</w:t>
      </w:r>
      <w:r w:rsidR="00A23AE3"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 xml:space="preserve">. Além disso, vale-se utilizar do princípio da literalidade, </w:t>
      </w:r>
    </w:p>
    <w:p w:rsidR="0017426B" w:rsidRPr="00F8007D" w:rsidRDefault="00F8007D" w:rsidP="00F8007D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  <w:t>S</w:t>
      </w:r>
      <w:r w:rsidR="00A23AE3" w:rsidRPr="00F8007D"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  <w:t>egundo o qual somente produzem efeitos jurídico-cambiais os atos lançados no próprio título de crédito</w:t>
      </w:r>
      <w:r w:rsidRPr="00F8007D"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  <w:t xml:space="preserve">. Atos documentados em instrumentos apartados, ainda que válidos e eficazes entre os sujeitos diretamente envolvidos, não produzirão efeitos perante o portador do título. </w:t>
      </w:r>
      <w:r w:rsidR="00E4525D"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  <w:t>(p. 1271, 2012</w:t>
      </w:r>
      <w:r>
        <w:rPr>
          <w:rFonts w:ascii="Times New Roman" w:hAnsi="Times New Roman" w:cs="Times New Roman"/>
          <w:color w:val="3A382C"/>
          <w:sz w:val="20"/>
          <w:szCs w:val="20"/>
          <w:shd w:val="clear" w:color="auto" w:fill="FFFFFF"/>
        </w:rPr>
        <w:t>)</w:t>
      </w:r>
    </w:p>
    <w:p w:rsidR="0032612A" w:rsidRDefault="0032612A" w:rsidP="0032612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</w:pPr>
    </w:p>
    <w:p w:rsidR="00A23AE3" w:rsidRDefault="0032612A" w:rsidP="0032612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 xml:space="preserve">Por fim, utiliza-se do princípio da cartularidade, no qual, segundo ULHOA, assegura que o sujeito portador do título possa satisfazer o seu direito comprovando ser o titular. </w:t>
      </w:r>
    </w:p>
    <w:p w:rsidR="0032612A" w:rsidRDefault="0032612A" w:rsidP="0032612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 xml:space="preserve">Mediante ao que foi apresentado, e a indagação referente ao case, é válido ressaltar que: </w:t>
      </w:r>
    </w:p>
    <w:p w:rsidR="0032612A" w:rsidRDefault="0032612A" w:rsidP="0032612A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261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 aval é uma obrigação de natureza autônoma, formal, lançada na própria cártula, e regida por lei especial. Decorre da simples assinatura do avalista no título, tornando-o devedor solidário, podendo inclusive ser compelido antes mesmo do avalizado, a adimplir o valor. O avalista, não pode invocar como defesa, causas relativas à origem do título, em face dos princípios que o regem, a saber, princípios da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cartularidade, da literalidade </w:t>
      </w:r>
      <w:r w:rsidRPr="003261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 da autonomia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(LOPES, 2010) </w:t>
      </w:r>
    </w:p>
    <w:p w:rsidR="00095064" w:rsidRDefault="00095064" w:rsidP="003261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5064" w:rsidRDefault="0032612A" w:rsidP="00095064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Sendo assim, não é aceitável a posição de João de Deus, </w:t>
      </w:r>
      <w:r w:rsidR="00095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afirmando que o aval é inválido, pela ausência de autorização de seu cônjuge. Pois: </w:t>
      </w:r>
    </w:p>
    <w:p w:rsidR="00095064" w:rsidRDefault="00095064" w:rsidP="00095064">
      <w:pPr>
        <w:pStyle w:val="NormalWeb"/>
        <w:shd w:val="clear" w:color="auto" w:fill="FFFFFF"/>
        <w:spacing w:before="0" w:beforeAutospacing="0" w:after="240" w:afterAutospacing="0"/>
        <w:ind w:left="2268"/>
        <w:rPr>
          <w:color w:val="1A1A1A"/>
          <w:sz w:val="20"/>
          <w:szCs w:val="20"/>
        </w:rPr>
      </w:pPr>
      <w:r w:rsidRPr="00095064">
        <w:rPr>
          <w:color w:val="1A1A1A"/>
          <w:sz w:val="20"/>
          <w:szCs w:val="20"/>
        </w:rPr>
        <w:t>O artigo 1.647, III do Código Civil está inserido no Capítulo I, Subtítulo I, Título II do Livro IV, que normatiza o Direito de Família.</w:t>
      </w:r>
      <w:r>
        <w:rPr>
          <w:color w:val="1A1A1A"/>
          <w:sz w:val="20"/>
          <w:szCs w:val="20"/>
        </w:rPr>
        <w:t xml:space="preserve"> </w:t>
      </w:r>
      <w:r w:rsidRPr="00095064">
        <w:rPr>
          <w:color w:val="1A1A1A"/>
          <w:sz w:val="20"/>
          <w:szCs w:val="20"/>
        </w:rPr>
        <w:t>As normas ali apuradas, portanto, revelam-se reguladoras das relações familiares, ainda que seus efeitos alcancem terceiros, o que acentua ainda mais a observância prefacial realizada neste estudo no sentido de que a intenção do artigo sob exame não era tornar nulo nem anulável o aval prestado sem consentimento do cônjuge, mas simplesmente preservar a respectiva meação.</w:t>
      </w:r>
      <w:r>
        <w:rPr>
          <w:color w:val="1A1A1A"/>
          <w:sz w:val="20"/>
          <w:szCs w:val="20"/>
        </w:rPr>
        <w:t xml:space="preserve"> (TEIXEIRA, 2008)</w:t>
      </w:r>
    </w:p>
    <w:p w:rsidR="00095064" w:rsidRDefault="00095064" w:rsidP="00095064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rPr>
          <w:color w:val="1A1A1A"/>
        </w:rPr>
      </w:pPr>
      <w:r>
        <w:rPr>
          <w:color w:val="1A1A1A"/>
        </w:rPr>
        <w:t xml:space="preserve">De acordo com isso, há decisões jurisprudenciais, </w:t>
      </w:r>
      <w:r w:rsidR="00661806">
        <w:rPr>
          <w:color w:val="1A1A1A"/>
        </w:rPr>
        <w:t>que implicaram</w:t>
      </w:r>
      <w:r>
        <w:rPr>
          <w:color w:val="1A1A1A"/>
        </w:rPr>
        <w:t xml:space="preserve"> que mesmo sem a outorga do cônjuge </w:t>
      </w:r>
      <w:r w:rsidR="00193962">
        <w:rPr>
          <w:color w:val="1A1A1A"/>
        </w:rPr>
        <w:t>não há no que se falar em nulidade do aval.</w:t>
      </w:r>
    </w:p>
    <w:p w:rsidR="00193962" w:rsidRPr="00193962" w:rsidRDefault="00193962" w:rsidP="00193962">
      <w:pPr>
        <w:pStyle w:val="NormalWeb"/>
        <w:shd w:val="clear" w:color="auto" w:fill="FFFFFF"/>
        <w:spacing w:before="0" w:beforeAutospacing="0" w:after="240" w:afterAutospacing="0"/>
        <w:ind w:left="2268"/>
        <w:rPr>
          <w:color w:val="1A1A1A"/>
          <w:sz w:val="20"/>
          <w:szCs w:val="20"/>
        </w:rPr>
      </w:pPr>
      <w:r w:rsidRPr="00193962">
        <w:rPr>
          <w:rStyle w:val="Forte"/>
          <w:color w:val="1A1A1A"/>
          <w:sz w:val="20"/>
          <w:szCs w:val="20"/>
          <w:shd w:val="clear" w:color="auto" w:fill="FFFFFF"/>
        </w:rPr>
        <w:t>EMBARGOS DE TERCEIRO. EXECUÇÃO DE CÉDULA RURAL PIGNORATÍCIA. MULHER CASADA. DÍVIDA CONTRAÍDA PELO MARIDO, EXECUTADO COMO AVALISTA. Aquele que assume a posição de devedor solidário em um contrato responde pelas obrigações dele decorrentes. AVAL. OUTORGA UXÓRIA. Prestado o aval no título apenas por um dos cônjuges, a ausência de outorga uxória não implica em nulidade. Incidência do art. 3º da Lei n.º 4121/62. AVAL PRESTADO DE FAVOR. ÔNUS DA PROVA DO CREDOR. RESGUARDO DA MEAÇÃO. Tendo o aval sido prestado graciosamente pelo co-executado, esposo da embargante, o ônus de demonstrar que a obrigação contraída no negócio não veio em benefício da família reverte-se para o credor. Inexistindo nos autos prova de que o avalista foi beneficiário da obrigação, cabível o resguardo da meação da mulher. Recurso conhecido em parte e, nesta parte, parcialmente provido.</w:t>
      </w:r>
      <w:r>
        <w:rPr>
          <w:rStyle w:val="Forte"/>
          <w:color w:val="1A1A1A"/>
          <w:sz w:val="20"/>
          <w:szCs w:val="20"/>
          <w:shd w:val="clear" w:color="auto" w:fill="FFFFFF"/>
        </w:rPr>
        <w:t xml:space="preserve"> (</w:t>
      </w:r>
      <w:r>
        <w:rPr>
          <w:rStyle w:val="Forte"/>
          <w:b w:val="0"/>
          <w:color w:val="1A1A1A"/>
          <w:sz w:val="20"/>
          <w:szCs w:val="20"/>
          <w:shd w:val="clear" w:color="auto" w:fill="FFFFFF"/>
        </w:rPr>
        <w:t>Apelação Cível</w:t>
      </w:r>
      <w:r>
        <w:rPr>
          <w:rStyle w:val="Forte"/>
          <w:color w:val="1A1A1A"/>
          <w:sz w:val="25"/>
          <w:szCs w:val="25"/>
          <w:shd w:val="clear" w:color="auto" w:fill="FFFFFF"/>
        </w:rPr>
        <w:t>,</w:t>
      </w:r>
      <w:r>
        <w:rPr>
          <w:rStyle w:val="Forte"/>
          <w:color w:val="1A1A1A"/>
          <w:sz w:val="25"/>
          <w:szCs w:val="25"/>
          <w:shd w:val="clear" w:color="auto" w:fill="FFFFFF"/>
        </w:rPr>
        <w:t xml:space="preserve"> </w:t>
      </w:r>
      <w:r w:rsidRPr="00193962">
        <w:rPr>
          <w:rStyle w:val="Forte"/>
          <w:b w:val="0"/>
          <w:color w:val="1A1A1A"/>
          <w:sz w:val="20"/>
          <w:szCs w:val="20"/>
          <w:shd w:val="clear" w:color="auto" w:fill="FFFFFF"/>
        </w:rPr>
        <w:t xml:space="preserve">Décima Quinta Câmara Cível, Tribunal de Justiça do RS, Relator: Ricardo Raupp </w:t>
      </w:r>
      <w:proofErr w:type="spellStart"/>
      <w:r w:rsidRPr="00193962">
        <w:rPr>
          <w:rStyle w:val="Forte"/>
          <w:b w:val="0"/>
          <w:color w:val="1A1A1A"/>
          <w:sz w:val="20"/>
          <w:szCs w:val="20"/>
          <w:shd w:val="clear" w:color="auto" w:fill="FFFFFF"/>
        </w:rPr>
        <w:t>Ruschel</w:t>
      </w:r>
      <w:proofErr w:type="spellEnd"/>
      <w:r w:rsidRPr="00193962">
        <w:rPr>
          <w:rStyle w:val="Forte"/>
          <w:b w:val="0"/>
          <w:color w:val="1A1A1A"/>
          <w:sz w:val="20"/>
          <w:szCs w:val="20"/>
          <w:shd w:val="clear" w:color="auto" w:fill="FFFFFF"/>
        </w:rPr>
        <w:t>, Julgado em 18/05/2005.</w:t>
      </w:r>
      <w:r>
        <w:rPr>
          <w:rStyle w:val="Forte"/>
          <w:b w:val="0"/>
          <w:color w:val="1A1A1A"/>
          <w:sz w:val="20"/>
          <w:szCs w:val="20"/>
          <w:shd w:val="clear" w:color="auto" w:fill="FFFFFF"/>
        </w:rPr>
        <w:t>)</w:t>
      </w:r>
    </w:p>
    <w:p w:rsidR="00463CD6" w:rsidRDefault="00193962" w:rsidP="00463CD6">
      <w:pPr>
        <w:pStyle w:val="NormalWeb"/>
        <w:spacing w:before="0" w:beforeAutospacing="0" w:after="135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color w:val="000000"/>
        </w:rPr>
        <w:lastRenderedPageBreak/>
        <w:t xml:space="preserve">Portanto, estima-se somente a manutenção do aval, não sendo julgada a sua nulidade. </w:t>
      </w:r>
      <w:r w:rsidR="00463CD6">
        <w:rPr>
          <w:color w:val="000000"/>
        </w:rPr>
        <w:t xml:space="preserve">Contudo, </w:t>
      </w:r>
      <w:r w:rsidR="00463CD6">
        <w:rPr>
          <w:color w:val="000000"/>
          <w:shd w:val="clear" w:color="auto" w:fill="FFFFFF"/>
        </w:rPr>
        <w:t>p</w:t>
      </w:r>
      <w:r w:rsidR="00463CD6">
        <w:rPr>
          <w:color w:val="000000"/>
          <w:shd w:val="clear" w:color="auto" w:fill="FFFFFF"/>
        </w:rPr>
        <w:t>ara finalizar, opondo-se as argumentações propostas por João de Deus para se eximir da obrigação contatada através do aval no cheque à Maria de Jesus, é cabível fundamentar que</w:t>
      </w:r>
      <w:r w:rsidR="00463CD6">
        <w:rPr>
          <w:color w:val="000000"/>
          <w:shd w:val="clear" w:color="auto" w:fill="FFFFFF"/>
        </w:rPr>
        <w:t xml:space="preserve">, de acordo com a </w:t>
      </w:r>
      <w:proofErr w:type="spellStart"/>
      <w:r w:rsidR="00463CD6" w:rsidRPr="00463CD6">
        <w:rPr>
          <w:color w:val="333333"/>
          <w:shd w:val="clear" w:color="auto" w:fill="FFFFFF"/>
        </w:rPr>
        <w:t>A</w:t>
      </w:r>
      <w:proofErr w:type="spellEnd"/>
      <w:r w:rsidR="00463CD6" w:rsidRPr="00463CD6">
        <w:rPr>
          <w:color w:val="333333"/>
          <w:shd w:val="clear" w:color="auto" w:fill="FFFFFF"/>
        </w:rPr>
        <w:t xml:space="preserve"> Lei 2.044/1908</w:t>
      </w:r>
      <w:r w:rsidR="00463CD6">
        <w:rPr>
          <w:color w:val="333333"/>
          <w:shd w:val="clear" w:color="auto" w:fill="FFFFFF"/>
        </w:rPr>
        <w:t>, no artigo 14, “</w:t>
      </w:r>
      <w:r w:rsidR="00463CD6" w:rsidRPr="00463CD6">
        <w:rPr>
          <w:color w:val="000000"/>
        </w:rPr>
        <w:t xml:space="preserve">O pagamento de uma letra de câmbio, independente do aceite e do endosso, pode ser garantido por aval. Para a validade do aval, é suficiente a simples assinatura do próprio punho do avalista ou do mandatário especial, no verso ou no anverso da </w:t>
      </w:r>
      <w:r w:rsidR="00463CD6" w:rsidRPr="00463CD6">
        <w:rPr>
          <w:color w:val="000000"/>
        </w:rPr>
        <w:t>letra. ”</w:t>
      </w:r>
      <w:r w:rsidR="00463CD6">
        <w:rPr>
          <w:color w:val="000000"/>
          <w:shd w:val="clear" w:color="auto" w:fill="FFFFFF"/>
        </w:rPr>
        <w:t xml:space="preserve"> </w:t>
      </w:r>
    </w:p>
    <w:p w:rsidR="00A9230A" w:rsidRDefault="00463CD6" w:rsidP="00A9230A">
      <w:pPr>
        <w:pStyle w:val="NormalWeb"/>
        <w:spacing w:before="0" w:beforeAutospacing="0" w:after="135" w:afterAutospacing="0" w:line="360" w:lineRule="auto"/>
        <w:ind w:firstLine="567"/>
        <w:rPr>
          <w:color w:val="000000"/>
        </w:rPr>
      </w:pPr>
      <w:r>
        <w:rPr>
          <w:color w:val="000000"/>
          <w:shd w:val="clear" w:color="auto" w:fill="FFFFFF"/>
        </w:rPr>
        <w:t xml:space="preserve">Além disso, destaca-se o artigo 42, desta mesma Lei, </w:t>
      </w:r>
      <w:r w:rsidRPr="00463CD6">
        <w:rPr>
          <w:color w:val="000000"/>
          <w:shd w:val="clear" w:color="auto" w:fill="FFFFFF"/>
        </w:rPr>
        <w:t>“</w:t>
      </w:r>
      <w:r w:rsidRPr="00463CD6">
        <w:rPr>
          <w:color w:val="000000"/>
        </w:rPr>
        <w:t xml:space="preserve">As obrigações cambiais, são autônomas e independentes umas das outras. O significado da declaração cambial fica, por ela, vinculado e solidariamente </w:t>
      </w:r>
      <w:r>
        <w:rPr>
          <w:color w:val="000000"/>
        </w:rPr>
        <w:t>responsável pelo aceite e pelo p</w:t>
      </w:r>
      <w:r w:rsidRPr="00463CD6">
        <w:rPr>
          <w:color w:val="000000"/>
        </w:rPr>
        <w:t>agamento da letra, sem embargo da falsidade, da falsificação ou da nulidade de qualquer outra assinatura</w:t>
      </w:r>
      <w:r w:rsidRPr="00463CD6">
        <w:rPr>
          <w:color w:val="000000"/>
        </w:rPr>
        <w:t>”</w:t>
      </w:r>
      <w:r>
        <w:rPr>
          <w:color w:val="000000"/>
        </w:rPr>
        <w:t xml:space="preserve">. Ou seja, como já expresso, a relação jurídica do avalista com o avalizado se torna uma obrigação principal, independente de outras </w:t>
      </w:r>
      <w:r w:rsidR="00A9230A">
        <w:rPr>
          <w:color w:val="000000"/>
        </w:rPr>
        <w:t xml:space="preserve">obrigações a serem contratadas. </w:t>
      </w:r>
    </w:p>
    <w:p w:rsidR="00A9230A" w:rsidRDefault="00A9230A" w:rsidP="00A9230A">
      <w:pPr>
        <w:pStyle w:val="NormalWeb"/>
        <w:spacing w:before="0" w:beforeAutospacing="0" w:after="135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color w:val="000000"/>
        </w:rPr>
        <w:t xml:space="preserve">É sabido que, o Brasil aderiu, em 1942, a “Lei Uniforme do Cheque”, proveniente da Convenção de Genebra, do qual ele faz parte. Isto deu-se justamente para </w:t>
      </w:r>
      <w:r w:rsidRPr="00A9230A">
        <w:rPr>
          <w:color w:val="1A1A1A"/>
          <w:shd w:val="clear" w:color="auto" w:fill="FFFFFF"/>
        </w:rPr>
        <w:t>“evitar as dificuldades originadas na diversidade de legislação nos vários países em que as letras circulam e aumentam assim a segurança e a rapidez das relações do comércio internacional”</w:t>
      </w:r>
      <w:r>
        <w:rPr>
          <w:color w:val="1A1A1A"/>
          <w:shd w:val="clear" w:color="auto" w:fill="FFFFFF"/>
        </w:rPr>
        <w:t xml:space="preserve"> (TEIXEIRA, 2008). No entanto, segundo esta mesma Convenção, o artigo 25 também considera que, o aval resulta da simples oposição da assinatura do avalista”, não fazendo menção em nenhum momento sobre a outorga do cônjuge para a validação do aval. </w:t>
      </w:r>
    </w:p>
    <w:p w:rsidR="00463CD6" w:rsidRPr="00A9230A" w:rsidRDefault="00A9230A" w:rsidP="00A9230A">
      <w:pPr>
        <w:pStyle w:val="NormalWeb"/>
        <w:spacing w:before="0" w:beforeAutospacing="0" w:after="135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Por fim </w:t>
      </w:r>
      <w:r w:rsidR="00463CD6">
        <w:rPr>
          <w:color w:val="000000"/>
          <w:shd w:val="clear" w:color="auto" w:fill="FFFFFF"/>
        </w:rPr>
        <w:t xml:space="preserve">“o avalista, mesmo que o avalizado tenha bens suficientes ao integral cumprimento da obrigação cambiária, deve honrar o título junto ao credor, se acionado, e depois, cobrá-lo em ação de regresso. ” (ULHOA, p. 1396, </w:t>
      </w:r>
      <w:r w:rsidR="00E4525D">
        <w:rPr>
          <w:color w:val="000000"/>
          <w:shd w:val="clear" w:color="auto" w:fill="FFFFFF"/>
        </w:rPr>
        <w:t>2012</w:t>
      </w:r>
      <w:r w:rsidR="00463CD6">
        <w:rPr>
          <w:color w:val="000000"/>
          <w:shd w:val="clear" w:color="auto" w:fill="FFFFFF"/>
        </w:rPr>
        <w:t xml:space="preserve">) </w:t>
      </w:r>
    </w:p>
    <w:p w:rsidR="00C52F99" w:rsidRDefault="00C52F99" w:rsidP="00C07A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D0" w:rsidRPr="00C52F99" w:rsidRDefault="00B93883" w:rsidP="00C07A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F99">
        <w:rPr>
          <w:rFonts w:ascii="Times New Roman" w:hAnsi="Times New Roman" w:cs="Times New Roman"/>
          <w:b/>
          <w:sz w:val="24"/>
          <w:szCs w:val="24"/>
        </w:rPr>
        <w:t>2.2.2</w:t>
      </w:r>
      <w:r w:rsidR="00E54E2E" w:rsidRPr="00C5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746" w:rsidRPr="00C52F99">
        <w:rPr>
          <w:rFonts w:ascii="Times New Roman" w:hAnsi="Times New Roman" w:cs="Times New Roman"/>
          <w:b/>
          <w:sz w:val="24"/>
          <w:szCs w:val="24"/>
        </w:rPr>
        <w:t xml:space="preserve">Extinção do cheque </w:t>
      </w:r>
    </w:p>
    <w:p w:rsidR="00F8007D" w:rsidRPr="00F8007D" w:rsidRDefault="00F8007D" w:rsidP="00F8007D">
      <w:pPr>
        <w:pStyle w:val="NormalWeb"/>
        <w:spacing w:before="0" w:beforeAutospacing="0" w:after="135" w:afterAutospacing="0"/>
        <w:ind w:firstLine="567"/>
        <w:rPr>
          <w:color w:val="000000"/>
        </w:rPr>
      </w:pPr>
      <w:r>
        <w:rPr>
          <w:color w:val="000000"/>
        </w:rPr>
        <w:t>Conforme previsto:</w:t>
      </w:r>
    </w:p>
    <w:p w:rsidR="00F8007D" w:rsidRPr="00F8007D" w:rsidRDefault="00F8007D" w:rsidP="00F8007D">
      <w:pPr>
        <w:pStyle w:val="NormalWeb"/>
        <w:spacing w:before="0" w:beforeAutospacing="0" w:after="135" w:afterAutospacing="0"/>
        <w:ind w:left="2268"/>
        <w:rPr>
          <w:color w:val="000000"/>
          <w:sz w:val="20"/>
          <w:szCs w:val="20"/>
        </w:rPr>
      </w:pPr>
      <w:r w:rsidRPr="00F8007D">
        <w:rPr>
          <w:color w:val="000000"/>
          <w:sz w:val="20"/>
          <w:szCs w:val="20"/>
        </w:rPr>
        <w:t>Art. 1.647.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rStyle w:val="Forte"/>
          <w:color w:val="000000"/>
          <w:sz w:val="20"/>
          <w:szCs w:val="20"/>
          <w:u w:val="single"/>
        </w:rPr>
        <w:t>Ressalvado o disposto no art. 1.648, nenhum dos cônjuges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color w:val="000000"/>
          <w:sz w:val="20"/>
          <w:szCs w:val="20"/>
        </w:rPr>
        <w:t>pode, sem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rStyle w:val="Forte"/>
          <w:color w:val="000000"/>
          <w:sz w:val="20"/>
          <w:szCs w:val="20"/>
          <w:u w:val="single"/>
        </w:rPr>
        <w:t>autorização do outro, exceto no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color w:val="000000"/>
          <w:sz w:val="20"/>
          <w:szCs w:val="20"/>
        </w:rPr>
        <w:t>regime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rStyle w:val="Forte"/>
          <w:color w:val="000000"/>
          <w:sz w:val="20"/>
          <w:szCs w:val="20"/>
          <w:u w:val="single"/>
        </w:rPr>
        <w:t>da separação absoluta</w:t>
      </w:r>
      <w:r w:rsidRPr="00F8007D">
        <w:rPr>
          <w:rStyle w:val="Forte"/>
          <w:color w:val="000000"/>
          <w:sz w:val="20"/>
          <w:szCs w:val="20"/>
        </w:rPr>
        <w:t>:</w:t>
      </w:r>
    </w:p>
    <w:p w:rsidR="00F8007D" w:rsidRPr="00F8007D" w:rsidRDefault="00F8007D" w:rsidP="00F8007D">
      <w:pPr>
        <w:pStyle w:val="NormalWeb"/>
        <w:spacing w:before="0" w:beforeAutospacing="0" w:after="135" w:afterAutospacing="0"/>
        <w:ind w:left="2268"/>
        <w:rPr>
          <w:color w:val="000000"/>
          <w:sz w:val="20"/>
          <w:szCs w:val="20"/>
        </w:rPr>
      </w:pPr>
      <w:r w:rsidRPr="00F8007D">
        <w:rPr>
          <w:color w:val="000000"/>
          <w:sz w:val="20"/>
          <w:szCs w:val="20"/>
        </w:rPr>
        <w:t>I – alienar ou gravar de ônus real os bens imóveis;</w:t>
      </w:r>
    </w:p>
    <w:p w:rsidR="00F8007D" w:rsidRPr="00F8007D" w:rsidRDefault="00F8007D" w:rsidP="00F8007D">
      <w:pPr>
        <w:pStyle w:val="NormalWeb"/>
        <w:spacing w:before="0" w:beforeAutospacing="0" w:after="135" w:afterAutospacing="0"/>
        <w:ind w:left="2268"/>
        <w:rPr>
          <w:color w:val="000000"/>
          <w:sz w:val="20"/>
          <w:szCs w:val="20"/>
        </w:rPr>
      </w:pPr>
      <w:r w:rsidRPr="00F8007D">
        <w:rPr>
          <w:color w:val="000000"/>
          <w:sz w:val="20"/>
          <w:szCs w:val="20"/>
        </w:rPr>
        <w:t>II – pleitear, como autor ou réu, acerca desses bens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rStyle w:val="Forte"/>
          <w:color w:val="000000"/>
          <w:sz w:val="20"/>
          <w:szCs w:val="20"/>
          <w:u w:val="single"/>
        </w:rPr>
        <w:t>ou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color w:val="000000"/>
          <w:sz w:val="20"/>
          <w:szCs w:val="20"/>
        </w:rPr>
        <w:t>direitos;</w:t>
      </w:r>
    </w:p>
    <w:p w:rsidR="00F8007D" w:rsidRDefault="00F8007D" w:rsidP="00F8007D">
      <w:pPr>
        <w:pStyle w:val="NormalWeb"/>
        <w:spacing w:before="0" w:beforeAutospacing="0" w:after="135" w:afterAutospacing="0"/>
        <w:ind w:left="2268"/>
        <w:rPr>
          <w:color w:val="000000"/>
          <w:sz w:val="20"/>
          <w:szCs w:val="20"/>
        </w:rPr>
      </w:pPr>
      <w:r w:rsidRPr="00F8007D">
        <w:rPr>
          <w:color w:val="000000"/>
          <w:sz w:val="20"/>
          <w:szCs w:val="20"/>
        </w:rPr>
        <w:t>III – prestar fiança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rStyle w:val="Forte"/>
          <w:color w:val="000000"/>
          <w:sz w:val="20"/>
          <w:szCs w:val="20"/>
          <w:u w:val="single"/>
        </w:rPr>
        <w:t>ou aval</w:t>
      </w:r>
      <w:r w:rsidRPr="00F8007D">
        <w:rPr>
          <w:color w:val="000000"/>
          <w:sz w:val="20"/>
          <w:szCs w:val="20"/>
        </w:rPr>
        <w:t>;</w:t>
      </w:r>
    </w:p>
    <w:p w:rsidR="00F8007D" w:rsidRDefault="00F8007D" w:rsidP="00F8007D">
      <w:pPr>
        <w:pStyle w:val="NormalWeb"/>
        <w:spacing w:before="0" w:beforeAutospacing="0" w:after="135" w:afterAutospacing="0"/>
        <w:ind w:left="2268"/>
        <w:rPr>
          <w:rStyle w:val="Forte"/>
          <w:b w:val="0"/>
          <w:color w:val="000000"/>
          <w:sz w:val="20"/>
          <w:szCs w:val="20"/>
        </w:rPr>
      </w:pPr>
      <w:r w:rsidRPr="00F8007D">
        <w:rPr>
          <w:color w:val="000000"/>
          <w:sz w:val="20"/>
          <w:szCs w:val="20"/>
        </w:rPr>
        <w:t xml:space="preserve">IV – </w:t>
      </w:r>
      <w:r w:rsidRPr="00F8007D">
        <w:rPr>
          <w:color w:val="000000"/>
          <w:sz w:val="20"/>
          <w:szCs w:val="20"/>
        </w:rPr>
        <w:t>Fazer</w:t>
      </w:r>
      <w:r w:rsidRPr="00F8007D">
        <w:rPr>
          <w:color w:val="000000"/>
          <w:sz w:val="20"/>
          <w:szCs w:val="20"/>
        </w:rPr>
        <w:t xml:space="preserve"> doação, não sendo remuneratória,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rStyle w:val="Forte"/>
          <w:color w:val="000000"/>
          <w:sz w:val="20"/>
          <w:szCs w:val="20"/>
          <w:u w:val="single"/>
        </w:rPr>
        <w:t>de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color w:val="000000"/>
          <w:sz w:val="20"/>
          <w:szCs w:val="20"/>
        </w:rPr>
        <w:t>bens comuns,</w:t>
      </w:r>
      <w:r w:rsidRPr="00F8007D">
        <w:rPr>
          <w:rStyle w:val="apple-converted-space"/>
          <w:color w:val="000000"/>
          <w:sz w:val="20"/>
          <w:szCs w:val="20"/>
        </w:rPr>
        <w:t> </w:t>
      </w:r>
      <w:r w:rsidRPr="00F8007D">
        <w:rPr>
          <w:rStyle w:val="Forte"/>
          <w:color w:val="000000"/>
          <w:sz w:val="20"/>
          <w:szCs w:val="20"/>
          <w:u w:val="single"/>
        </w:rPr>
        <w:t>ou dos que possam integrar futura meação.</w:t>
      </w:r>
      <w:r>
        <w:rPr>
          <w:rStyle w:val="Forte"/>
          <w:color w:val="000000"/>
          <w:sz w:val="20"/>
          <w:szCs w:val="20"/>
          <w:u w:val="single"/>
        </w:rPr>
        <w:t xml:space="preserve">  </w:t>
      </w:r>
      <w:r>
        <w:rPr>
          <w:rStyle w:val="Forte"/>
          <w:b w:val="0"/>
          <w:color w:val="000000"/>
          <w:sz w:val="20"/>
          <w:szCs w:val="20"/>
        </w:rPr>
        <w:t>(LOPES, 2010)</w:t>
      </w:r>
    </w:p>
    <w:p w:rsidR="00296710" w:rsidRDefault="005F33BC" w:rsidP="00296710">
      <w:pPr>
        <w:pStyle w:val="NormalWeb"/>
        <w:spacing w:before="0" w:beforeAutospacing="0" w:after="135" w:afterAutospacing="0" w:line="360" w:lineRule="auto"/>
        <w:ind w:firstLine="567"/>
        <w:rPr>
          <w:color w:val="000000"/>
          <w:shd w:val="clear" w:color="auto" w:fill="FFFFFF"/>
        </w:rPr>
      </w:pPr>
      <w:r>
        <w:rPr>
          <w:color w:val="000000"/>
        </w:rPr>
        <w:lastRenderedPageBreak/>
        <w:t>Em acordo, vale ressaltar os interesses econômico resultantes do casamen</w:t>
      </w:r>
      <w:r>
        <w:rPr>
          <w:color w:val="000000"/>
        </w:rPr>
        <w:t>to, assegurando.</w:t>
      </w:r>
      <w:r>
        <w:rPr>
          <w:color w:val="000000"/>
        </w:rPr>
        <w:t xml:space="preserve"> </w:t>
      </w:r>
      <w:r>
        <w:rPr>
          <w:color w:val="000000"/>
        </w:rPr>
        <w:t xml:space="preserve">Sendo assim, considerando o que informa a Lei, o aval prestado por João de Deus deve ser nulo, uma vez que este foi realizado sem o consentimento de seu cônjuge, conforme expresso em sua fundamentação, sendo este casado pelo regime universal de bens, </w:t>
      </w:r>
      <w:r w:rsidRPr="005F33BC">
        <w:rPr>
          <w:color w:val="000000"/>
        </w:rPr>
        <w:t>r</w:t>
      </w:r>
      <w:r w:rsidRPr="005F33BC">
        <w:rPr>
          <w:color w:val="000000"/>
          <w:shd w:val="clear" w:color="auto" w:fill="FFFFFF"/>
        </w:rPr>
        <w:t>egulado</w:t>
      </w:r>
      <w:r>
        <w:rPr>
          <w:color w:val="000000"/>
          <w:shd w:val="clear" w:color="auto" w:fill="FFFFFF"/>
        </w:rPr>
        <w:t xml:space="preserve"> pelos artigos</w:t>
      </w:r>
      <w:r w:rsidRPr="005F33BC">
        <w:rPr>
          <w:color w:val="000000"/>
          <w:shd w:val="clear" w:color="auto" w:fill="FFFFFF"/>
        </w:rPr>
        <w:t>. 1.667 a 1.671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“</w:t>
      </w:r>
      <w:r w:rsidRPr="005F33BC">
        <w:rPr>
          <w:color w:val="000000"/>
          <w:shd w:val="clear" w:color="auto" w:fill="FFFFFF"/>
        </w:rPr>
        <w:t>implica na formação de uma única massa de bens indivisíveis. Tantos os bens presentes como os futuros se comunicam, ficando todos eles sujeitos a responder pela obrigação contraída</w:t>
      </w:r>
      <w:r>
        <w:rPr>
          <w:color w:val="000000"/>
          <w:shd w:val="clear" w:color="auto" w:fill="FFFFFF"/>
        </w:rPr>
        <w:t xml:space="preserve"> unilateralmente pelo parceiro”. </w:t>
      </w:r>
    </w:p>
    <w:p w:rsidR="00A10392" w:rsidRPr="00463CD6" w:rsidRDefault="00C52F99" w:rsidP="00463CD6">
      <w:pPr>
        <w:pStyle w:val="NormalWeb"/>
        <w:spacing w:before="0" w:beforeAutospacing="0" w:after="135" w:afterAutospacing="0" w:line="360" w:lineRule="auto"/>
        <w:ind w:firstLine="567"/>
        <w:rPr>
          <w:rFonts w:ascii="Helvetica" w:hAnsi="Helvetica"/>
          <w:color w:val="000000"/>
        </w:rPr>
      </w:pPr>
      <w:r w:rsidRPr="00C52F99">
        <w:rPr>
          <w:color w:val="000000"/>
          <w:shd w:val="clear" w:color="auto" w:fill="FFFFFF"/>
        </w:rPr>
        <w:t xml:space="preserve">Contudo, em julgamentos referentes a ausência da outorga do cônjuge, foi expresso o seguinte fundamento: “se </w:t>
      </w:r>
      <w:r w:rsidRPr="00C52F99">
        <w:rPr>
          <w:color w:val="000000"/>
          <w:shd w:val="clear" w:color="auto" w:fill="FFFFFF"/>
        </w:rPr>
        <w:t>a mulher não concordou, o que constitui não só solução errada, como solução que borra todas as questões e como que desconhece todos os argumentos a favor e contra cada um dos problemas suscitados</w:t>
      </w:r>
      <w:r w:rsidRPr="00C52F99">
        <w:rPr>
          <w:rFonts w:ascii="Helvetica" w:hAnsi="Helvetica"/>
          <w:color w:val="000000"/>
          <w:shd w:val="clear" w:color="auto" w:fill="FFFFFF"/>
        </w:rPr>
        <w:t xml:space="preserve">” </w:t>
      </w:r>
      <w:r w:rsidRPr="00C52F99">
        <w:rPr>
          <w:color w:val="000000"/>
          <w:shd w:val="clear" w:color="auto" w:fill="FFFFFF"/>
        </w:rPr>
        <w:t>(</w:t>
      </w:r>
      <w:r w:rsidRPr="00C52F99">
        <w:rPr>
          <w:color w:val="000000"/>
          <w:shd w:val="clear" w:color="auto" w:fill="FFFFFF"/>
        </w:rPr>
        <w:t>Câmaras Conjuntas da Corte de Apelação do Distrito Federal</w:t>
      </w:r>
      <w:r w:rsidRPr="00C52F99">
        <w:rPr>
          <w:color w:val="000000"/>
        </w:rPr>
        <w:t>)</w:t>
      </w:r>
      <w:r w:rsidRPr="00C52F99">
        <w:rPr>
          <w:rFonts w:ascii="Helvetica" w:hAnsi="Helvetica"/>
          <w:color w:val="000000"/>
        </w:rPr>
        <w:t xml:space="preserve">. </w:t>
      </w:r>
    </w:p>
    <w:p w:rsidR="00671872" w:rsidRPr="00A10392" w:rsidRDefault="00B93883" w:rsidP="00A10392">
      <w:pPr>
        <w:pStyle w:val="NormalWeb"/>
        <w:spacing w:before="0" w:beforeAutospacing="0" w:after="135" w:afterAutospacing="0" w:line="360" w:lineRule="auto"/>
        <w:rPr>
          <w:color w:val="000000"/>
          <w:shd w:val="clear" w:color="auto" w:fill="FFFFFF"/>
        </w:rPr>
      </w:pPr>
      <w:r w:rsidRPr="00EC657E">
        <w:rPr>
          <w:b/>
        </w:rPr>
        <w:t>2.3 Descrição dos Critérios e Valores contidos em cada decisão possível</w:t>
      </w:r>
    </w:p>
    <w:p w:rsidR="00671872" w:rsidRDefault="00A10392" w:rsidP="003D24F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Princípios da Autonomia; Cartularidade; Titularidade. Requisitos de validade do Aval</w:t>
      </w:r>
      <w:r w:rsidR="00F31A32">
        <w:rPr>
          <w:rFonts w:ascii="Times New Roman" w:hAnsi="Times New Roman" w:cs="Times New Roman"/>
          <w:sz w:val="24"/>
          <w:szCs w:val="24"/>
        </w:rPr>
        <w:t>. Sentença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31A32">
        <w:rPr>
          <w:rFonts w:ascii="Times New Roman" w:hAnsi="Times New Roman" w:cs="Times New Roman"/>
          <w:sz w:val="24"/>
          <w:szCs w:val="24"/>
        </w:rPr>
        <w:t>.</w:t>
      </w:r>
    </w:p>
    <w:p w:rsidR="007E74A5" w:rsidRPr="005B71A5" w:rsidRDefault="00A10392" w:rsidP="005B71A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Legislações. Sentenças. Aspectos do Aval. </w:t>
      </w:r>
    </w:p>
    <w:p w:rsidR="005B71A5" w:rsidRDefault="003F4746" w:rsidP="003F4746">
      <w:pPr>
        <w:tabs>
          <w:tab w:val="left" w:pos="652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10392" w:rsidRDefault="00A10392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0A" w:rsidRDefault="00A9230A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83" w:rsidRPr="00B93883" w:rsidRDefault="00671872" w:rsidP="009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B93883" w:rsidRDefault="00B93883"/>
    <w:p w:rsidR="004723D0" w:rsidRDefault="00A9230A" w:rsidP="002B3B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LOPES. Silvana Boschini. </w:t>
      </w:r>
      <w:r w:rsidR="00472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Artigos Jus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Navigandi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BE1">
        <w:rPr>
          <w:rFonts w:ascii="Times New Roman" w:hAnsi="Times New Roman" w:cs="Times New Roman"/>
          <w:sz w:val="24"/>
          <w:szCs w:val="24"/>
        </w:rPr>
        <w:t>Curitiba, 2010. Disponível em: &lt;</w:t>
      </w:r>
      <w:r w:rsidR="002B3BE1" w:rsidRPr="002B3BE1">
        <w:t xml:space="preserve"> </w:t>
      </w:r>
      <w:r w:rsidR="002B3BE1" w:rsidRPr="002B3BE1">
        <w:rPr>
          <w:rFonts w:ascii="Times New Roman" w:hAnsi="Times New Roman" w:cs="Times New Roman"/>
          <w:sz w:val="24"/>
          <w:szCs w:val="24"/>
        </w:rPr>
        <w:t>http://jus.com.br/artigos/17688/aspectos-polemicos-a-respeito-do-aval-prestado-sem-a-autorizacao-conjugal-na-visao-dos-tribunais</w:t>
      </w:r>
      <w:r w:rsidR="002B3BE1">
        <w:rPr>
          <w:rFonts w:ascii="Times New Roman" w:hAnsi="Times New Roman" w:cs="Times New Roman"/>
          <w:sz w:val="24"/>
          <w:szCs w:val="24"/>
        </w:rPr>
        <w:t>&gt;</w:t>
      </w:r>
    </w:p>
    <w:p w:rsidR="002B3BE1" w:rsidRDefault="002B3BE1" w:rsidP="002B3BE1">
      <w:pPr>
        <w:pStyle w:val="Ttulo2"/>
        <w:shd w:val="clear" w:color="auto" w:fill="FFFFFF"/>
        <w:spacing w:before="0" w:beforeAutospacing="0" w:after="0" w:afterAutospacing="0" w:line="495" w:lineRule="atLeast"/>
        <w:rPr>
          <w:b w:val="0"/>
          <w:bCs w:val="0"/>
          <w:iCs/>
          <w:sz w:val="24"/>
          <w:szCs w:val="24"/>
        </w:rPr>
      </w:pPr>
      <w:r w:rsidRPr="002B3BE1">
        <w:rPr>
          <w:b w:val="0"/>
          <w:sz w:val="24"/>
          <w:szCs w:val="24"/>
        </w:rPr>
        <w:t>TEIXEIRA, Paulo Ricardo Gois</w:t>
      </w:r>
      <w:r>
        <w:rPr>
          <w:sz w:val="24"/>
          <w:szCs w:val="24"/>
        </w:rPr>
        <w:t xml:space="preserve">. </w:t>
      </w:r>
      <w:r w:rsidRPr="002B3BE1">
        <w:rPr>
          <w:bCs w:val="0"/>
          <w:iCs/>
          <w:sz w:val="24"/>
          <w:szCs w:val="24"/>
        </w:rPr>
        <w:t>Aval tem validade mesmo sem a autorização do cônjuge</w:t>
      </w:r>
      <w:r>
        <w:rPr>
          <w:bCs w:val="0"/>
          <w:iCs/>
          <w:sz w:val="24"/>
          <w:szCs w:val="24"/>
        </w:rPr>
        <w:t xml:space="preserve">. </w:t>
      </w:r>
      <w:r>
        <w:rPr>
          <w:b w:val="0"/>
          <w:bCs w:val="0"/>
          <w:iCs/>
          <w:sz w:val="24"/>
          <w:szCs w:val="24"/>
        </w:rPr>
        <w:t>Revista Consultor Jurídico, 2008. Disponível em: &lt;</w:t>
      </w:r>
      <w:r w:rsidRPr="002B3BE1">
        <w:t xml:space="preserve"> </w:t>
      </w:r>
      <w:r w:rsidRPr="002B3BE1">
        <w:rPr>
          <w:b w:val="0"/>
          <w:bCs w:val="0"/>
          <w:iCs/>
          <w:sz w:val="24"/>
          <w:szCs w:val="24"/>
        </w:rPr>
        <w:t>http://www.conjur.com.br/2008-mar-10/aval_validade_mesmo_autorizacao_conjuge</w:t>
      </w:r>
      <w:r>
        <w:rPr>
          <w:b w:val="0"/>
          <w:bCs w:val="0"/>
          <w:iCs/>
          <w:sz w:val="24"/>
          <w:szCs w:val="24"/>
        </w:rPr>
        <w:t xml:space="preserve">&gt; </w:t>
      </w:r>
    </w:p>
    <w:p w:rsidR="002B3BE1" w:rsidRPr="002B3BE1" w:rsidRDefault="002B3BE1" w:rsidP="002B3BE1">
      <w:pPr>
        <w:pStyle w:val="Ttulo2"/>
        <w:shd w:val="clear" w:color="auto" w:fill="FFFFFF"/>
        <w:spacing w:before="0" w:beforeAutospacing="0" w:after="0" w:afterAutospacing="0" w:line="495" w:lineRule="atLeast"/>
        <w:rPr>
          <w:b w:val="0"/>
          <w:bCs w:val="0"/>
          <w:iCs/>
          <w:sz w:val="24"/>
          <w:szCs w:val="24"/>
        </w:rPr>
      </w:pPr>
    </w:p>
    <w:p w:rsidR="002B3BE1" w:rsidRDefault="002B3BE1" w:rsidP="002B3BE1">
      <w:pPr>
        <w:pStyle w:val="Ttulo2"/>
        <w:shd w:val="clear" w:color="auto" w:fill="FFFFFF"/>
        <w:spacing w:before="0" w:beforeAutospacing="0" w:after="0" w:afterAutospacing="0" w:line="495" w:lineRule="atLeast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BRASIL.</w:t>
      </w:r>
      <w:r w:rsidRPr="002B3BE1">
        <w:t xml:space="preserve"> </w:t>
      </w:r>
      <w:hyperlink r:id="rId8" w:history="1">
        <w:r w:rsidRPr="002B3BE1">
          <w:rPr>
            <w:rStyle w:val="Forte"/>
            <w:sz w:val="24"/>
            <w:szCs w:val="24"/>
          </w:rPr>
          <w:t>DECRETO Nº 2.044, DE 31 DE DEZEMBRO DE 1908.</w:t>
        </w:r>
      </w:hyperlink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Disponível em: &lt;</w:t>
      </w:r>
      <w:r w:rsidRPr="002B3BE1">
        <w:t xml:space="preserve"> </w:t>
      </w:r>
      <w:r w:rsidRPr="002B3BE1">
        <w:rPr>
          <w:b w:val="0"/>
          <w:sz w:val="24"/>
          <w:szCs w:val="24"/>
        </w:rPr>
        <w:t>http://www.planalto.gov.br/ccivil_03/decreto/Historicos/DPL/DPL2044.htm</w:t>
      </w:r>
      <w:r>
        <w:rPr>
          <w:b w:val="0"/>
          <w:sz w:val="24"/>
          <w:szCs w:val="24"/>
        </w:rPr>
        <w:t>&gt;</w:t>
      </w:r>
    </w:p>
    <w:p w:rsidR="002B3BE1" w:rsidRPr="002B3BE1" w:rsidRDefault="002B3BE1" w:rsidP="002B3BE1">
      <w:pPr>
        <w:pStyle w:val="Ttulo2"/>
        <w:shd w:val="clear" w:color="auto" w:fill="FFFFFF"/>
        <w:spacing w:before="0" w:beforeAutospacing="0" w:after="0" w:afterAutospacing="0" w:line="495" w:lineRule="atLeast"/>
        <w:rPr>
          <w:b w:val="0"/>
          <w:bCs w:val="0"/>
          <w:sz w:val="24"/>
          <w:szCs w:val="24"/>
        </w:rPr>
      </w:pPr>
    </w:p>
    <w:p w:rsidR="00E4525D" w:rsidRPr="00D27A9A" w:rsidRDefault="00E4525D" w:rsidP="00E452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COELHO, Fabio Ulhôa. </w:t>
      </w:r>
      <w:r>
        <w:rPr>
          <w:rFonts w:ascii="Times New Roman" w:hAnsi="Times New Roman" w:cs="Times New Roman"/>
          <w:b/>
          <w:sz w:val="24"/>
          <w:szCs w:val="24"/>
        </w:rPr>
        <w:t>Curso de Direito Civil.</w:t>
      </w:r>
      <w:r>
        <w:rPr>
          <w:rFonts w:ascii="Times New Roman" w:hAnsi="Times New Roman" w:cs="Times New Roman"/>
          <w:sz w:val="24"/>
          <w:szCs w:val="24"/>
        </w:rPr>
        <w:t xml:space="preserve"> V. 1. 16. Ed.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Sairava</w:t>
      </w:r>
      <w:proofErr w:type="spellEnd"/>
      <w:r>
        <w:rPr>
          <w:rFonts w:ascii="Times New Roman" w:hAnsi="Times New Roman" w:cs="Times New Roman"/>
          <w:sz w:val="24"/>
          <w:szCs w:val="24"/>
        </w:rPr>
        <w:t>, 2012.</w:t>
      </w:r>
    </w:p>
    <w:p w:rsidR="002B3BE1" w:rsidRPr="002B3BE1" w:rsidRDefault="002B3BE1" w:rsidP="009F42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3BE1" w:rsidRPr="002B3BE1" w:rsidSect="00766429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D4" w:rsidRDefault="00095AD4" w:rsidP="00B93883">
      <w:pPr>
        <w:spacing w:after="0" w:line="240" w:lineRule="auto"/>
      </w:pPr>
      <w:r>
        <w:separator/>
      </w:r>
    </w:p>
  </w:endnote>
  <w:endnote w:type="continuationSeparator" w:id="0">
    <w:p w:rsidR="00095AD4" w:rsidRDefault="00095AD4" w:rsidP="00B9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D4" w:rsidRDefault="00095AD4" w:rsidP="00B93883">
      <w:pPr>
        <w:spacing w:after="0" w:line="240" w:lineRule="auto"/>
      </w:pPr>
      <w:r>
        <w:separator/>
      </w:r>
    </w:p>
  </w:footnote>
  <w:footnote w:type="continuationSeparator" w:id="0">
    <w:p w:rsidR="00095AD4" w:rsidRDefault="00095AD4" w:rsidP="00B93883">
      <w:pPr>
        <w:spacing w:after="0" w:line="240" w:lineRule="auto"/>
      </w:pPr>
      <w:r>
        <w:continuationSeparator/>
      </w:r>
    </w:p>
  </w:footnote>
  <w:footnote w:id="1">
    <w:p w:rsidR="00B93883" w:rsidRPr="00B93883" w:rsidRDefault="00B93883" w:rsidP="00B93883">
      <w:pPr>
        <w:pStyle w:val="Textodenotaderodap"/>
        <w:rPr>
          <w:rFonts w:ascii="Times New Roman" w:hAnsi="Times New Roman" w:cs="Times New Roman"/>
        </w:rPr>
      </w:pPr>
      <w:r w:rsidRPr="00B93883">
        <w:rPr>
          <w:rStyle w:val="Refdenotaderodap"/>
          <w:rFonts w:ascii="Times New Roman" w:hAnsi="Times New Roman" w:cs="Times New Roman"/>
        </w:rPr>
        <w:footnoteRef/>
      </w:r>
      <w:r w:rsidRPr="00B93883">
        <w:rPr>
          <w:rFonts w:ascii="Times New Roman" w:hAnsi="Times New Roman" w:cs="Times New Roman"/>
        </w:rPr>
        <w:t xml:space="preserve"> Sinopse do Case apresentada à disciplina </w:t>
      </w:r>
      <w:r w:rsidR="004723D0">
        <w:rPr>
          <w:rFonts w:ascii="Times New Roman" w:hAnsi="Times New Roman" w:cs="Times New Roman"/>
        </w:rPr>
        <w:t xml:space="preserve">Processo de Conhecimento II </w:t>
      </w:r>
      <w:r w:rsidRPr="00B93883">
        <w:rPr>
          <w:rFonts w:ascii="Times New Roman" w:hAnsi="Times New Roman" w:cs="Times New Roman"/>
        </w:rPr>
        <w:t>do curso de Direito da Unidade de Ensino Superior Dom Bosco – UNDB.</w:t>
      </w:r>
    </w:p>
  </w:footnote>
  <w:footnote w:id="2">
    <w:p w:rsidR="00B93883" w:rsidRPr="00B93883" w:rsidRDefault="00B93883" w:rsidP="00B93883">
      <w:pPr>
        <w:pStyle w:val="Textodenotaderodap"/>
        <w:rPr>
          <w:rFonts w:ascii="Times New Roman" w:hAnsi="Times New Roman" w:cs="Times New Roman"/>
        </w:rPr>
      </w:pPr>
      <w:r w:rsidRPr="00B93883">
        <w:rPr>
          <w:rStyle w:val="Refdenotaderodap"/>
          <w:rFonts w:ascii="Times New Roman" w:hAnsi="Times New Roman" w:cs="Times New Roman"/>
        </w:rPr>
        <w:footnoteRef/>
      </w:r>
      <w:r w:rsidR="004723D0">
        <w:rPr>
          <w:rFonts w:ascii="Times New Roman" w:hAnsi="Times New Roman" w:cs="Times New Roman"/>
        </w:rPr>
        <w:t xml:space="preserve"> Aluna do 5</w:t>
      </w:r>
      <w:r w:rsidRPr="00B93883">
        <w:rPr>
          <w:rFonts w:ascii="Times New Roman" w:hAnsi="Times New Roman" w:cs="Times New Roman"/>
        </w:rPr>
        <w:t>º período de Direito da UNDB</w:t>
      </w:r>
    </w:p>
  </w:footnote>
  <w:footnote w:id="3">
    <w:p w:rsidR="00B93883" w:rsidRPr="00B93883" w:rsidRDefault="00B93883" w:rsidP="00B93883">
      <w:pPr>
        <w:pStyle w:val="Textodenotaderodap"/>
        <w:rPr>
          <w:rFonts w:ascii="Times New Roman" w:hAnsi="Times New Roman" w:cs="Times New Roman"/>
        </w:rPr>
      </w:pPr>
      <w:r w:rsidRPr="00B93883">
        <w:rPr>
          <w:rStyle w:val="Refdenotaderodap"/>
          <w:rFonts w:ascii="Times New Roman" w:hAnsi="Times New Roman" w:cs="Times New Roman"/>
        </w:rPr>
        <w:footnoteRef/>
      </w:r>
      <w:r w:rsidR="004723D0">
        <w:rPr>
          <w:rFonts w:ascii="Times New Roman" w:hAnsi="Times New Roman" w:cs="Times New Roman"/>
        </w:rPr>
        <w:t xml:space="preserve"> Professor Esp.</w:t>
      </w:r>
      <w:r w:rsidRPr="00B93883">
        <w:rPr>
          <w:rFonts w:ascii="Times New Roman" w:hAnsi="Times New Roman" w:cs="Times New Roman"/>
        </w:rPr>
        <w:t xml:space="preserve"> da disciplina</w:t>
      </w:r>
      <w:r w:rsidR="004723D0">
        <w:rPr>
          <w:rFonts w:ascii="Times New Roman" w:hAnsi="Times New Roman" w:cs="Times New Roman"/>
        </w:rPr>
        <w:t xml:space="preserve"> Processo de Conhecimento II</w:t>
      </w:r>
      <w:r w:rsidRPr="00B93883">
        <w:rPr>
          <w:rFonts w:ascii="Times New Roman" w:hAnsi="Times New Roman" w:cs="Times New Roman"/>
        </w:rPr>
        <w:t xml:space="preserve"> da UNDB.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011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66429" w:rsidRPr="00766429" w:rsidRDefault="00766429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664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64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64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525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7664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66429" w:rsidRDefault="007664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5FC"/>
    <w:multiLevelType w:val="hybridMultilevel"/>
    <w:tmpl w:val="79D204E2"/>
    <w:lvl w:ilvl="0" w:tplc="9F38A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22D58"/>
    <w:multiLevelType w:val="hybridMultilevel"/>
    <w:tmpl w:val="7BC83F48"/>
    <w:lvl w:ilvl="0" w:tplc="9F38A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70B80"/>
    <w:multiLevelType w:val="hybridMultilevel"/>
    <w:tmpl w:val="7BC83F48"/>
    <w:lvl w:ilvl="0" w:tplc="9F38A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83"/>
    <w:rsid w:val="00021975"/>
    <w:rsid w:val="00033700"/>
    <w:rsid w:val="00095064"/>
    <w:rsid w:val="00095AD4"/>
    <w:rsid w:val="000C0D7B"/>
    <w:rsid w:val="000E3B1A"/>
    <w:rsid w:val="0010701C"/>
    <w:rsid w:val="001628E2"/>
    <w:rsid w:val="0017426B"/>
    <w:rsid w:val="00193962"/>
    <w:rsid w:val="001971DC"/>
    <w:rsid w:val="001C401B"/>
    <w:rsid w:val="001D35DE"/>
    <w:rsid w:val="001E66F6"/>
    <w:rsid w:val="0023553C"/>
    <w:rsid w:val="00296710"/>
    <w:rsid w:val="002B3BE1"/>
    <w:rsid w:val="0032612A"/>
    <w:rsid w:val="00350CD3"/>
    <w:rsid w:val="0035110A"/>
    <w:rsid w:val="003725C7"/>
    <w:rsid w:val="003B4CD4"/>
    <w:rsid w:val="003D24FD"/>
    <w:rsid w:val="003E2133"/>
    <w:rsid w:val="003F4746"/>
    <w:rsid w:val="00405D8E"/>
    <w:rsid w:val="00463CD6"/>
    <w:rsid w:val="00465968"/>
    <w:rsid w:val="004723D0"/>
    <w:rsid w:val="004A3D53"/>
    <w:rsid w:val="004E4C7F"/>
    <w:rsid w:val="005B71A5"/>
    <w:rsid w:val="005C52D2"/>
    <w:rsid w:val="005F33BC"/>
    <w:rsid w:val="006252E8"/>
    <w:rsid w:val="00661806"/>
    <w:rsid w:val="00663850"/>
    <w:rsid w:val="00670E79"/>
    <w:rsid w:val="00671872"/>
    <w:rsid w:val="00687E43"/>
    <w:rsid w:val="006F206E"/>
    <w:rsid w:val="00766429"/>
    <w:rsid w:val="0079097C"/>
    <w:rsid w:val="00797301"/>
    <w:rsid w:val="007E74A5"/>
    <w:rsid w:val="00835372"/>
    <w:rsid w:val="0096716C"/>
    <w:rsid w:val="0097143B"/>
    <w:rsid w:val="00974F3B"/>
    <w:rsid w:val="009F4221"/>
    <w:rsid w:val="00A10392"/>
    <w:rsid w:val="00A23AE3"/>
    <w:rsid w:val="00A3068C"/>
    <w:rsid w:val="00A457D0"/>
    <w:rsid w:val="00A51B8A"/>
    <w:rsid w:val="00A9230A"/>
    <w:rsid w:val="00AD00CF"/>
    <w:rsid w:val="00B04C7F"/>
    <w:rsid w:val="00B13BE3"/>
    <w:rsid w:val="00B30699"/>
    <w:rsid w:val="00B605F4"/>
    <w:rsid w:val="00B826B2"/>
    <w:rsid w:val="00B93883"/>
    <w:rsid w:val="00B9688E"/>
    <w:rsid w:val="00C07A62"/>
    <w:rsid w:val="00C52F99"/>
    <w:rsid w:val="00CC0B22"/>
    <w:rsid w:val="00D7047A"/>
    <w:rsid w:val="00D86919"/>
    <w:rsid w:val="00D92EAE"/>
    <w:rsid w:val="00DD5013"/>
    <w:rsid w:val="00E001D8"/>
    <w:rsid w:val="00E25003"/>
    <w:rsid w:val="00E30E74"/>
    <w:rsid w:val="00E33BEC"/>
    <w:rsid w:val="00E4525D"/>
    <w:rsid w:val="00E54E2E"/>
    <w:rsid w:val="00EA29CD"/>
    <w:rsid w:val="00EB1D1D"/>
    <w:rsid w:val="00EE0A48"/>
    <w:rsid w:val="00F31A32"/>
    <w:rsid w:val="00F8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B55CF-A1FF-4C78-9E98-45C70514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B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38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38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388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6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429"/>
  </w:style>
  <w:style w:type="paragraph" w:styleId="Rodap">
    <w:name w:val="footer"/>
    <w:basedOn w:val="Normal"/>
    <w:link w:val="RodapChar"/>
    <w:uiPriority w:val="99"/>
    <w:unhideWhenUsed/>
    <w:rsid w:val="0076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429"/>
  </w:style>
  <w:style w:type="paragraph" w:styleId="PargrafodaLista">
    <w:name w:val="List Paragraph"/>
    <w:basedOn w:val="Normal"/>
    <w:uiPriority w:val="34"/>
    <w:qFormat/>
    <w:rsid w:val="00687E4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0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8007D"/>
  </w:style>
  <w:style w:type="character" w:styleId="Forte">
    <w:name w:val="Strong"/>
    <w:basedOn w:val="Fontepargpadro"/>
    <w:uiPriority w:val="22"/>
    <w:qFormat/>
    <w:rsid w:val="00F8007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B3BE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2B3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pl%202.044-1908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9BE6-A74D-4E42-9420-B71B1253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Larissa</cp:lastModifiedBy>
  <cp:revision>2</cp:revision>
  <dcterms:created xsi:type="dcterms:W3CDTF">2015-10-14T15:05:00Z</dcterms:created>
  <dcterms:modified xsi:type="dcterms:W3CDTF">2015-10-14T15:05:00Z</dcterms:modified>
</cp:coreProperties>
</file>