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3A" w:rsidRPr="00485B9A" w:rsidRDefault="00CF1206" w:rsidP="00485B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</w:t>
      </w:r>
      <w:r w:rsidR="0070393A" w:rsidRPr="00485B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4B89" w:rsidRPr="00485B9A">
        <w:rPr>
          <w:rFonts w:ascii="Times New Roman" w:hAnsi="Times New Roman" w:cs="Times New Roman"/>
          <w:sz w:val="24"/>
          <w:szCs w:val="24"/>
        </w:rPr>
        <w:t>Execução Provisória da Pena</w:t>
      </w:r>
    </w:p>
    <w:p w:rsidR="00AB4B89" w:rsidRPr="00485B9A" w:rsidRDefault="00AB4B89" w:rsidP="00485B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93A" w:rsidRPr="00485B9A" w:rsidRDefault="00DA687C" w:rsidP="00485B9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Brito Ferreira Sousa</w:t>
      </w:r>
    </w:p>
    <w:p w:rsidR="0070393A" w:rsidRPr="00485B9A" w:rsidRDefault="0070393A" w:rsidP="00485B9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055D" w:rsidRPr="00485B9A" w:rsidRDefault="0044055D" w:rsidP="00485B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B9A">
        <w:rPr>
          <w:rFonts w:ascii="Times New Roman" w:hAnsi="Times New Roman" w:cs="Times New Roman"/>
          <w:b/>
          <w:sz w:val="24"/>
          <w:szCs w:val="24"/>
        </w:rPr>
        <w:t xml:space="preserve">1 DESCRIÇÃO DO CASO </w:t>
      </w:r>
    </w:p>
    <w:p w:rsidR="00AB4B89" w:rsidRPr="00D761D6" w:rsidRDefault="00AB4B89" w:rsidP="00D761D6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1D6" w:rsidRPr="00D761D6" w:rsidRDefault="00D761D6" w:rsidP="00D761D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1D6">
        <w:rPr>
          <w:rFonts w:ascii="Times New Roman" w:hAnsi="Times New Roman" w:cs="Times New Roman"/>
          <w:sz w:val="24"/>
          <w:szCs w:val="24"/>
        </w:rPr>
        <w:t>Ao negar o Habeas Corpus (HC) 126292 na sessão desta quarta-feira (17), por maioria de votos, o Plenário do Supremo Tribunal Federal (STF) entendeu que a possibilidade de início da execução da pena condenatória após a confirmação da sentença em segundo grau não ofende o princípio constitucional da presunção da inocência. Para o relator do caso, ministro Teori Zavascki, a manutenção da sentença penal pela segunda instância encerra a análise de fatos e provas que assentaram a culpa do condenado, o que autoriza o início da execução da pena.</w:t>
      </w:r>
    </w:p>
    <w:p w:rsidR="00AB4B89" w:rsidRPr="00485B9A" w:rsidRDefault="00D761D6" w:rsidP="00D761D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61D6">
        <w:rPr>
          <w:rFonts w:ascii="Times New Roman" w:hAnsi="Times New Roman" w:cs="Times New Roman"/>
          <w:sz w:val="24"/>
          <w:szCs w:val="24"/>
        </w:rPr>
        <w:t>A ministra Rosa Weber e os ministros Marco Aurélio, Celso de Mello e Ricardo Lewandowski, presidente da Corte, ficaram vencidos. Eles votaram pela manutenção da jurisprudência do Tribunal que exige o trânsito em julgado para cumprimento de pena e concluíram pela concessão do habeas corpus.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761D6">
        <w:rPr>
          <w:rFonts w:ascii="Times New Roman" w:hAnsi="Times New Roman" w:cs="Times New Roman"/>
          <w:i/>
        </w:rPr>
        <w:t>descrição retirada da proposta do case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918DD" w:rsidRDefault="00F918DD" w:rsidP="00F918DD">
      <w:pPr>
        <w:pStyle w:val="Cabealho"/>
        <w:tabs>
          <w:tab w:val="clear" w:pos="4252"/>
          <w:tab w:val="center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87C" w:rsidRDefault="00F918DD" w:rsidP="00DA6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926AA" w:rsidRPr="00F918DD">
        <w:rPr>
          <w:rFonts w:ascii="Times New Roman" w:hAnsi="Times New Roman" w:cs="Times New Roman"/>
          <w:b/>
          <w:sz w:val="24"/>
          <w:szCs w:val="24"/>
        </w:rPr>
        <w:t>QUESTÃO PRINCIPAL</w:t>
      </w:r>
    </w:p>
    <w:p w:rsidR="00231D99" w:rsidRPr="00C21610" w:rsidRDefault="00DA687C" w:rsidP="00C216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21610">
        <w:rPr>
          <w:rFonts w:ascii="Times New Roman" w:hAnsi="Times New Roman" w:cs="Times New Roman"/>
          <w:b/>
          <w:sz w:val="24"/>
          <w:szCs w:val="24"/>
        </w:rPr>
        <w:t>No caso em debate, na colisão princípios como a Proibição de Excesso e Proibição de Defesa Deficiente qual deveprevalecer ?</w:t>
      </w:r>
    </w:p>
    <w:p w:rsidR="00DA687C" w:rsidRPr="00DA687C" w:rsidRDefault="00DA687C" w:rsidP="00DA6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12AA" w:rsidRDefault="003312AA" w:rsidP="009348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12AA">
        <w:rPr>
          <w:rFonts w:ascii="Times New Roman" w:hAnsi="Times New Roman" w:cs="Times New Roman"/>
          <w:sz w:val="24"/>
          <w:szCs w:val="24"/>
        </w:rPr>
        <w:t>De acordo com Ingo Sarlet (2012) a lei deve se relacionar a regra da proporcionalidade, não podendo exceder os limites para a tutela do que é desejado pela norma constitucional. Porque ao excedê-los, a lei estará ferindo tais direitos. Quando há dois modos para dar proteção ao direito constitucional, considera-se ilegítima a lei que não traz a menor restrição sobre o direito. Assim, se a lei vai além do necessário, existe uma negação da cláusula de vedação de excesso.</w:t>
      </w:r>
    </w:p>
    <w:p w:rsidR="001821A1" w:rsidRDefault="001821A1" w:rsidP="001821A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válido ressaltar que o princípio da proibição de excesso referido anteriormente está em consonância com </w:t>
      </w:r>
      <w:r w:rsidR="00684E38">
        <w:rPr>
          <w:rFonts w:ascii="Times New Roman" w:hAnsi="Times New Roman" w:cs="Times New Roman"/>
          <w:sz w:val="24"/>
          <w:szCs w:val="24"/>
        </w:rPr>
        <w:t xml:space="preserve">a característica de </w:t>
      </w:r>
      <w:r w:rsidR="00684E38" w:rsidRPr="00684E38">
        <w:rPr>
          <w:rFonts w:ascii="Times New Roman" w:hAnsi="Times New Roman" w:cs="Times New Roman"/>
          <w:i/>
          <w:sz w:val="24"/>
          <w:szCs w:val="24"/>
        </w:rPr>
        <w:t>ultima ratio</w:t>
      </w:r>
      <w:r w:rsidR="00684E38">
        <w:rPr>
          <w:rFonts w:ascii="Times New Roman" w:hAnsi="Times New Roman" w:cs="Times New Roman"/>
          <w:sz w:val="24"/>
          <w:szCs w:val="24"/>
        </w:rPr>
        <w:t xml:space="preserve"> do Direito Penal. Não é conveniente a sua utilização em excesso e </w:t>
      </w:r>
      <w:r w:rsidR="00684E38" w:rsidRPr="00684E38">
        <w:rPr>
          <w:rFonts w:ascii="Times New Roman" w:hAnsi="Times New Roman" w:cs="Times New Roman"/>
          <w:sz w:val="24"/>
          <w:szCs w:val="24"/>
        </w:rPr>
        <w:t>"portanto, interferir o menos possível na vida em sociedade, devendo ser solicitado somente quando os demais ramos do Direito, comprovadamente, não forem capazes de proteger" (GRECO, 2015, p.97).</w:t>
      </w:r>
    </w:p>
    <w:p w:rsidR="00684E38" w:rsidRDefault="00684E38" w:rsidP="001821A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Há por outro lado</w:t>
      </w:r>
      <w:r w:rsidR="00795225">
        <w:rPr>
          <w:rFonts w:ascii="Times New Roman" w:hAnsi="Times New Roman" w:cs="Times New Roman"/>
          <w:sz w:val="24"/>
          <w:szCs w:val="24"/>
        </w:rPr>
        <w:t>, porém</w:t>
      </w:r>
      <w:r>
        <w:rPr>
          <w:rFonts w:ascii="Times New Roman" w:hAnsi="Times New Roman" w:cs="Times New Roman"/>
          <w:sz w:val="24"/>
          <w:szCs w:val="24"/>
        </w:rPr>
        <w:t xml:space="preserve">, no principio da proporcionalidade a faceta que está </w:t>
      </w:r>
      <w:r w:rsidR="00795225">
        <w:rPr>
          <w:rFonts w:ascii="Times New Roman" w:hAnsi="Times New Roman" w:cs="Times New Roman"/>
          <w:sz w:val="24"/>
          <w:szCs w:val="24"/>
        </w:rPr>
        <w:t>alarmada com insuficiência do estado em proteger direitos fundamentais, ao que surge a proibição da proteção deficiente. Ressalta LenioStreck:</w:t>
      </w:r>
    </w:p>
    <w:p w:rsidR="00795225" w:rsidRPr="00795225" w:rsidRDefault="00795225" w:rsidP="00795225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95225">
        <w:rPr>
          <w:rFonts w:ascii="Times New Roman" w:hAnsi="Times New Roman" w:cs="Times New Roman"/>
          <w:i/>
          <w:sz w:val="20"/>
          <w:szCs w:val="20"/>
        </w:rPr>
        <w:t>“</w:t>
      </w:r>
      <w:r w:rsidRPr="00795225">
        <w:rPr>
          <w:rStyle w:val="nfase"/>
          <w:rFonts w:ascii="Times New Roman" w:hAnsi="Times New Roman" w:cs="Times New Roman"/>
          <w:i w:val="0"/>
          <w:color w:val="262626"/>
          <w:sz w:val="20"/>
          <w:szCs w:val="20"/>
          <w:shd w:val="clear" w:color="auto" w:fill="FFFFFF"/>
        </w:rPr>
        <w:t>Há que se ter claro, portanto, que a estrutura do princípio da proporcionalidade não aponta apenas para a perspectiva de um garantismo negativo (proteção contra os excessos do Estado), e, sim, também para uma espécie de garantismo positivo, momento em que a preocupação do sistema jurídicoserá com o fato de o Estado não proteger suficientemente determinado direito fundamental, caso em que estar-se-á em face do que, a partir da doutrina alemã, passou-se a denominar de “proibição de proteção deficiente”</w:t>
      </w:r>
      <w:r>
        <w:rPr>
          <w:rStyle w:val="nfase"/>
          <w:rFonts w:ascii="Times New Roman" w:hAnsi="Times New Roman" w:cs="Times New Roman"/>
          <w:i w:val="0"/>
          <w:color w:val="262626"/>
          <w:sz w:val="20"/>
          <w:szCs w:val="20"/>
          <w:shd w:val="clear" w:color="auto" w:fill="FFFFFF"/>
        </w:rPr>
        <w:t xml:space="preserve"> (STRECK, 2011).</w:t>
      </w:r>
    </w:p>
    <w:p w:rsidR="00795225" w:rsidRDefault="00795225" w:rsidP="001821A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95225" w:rsidRDefault="00795225" w:rsidP="001821A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 ambas as circunstancias </w:t>
      </w:r>
      <w:r w:rsidR="000A360F">
        <w:rPr>
          <w:rFonts w:ascii="Times New Roman" w:hAnsi="Times New Roman" w:cs="Times New Roman"/>
          <w:sz w:val="24"/>
          <w:szCs w:val="24"/>
        </w:rPr>
        <w:t>ocorre uma colisão entre princípios. Sobre tal assunto, Robert Alexy versa brilhantemente:</w:t>
      </w:r>
    </w:p>
    <w:p w:rsidR="000A360F" w:rsidRDefault="000A360F" w:rsidP="000A360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A360F">
        <w:rPr>
          <w:rFonts w:ascii="Times New Roman" w:hAnsi="Times New Roman" w:cs="Times New Roman"/>
          <w:sz w:val="20"/>
          <w:szCs w:val="20"/>
        </w:rPr>
        <w:t>"Se dois princípios colidem - o que ocorre, por exemplo, quando algo é proibido de acordo com um princípio e, de acordo com o outro, permitido -, um dos princípios terá que ceder. Isso não significa, contudo, nem que o princípio cedente deva ser declarado inválido, nem que nele deverá ser introduzida uma cláusula de exceção. Na verdade, o que ocorre é que um dos princípios tem precedência em face do outro sob determinadas condições. [...] Isso é o que se quer dizer quando se afirma que, nos casos concretos, os princípios têm pesos diferentes e que os princípios com o maior peso têm precedência." (ALEXY, 2015, p. 93-94)</w:t>
      </w:r>
    </w:p>
    <w:p w:rsidR="000A360F" w:rsidRPr="000A360F" w:rsidRDefault="000A360F" w:rsidP="000A360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A360F" w:rsidRDefault="00664CDF" w:rsidP="00E577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referido caso em questão, o princípio da proibição de excesso deverá prevalecer sobre a proibição de proteção deficiente. Tendo em vista </w:t>
      </w:r>
      <w:r w:rsidR="00E57719">
        <w:rPr>
          <w:rFonts w:ascii="Times New Roman" w:hAnsi="Times New Roman" w:cs="Times New Roman"/>
          <w:sz w:val="24"/>
          <w:szCs w:val="24"/>
        </w:rPr>
        <w:t>que p</w:t>
      </w:r>
      <w:r w:rsidR="00E57719" w:rsidRPr="00E57719">
        <w:rPr>
          <w:rFonts w:ascii="Times New Roman" w:hAnsi="Times New Roman" w:cs="Times New Roman"/>
          <w:sz w:val="24"/>
          <w:szCs w:val="24"/>
        </w:rPr>
        <w:t>ossibilitar a prisão após segunda instancia só reafirma a prisão como regra no Direito Penal, o que deturpa todo conceito constitucional e</w:t>
      </w:r>
      <w:r w:rsidR="000A360F">
        <w:rPr>
          <w:rFonts w:ascii="Times New Roman" w:hAnsi="Times New Roman" w:cs="Times New Roman"/>
          <w:sz w:val="24"/>
          <w:szCs w:val="24"/>
        </w:rPr>
        <w:t xml:space="preserve"> p</w:t>
      </w:r>
      <w:r w:rsidR="000A360F" w:rsidRPr="000A360F">
        <w:rPr>
          <w:rFonts w:ascii="Times New Roman" w:hAnsi="Times New Roman" w:cs="Times New Roman"/>
          <w:sz w:val="24"/>
          <w:szCs w:val="24"/>
        </w:rPr>
        <w:t>rincipiológico</w:t>
      </w:r>
      <w:r w:rsidR="00E57719" w:rsidRPr="00E57719">
        <w:rPr>
          <w:rFonts w:ascii="Times New Roman" w:hAnsi="Times New Roman" w:cs="Times New Roman"/>
          <w:sz w:val="24"/>
          <w:szCs w:val="24"/>
        </w:rPr>
        <w:t xml:space="preserve">. Michel Foucault (1999) afirma que os delinquentes são vistos como loucos ou pessoas anormais perante as instituições sociais (hospitais, prisões, escolas etc), sendo a polícia de extrema iniciativa repressiva, assim como a justiça. </w:t>
      </w:r>
    </w:p>
    <w:p w:rsidR="00664CDF" w:rsidRDefault="00E57719" w:rsidP="00E577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57719">
        <w:rPr>
          <w:rFonts w:ascii="Times New Roman" w:hAnsi="Times New Roman" w:cs="Times New Roman"/>
          <w:sz w:val="24"/>
          <w:szCs w:val="24"/>
        </w:rPr>
        <w:t xml:space="preserve">É claro o texto da constituição ao impor a presunção de </w:t>
      </w:r>
      <w:r w:rsidR="000A360F" w:rsidRPr="00E57719">
        <w:rPr>
          <w:rFonts w:ascii="Times New Roman" w:hAnsi="Times New Roman" w:cs="Times New Roman"/>
          <w:sz w:val="24"/>
          <w:szCs w:val="24"/>
        </w:rPr>
        <w:t>inocência</w:t>
      </w:r>
      <w:r w:rsidRPr="00E57719">
        <w:rPr>
          <w:rFonts w:ascii="Times New Roman" w:hAnsi="Times New Roman" w:cs="Times New Roman"/>
          <w:sz w:val="24"/>
          <w:szCs w:val="24"/>
        </w:rPr>
        <w:t xml:space="preserve"> aqueles que não sofrerem transito em julgado</w:t>
      </w:r>
      <w:r w:rsidR="000A360F">
        <w:rPr>
          <w:rFonts w:ascii="Times New Roman" w:hAnsi="Times New Roman" w:cs="Times New Roman"/>
          <w:sz w:val="24"/>
          <w:szCs w:val="24"/>
        </w:rPr>
        <w:t xml:space="preserve"> de sentença penal condenatória. A medida torna-se excessiva. </w:t>
      </w:r>
    </w:p>
    <w:p w:rsidR="00797258" w:rsidRPr="00485B9A" w:rsidRDefault="00797258" w:rsidP="00485B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87C" w:rsidRDefault="00231D99" w:rsidP="00DA687C">
      <w:pPr>
        <w:pStyle w:val="PargrafodaLista"/>
        <w:numPr>
          <w:ilvl w:val="0"/>
          <w:numId w:val="7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8DD">
        <w:rPr>
          <w:rFonts w:ascii="Times New Roman" w:hAnsi="Times New Roman" w:cs="Times New Roman"/>
          <w:b/>
          <w:sz w:val="24"/>
          <w:szCs w:val="24"/>
        </w:rPr>
        <w:t xml:space="preserve">QUESTÕES SECUNDÁRIAS </w:t>
      </w:r>
    </w:p>
    <w:p w:rsidR="00DA687C" w:rsidRDefault="00DA687C" w:rsidP="00DA687C">
      <w:pPr>
        <w:pStyle w:val="PargrafodaLista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87C">
        <w:rPr>
          <w:rFonts w:ascii="Times New Roman" w:hAnsi="Times New Roman" w:cs="Times New Roman"/>
          <w:b/>
          <w:sz w:val="24"/>
          <w:szCs w:val="24"/>
        </w:rPr>
        <w:t>As regras e o respeito aos diretos de cada um devem flexibilizados em prol do interesse coletivo?</w:t>
      </w:r>
    </w:p>
    <w:p w:rsidR="00DA687C" w:rsidRDefault="00C11CA2" w:rsidP="00C11CA2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F1750">
        <w:rPr>
          <w:rFonts w:ascii="Times New Roman" w:hAnsi="Times New Roman" w:cs="Times New Roman"/>
          <w:sz w:val="24"/>
          <w:szCs w:val="24"/>
        </w:rPr>
        <w:t>rinc</w:t>
      </w:r>
      <w:r>
        <w:rPr>
          <w:rFonts w:ascii="Times New Roman" w:hAnsi="Times New Roman" w:cs="Times New Roman"/>
          <w:sz w:val="24"/>
          <w:szCs w:val="24"/>
        </w:rPr>
        <w:t xml:space="preserve">ípios são apenas aquelas normas </w:t>
      </w:r>
      <w:r w:rsidRPr="007F1750">
        <w:rPr>
          <w:rFonts w:ascii="Times New Roman" w:hAnsi="Times New Roman" w:cs="Times New Roman"/>
          <w:sz w:val="24"/>
          <w:szCs w:val="24"/>
        </w:rPr>
        <w:t>que podem ser utilizadas como razões para direitos individuais. Normas</w:t>
      </w:r>
      <w:r>
        <w:rPr>
          <w:rFonts w:ascii="Times New Roman" w:hAnsi="Times New Roman" w:cs="Times New Roman"/>
          <w:sz w:val="24"/>
          <w:szCs w:val="24"/>
        </w:rPr>
        <w:t xml:space="preserve"> que se refiram a i</w:t>
      </w:r>
      <w:r w:rsidRPr="007F1750">
        <w:rPr>
          <w:rFonts w:ascii="Times New Roman" w:hAnsi="Times New Roman" w:cs="Times New Roman"/>
          <w:sz w:val="24"/>
          <w:szCs w:val="24"/>
        </w:rPr>
        <w:t>nteresses coletivos são por ele denominadas</w:t>
      </w:r>
      <w:r>
        <w:rPr>
          <w:rFonts w:ascii="Times New Roman" w:hAnsi="Times New Roman" w:cs="Times New Roman"/>
          <w:sz w:val="24"/>
          <w:szCs w:val="24"/>
        </w:rPr>
        <w:t xml:space="preserve"> como "políticas".</w:t>
      </w:r>
      <w:r w:rsidRPr="007F1750">
        <w:rPr>
          <w:rFonts w:ascii="Times New Roman" w:hAnsi="Times New Roman" w:cs="Times New Roman"/>
          <w:sz w:val="24"/>
          <w:szCs w:val="24"/>
        </w:rPr>
        <w:t xml:space="preserve"> A diferenciação entre di</w:t>
      </w:r>
      <w:r>
        <w:rPr>
          <w:rFonts w:ascii="Times New Roman" w:hAnsi="Times New Roman" w:cs="Times New Roman"/>
          <w:sz w:val="24"/>
          <w:szCs w:val="24"/>
        </w:rPr>
        <w:t xml:space="preserve">reitos individuais e interesses </w:t>
      </w:r>
      <w:r w:rsidRPr="007F1750">
        <w:rPr>
          <w:rFonts w:ascii="Times New Roman" w:hAnsi="Times New Roman" w:cs="Times New Roman"/>
          <w:sz w:val="24"/>
          <w:szCs w:val="24"/>
        </w:rPr>
        <w:t>coletivos é, sem dúvida, importante.</w:t>
      </w:r>
      <w:r>
        <w:rPr>
          <w:rFonts w:ascii="Times New Roman" w:hAnsi="Times New Roman" w:cs="Times New Roman"/>
          <w:sz w:val="24"/>
          <w:szCs w:val="24"/>
        </w:rPr>
        <w:t xml:space="preserve"> (ALEXY, 2015, p. 116). </w:t>
      </w:r>
    </w:p>
    <w:p w:rsidR="00C11CA2" w:rsidRDefault="00C11CA2" w:rsidP="00C11CA2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Regras e normas de interesses coletivos não significam superioridade aos direitos de cada cidadão. Cada caso em questão deverá ser analisado em prol de realizar com eficiência a melhor decisão. Em determinadas situações um direito individual irá sobressair </w:t>
      </w:r>
      <w:r>
        <w:rPr>
          <w:rFonts w:ascii="Times New Roman" w:hAnsi="Times New Roman" w:cs="Times New Roman"/>
          <w:sz w:val="24"/>
          <w:szCs w:val="24"/>
        </w:rPr>
        <w:lastRenderedPageBreak/>
        <w:t>perante o interesse coletivo, em outros o direito individual será relativizado para a assegurar um interesse coletivo.</w:t>
      </w:r>
    </w:p>
    <w:p w:rsidR="00C11CA2" w:rsidRPr="00DA687C" w:rsidRDefault="00C11CA2" w:rsidP="00C11CA2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87C" w:rsidRPr="00DA687C" w:rsidRDefault="00DA687C" w:rsidP="00DA687C">
      <w:pPr>
        <w:pStyle w:val="PargrafodaLista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87C">
        <w:rPr>
          <w:rFonts w:ascii="Times New Roman" w:hAnsi="Times New Roman" w:cs="Times New Roman"/>
          <w:b/>
          <w:sz w:val="24"/>
          <w:szCs w:val="24"/>
        </w:rPr>
        <w:t>O judiciário deve ouvir o clamor público?</w:t>
      </w:r>
    </w:p>
    <w:p w:rsidR="00C14404" w:rsidRDefault="00C14404" w:rsidP="00C14404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Vera Regina de Andrade (2003) </w:t>
      </w:r>
      <w:r w:rsidR="00647492">
        <w:rPr>
          <w:rFonts w:ascii="Times New Roman" w:hAnsi="Times New Roman" w:cs="Times New Roman"/>
          <w:sz w:val="24"/>
          <w:szCs w:val="24"/>
        </w:rPr>
        <w:t xml:space="preserve">O Estado é sempre falho no que se refere as funções do Direito Penal. </w:t>
      </w:r>
      <w:r>
        <w:rPr>
          <w:rFonts w:ascii="Times New Roman" w:hAnsi="Times New Roman" w:cs="Times New Roman"/>
          <w:sz w:val="24"/>
          <w:szCs w:val="24"/>
        </w:rPr>
        <w:t xml:space="preserve">Combater a criminalidade, assegurar bens jurídicos e promover a paz. Para a mesma, o sistema penal constrói e selecionam criminosos e promove a desigualdade, intitulando de </w:t>
      </w:r>
      <w:r w:rsidRPr="00C14404">
        <w:rPr>
          <w:rFonts w:ascii="Times New Roman" w:hAnsi="Times New Roman" w:cs="Times New Roman"/>
          <w:i/>
          <w:sz w:val="24"/>
          <w:szCs w:val="24"/>
        </w:rPr>
        <w:t>função real de eficácia invertida</w:t>
      </w:r>
      <w:r>
        <w:rPr>
          <w:rFonts w:ascii="Times New Roman" w:hAnsi="Times New Roman" w:cs="Times New Roman"/>
          <w:sz w:val="24"/>
          <w:szCs w:val="24"/>
        </w:rPr>
        <w:t>. O Estado não busca proteger e solucionar determinadas situações, porém, visa unicamente punir determinado individuo, já que toda estrutura do sistema penal é voltada para violação de direitos. E para realização de determinadas condutas, é necessário uma construção social a cerca das suas ações. A mídia e o clamor público tem papel fundamental para essa propagação de etiquetamento e transformação de determinadas condutas em crimes. Assim como a extinção e relativização de direitos.</w:t>
      </w:r>
    </w:p>
    <w:p w:rsidR="00C14404" w:rsidRPr="00C14404" w:rsidRDefault="00C14404" w:rsidP="00C14404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A687C" w:rsidRPr="00C21610" w:rsidRDefault="00DA687C" w:rsidP="00C21610">
      <w:pPr>
        <w:pStyle w:val="PargrafodaLista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87C">
        <w:rPr>
          <w:rFonts w:ascii="Times New Roman" w:hAnsi="Times New Roman" w:cs="Times New Roman"/>
          <w:b/>
          <w:sz w:val="24"/>
          <w:szCs w:val="24"/>
        </w:rPr>
        <w:t>Houve afronta ao art. 283 do CPP e art. 5°, inciso LVII da Constituição Federal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772A5E" w:rsidRDefault="00C21610" w:rsidP="00C21610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610">
        <w:rPr>
          <w:rFonts w:ascii="Times New Roman" w:hAnsi="Times New Roman" w:cs="Times New Roman"/>
          <w:sz w:val="24"/>
          <w:szCs w:val="24"/>
        </w:rPr>
        <w:t>Não há duvidas que há violação do art. 283 do CPP e do art. 5°, LVII da CF.</w:t>
      </w:r>
      <w:r w:rsidR="00772A5E">
        <w:rPr>
          <w:rFonts w:ascii="Times New Roman" w:hAnsi="Times New Roman" w:cs="Times New Roman"/>
          <w:sz w:val="24"/>
          <w:szCs w:val="24"/>
        </w:rPr>
        <w:t xml:space="preserve">  Afirma Ministro do STF, Celso de Mello:</w:t>
      </w:r>
    </w:p>
    <w:p w:rsidR="00DA687C" w:rsidRDefault="00C21610" w:rsidP="00772A5E">
      <w:pPr>
        <w:tabs>
          <w:tab w:val="left" w:pos="426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72A5E">
        <w:rPr>
          <w:rFonts w:ascii="Times New Roman" w:hAnsi="Times New Roman" w:cs="Times New Roman"/>
          <w:sz w:val="20"/>
          <w:szCs w:val="20"/>
        </w:rPr>
        <w:t>O princípio constitucional da presunção de inocência, em nosso sistema jurídico, consagra, além de outras relevantes consequências, uma regra de tratamento que impede o Poder Público de agir e de se comportar, em relação ao suspeito, ao indiciado, ao denunciado ou ao réu, como se estes já houvessem sido condenados, definitivamente, por sentença d</w:t>
      </w:r>
      <w:r w:rsidR="00772A5E" w:rsidRPr="00772A5E">
        <w:rPr>
          <w:rFonts w:ascii="Times New Roman" w:hAnsi="Times New Roman" w:cs="Times New Roman"/>
          <w:sz w:val="20"/>
          <w:szCs w:val="20"/>
        </w:rPr>
        <w:t xml:space="preserve">o Poder Judiciário. </w:t>
      </w:r>
      <w:r w:rsidRPr="00772A5E">
        <w:rPr>
          <w:rFonts w:ascii="Times New Roman" w:hAnsi="Times New Roman" w:cs="Times New Roman"/>
          <w:sz w:val="20"/>
          <w:szCs w:val="20"/>
        </w:rPr>
        <w:t>”(HC 96.095/SP, Rel. Mi</w:t>
      </w:r>
      <w:r w:rsidR="00772A5E">
        <w:rPr>
          <w:rFonts w:ascii="Times New Roman" w:hAnsi="Times New Roman" w:cs="Times New Roman"/>
          <w:sz w:val="20"/>
          <w:szCs w:val="20"/>
        </w:rPr>
        <w:t xml:space="preserve">n. </w:t>
      </w:r>
      <w:r w:rsidR="00772A5E" w:rsidRPr="00772A5E">
        <w:rPr>
          <w:rFonts w:ascii="Times New Roman" w:hAnsi="Times New Roman" w:cs="Times New Roman"/>
          <w:sz w:val="20"/>
          <w:szCs w:val="20"/>
        </w:rPr>
        <w:t xml:space="preserve">CELSO DE MELLO). </w:t>
      </w:r>
    </w:p>
    <w:p w:rsidR="00772A5E" w:rsidRDefault="00772A5E" w:rsidP="00772A5E">
      <w:pPr>
        <w:tabs>
          <w:tab w:val="left" w:pos="426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72A5E" w:rsidRDefault="00772A5E" w:rsidP="00772A5E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princípio da presunção de inocência é consagrado constitucionalmente e na jurisprudência. Logo, a nova possibilidade de prisão viola tais mecanismos. </w:t>
      </w:r>
    </w:p>
    <w:p w:rsidR="00772A5E" w:rsidRPr="00772A5E" w:rsidRDefault="00772A5E" w:rsidP="00772A5E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A687C" w:rsidRDefault="00DA687C" w:rsidP="00DA687C">
      <w:pPr>
        <w:pStyle w:val="PargrafodaLista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87C">
        <w:rPr>
          <w:rFonts w:ascii="Times New Roman" w:hAnsi="Times New Roman" w:cs="Times New Roman"/>
          <w:b/>
          <w:sz w:val="24"/>
          <w:szCs w:val="24"/>
        </w:rPr>
        <w:t>A demora nos julgamentos e o sistema recursal do CPP geram sensação de impunidade?</w:t>
      </w:r>
    </w:p>
    <w:p w:rsidR="00DA687C" w:rsidRDefault="00772A5E" w:rsidP="00772A5E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2A5E">
        <w:rPr>
          <w:rFonts w:ascii="Times New Roman" w:hAnsi="Times New Roman" w:cs="Times New Roman"/>
          <w:sz w:val="24"/>
          <w:szCs w:val="24"/>
        </w:rPr>
        <w:t>Sim. Não há duvidas que a demora nos julgamentos e o sistema recursal resulta em postergação temporal que definitivamente traz a sensação de impunidade. Mais pela morosidade do processo, do que a crença de que as leis são brandas. Porém, tal sensação de impunidade não poderá ser motivo de restrição de uma garantia de suma importância, que é a presunção de inocência.</w:t>
      </w:r>
    </w:p>
    <w:p w:rsidR="00C9415C" w:rsidRPr="00772A5E" w:rsidRDefault="00C9415C" w:rsidP="00772A5E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A687C" w:rsidRDefault="00DA687C" w:rsidP="00DA687C">
      <w:pPr>
        <w:pStyle w:val="PargrafodaLista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87C">
        <w:rPr>
          <w:rFonts w:ascii="Times New Roman" w:hAnsi="Times New Roman" w:cs="Times New Roman"/>
          <w:b/>
          <w:sz w:val="24"/>
          <w:szCs w:val="24"/>
        </w:rPr>
        <w:t>Haverá impacto no sistema carcerário?</w:t>
      </w:r>
    </w:p>
    <w:p w:rsidR="00DA687C" w:rsidRDefault="000F74AA" w:rsidP="000F74AA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74AA">
        <w:rPr>
          <w:rFonts w:ascii="Times New Roman" w:hAnsi="Times New Roman" w:cs="Times New Roman"/>
          <w:sz w:val="24"/>
          <w:szCs w:val="24"/>
        </w:rPr>
        <w:lastRenderedPageBreak/>
        <w:t>Perante Levantamento Nacional de Informações Penitenciárias - INFOPEN (2014) afirma que a população prisional no Brasil em 2014 era de 622.202 pessoas, com possibilidade de 371.884, resultando assim um déficit de 250.318 vagas.</w:t>
      </w:r>
    </w:p>
    <w:p w:rsidR="000F74AA" w:rsidRDefault="000F74AA" w:rsidP="000F74AA">
      <w:pPr>
        <w:tabs>
          <w:tab w:val="left" w:pos="426"/>
          <w:tab w:val="left" w:pos="3969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Poder Judiciário foi omisso ao não observar esses dados. Ora, a ocupação de determinadas vagas já seria desastrosa devido o total descaso prisional caso não houvesse déficit, devido as mais variadas violações as garantias e direitos do homem. Com a referida medida, ocorrerá um salto na população carcerário que piorará e muito a drástica situação atual.</w:t>
      </w:r>
    </w:p>
    <w:p w:rsidR="000F74AA" w:rsidRPr="000F74AA" w:rsidRDefault="000F74AA" w:rsidP="000F74AA">
      <w:pPr>
        <w:tabs>
          <w:tab w:val="left" w:pos="426"/>
          <w:tab w:val="left" w:pos="3969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A687C" w:rsidRDefault="00DA687C" w:rsidP="00DA687C">
      <w:pPr>
        <w:pStyle w:val="PargrafodaLista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87C">
        <w:rPr>
          <w:rFonts w:ascii="Times New Roman" w:hAnsi="Times New Roman" w:cs="Times New Roman"/>
          <w:b/>
          <w:sz w:val="24"/>
          <w:szCs w:val="24"/>
        </w:rPr>
        <w:t>Qual a melhor política criminal a ser adotada pelo Estado brasileiro para solucionar esse impasse?</w:t>
      </w:r>
    </w:p>
    <w:p w:rsidR="00DA687C" w:rsidRPr="00D761D6" w:rsidRDefault="00D761D6" w:rsidP="00D761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61D6">
        <w:rPr>
          <w:rFonts w:ascii="Times New Roman" w:hAnsi="Times New Roman" w:cs="Times New Roman"/>
          <w:sz w:val="24"/>
          <w:szCs w:val="24"/>
        </w:rPr>
        <w:t xml:space="preserve">A prisão não deve ser adotada como regra. É necessário que o principio da presunção de inocência seja assegurado, com a possibilidade de utilização das prisões cautelares e outras medidas, sempre observando os requisitos intrínsecos em cada situação. A adoção do determinado mecanismo de relativização da presunção de inocência se demonstra uma violação a tal garantia. É valido ressaltar que o </w:t>
      </w:r>
      <w:r w:rsidRPr="00D761D6">
        <w:rPr>
          <w:rFonts w:ascii="Times New Roman" w:hAnsi="Times New Roman" w:cs="Times New Roman"/>
          <w:i/>
          <w:sz w:val="24"/>
          <w:szCs w:val="24"/>
        </w:rPr>
        <w:t>"esqueleto"</w:t>
      </w:r>
      <w:r w:rsidRPr="00D761D6">
        <w:rPr>
          <w:rFonts w:ascii="Times New Roman" w:hAnsi="Times New Roman" w:cs="Times New Roman"/>
          <w:sz w:val="24"/>
          <w:szCs w:val="24"/>
        </w:rPr>
        <w:t xml:space="preserve"> do Poder Judiciário deverá ser melhorado com a finalidade de evitar a morosidade como característica intrínseca a sua atual estrutura</w:t>
      </w:r>
      <w:r>
        <w:rPr>
          <w:rFonts w:ascii="Times New Roman" w:hAnsi="Times New Roman" w:cs="Times New Roman"/>
          <w:sz w:val="24"/>
          <w:szCs w:val="24"/>
        </w:rPr>
        <w:t>, assim garantias e direitos não mais estarão em pauta para serem violados.</w:t>
      </w:r>
    </w:p>
    <w:p w:rsidR="00C11CA2" w:rsidRPr="00485B9A" w:rsidRDefault="00C11CA2" w:rsidP="00485B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4CF" w:rsidRDefault="004C6BAF" w:rsidP="005B64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B9A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ALEXY, Robert. </w:t>
      </w:r>
      <w:r w:rsidRPr="0064749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Teoria dos Direitos Fundamentais</w:t>
      </w: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/ Tradução: Virgílio Afonso da Silva - 2. ed. 4. tir. São Paulo: Malheiros Editores LTDA, 2015.</w:t>
      </w: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C1440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ANDRADE, Vera Regina Pereira de. </w:t>
      </w:r>
      <w:r w:rsidRPr="00C216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Sistema Penal Máximo x Cidadania Mínima</w:t>
      </w:r>
      <w:r w:rsidRPr="00C1440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 códigos da violência na era da globalização. — Porto Alegre: Livraria do Advogado Editora, 2003.</w:t>
      </w: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FOUCAULT, Michel. </w:t>
      </w:r>
      <w:r w:rsidRPr="0064749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Vigiar e punir: nascimento da prisão</w:t>
      </w: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Tradução de Raquel Ramalhete. Petrópolis: Editora Vozes, 1999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GRECO, Rogério. </w:t>
      </w:r>
      <w:r w:rsidRPr="0064749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Curso de Direito Penal</w:t>
      </w: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- 17. ed. Rio de Janeiro: lmpetus, 2015.</w:t>
      </w:r>
    </w:p>
    <w:p w:rsidR="00C11CA2" w:rsidRPr="0064749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0F74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INFOPEN. </w:t>
      </w:r>
      <w:r w:rsidRPr="000F74AA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Levantamento Nacional de Informações Penitenciárias - Dezembro 2014</w:t>
      </w:r>
      <w:r w:rsidRPr="000F74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Departamento Penitenciario Nacional, 2014. Disponivel em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&lt;</w:t>
      </w:r>
      <w:r w:rsidRPr="00C11CA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http://www.justica.gov.br/seus-direitos/politica-penal/infopen_dez14.pdf/@@download/file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&gt; Acesso em: out, 2016.</w:t>
      </w:r>
    </w:p>
    <w:p w:rsidR="00C11CA2" w:rsidRPr="0064749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72A5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Rel. Min. CELSO DE MELLO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Pr="00772A5E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HC 96.095/SP</w:t>
      </w:r>
      <w:r w:rsidRPr="00772A5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2011.</w:t>
      </w: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SARLET, Ingo. </w:t>
      </w:r>
      <w:r w:rsidRPr="0064749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Curso de Direito Constitucional</w:t>
      </w: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São Paulo: Editora Revista dos Tribunais LTDA, 2012.</w:t>
      </w:r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bookmarkStart w:id="0" w:name="_GoBack"/>
      <w:bookmarkEnd w:id="0"/>
    </w:p>
    <w:p w:rsidR="00C11CA2" w:rsidRDefault="00C11CA2" w:rsidP="00647492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STRECK, Lenio Luiz. </w:t>
      </w:r>
      <w:r w:rsidRPr="0064749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Bem jurídico e Constituição</w:t>
      </w: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 da proibição de excesso (übermassverbot) à proibição de proteção deficiente (unte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rmassverbot) ou de como não há </w:t>
      </w:r>
      <w:r w:rsidRPr="0064749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blindagem contra normas penais inconstitucionais. Disponível em &lt;http://www.leniostreck.com.br/lenio/artigos/&gt;. Acesso em out 2016.</w:t>
      </w:r>
    </w:p>
    <w:sectPr w:rsidR="00C11CA2" w:rsidSect="00155DDA">
      <w:headerReference w:type="default" r:id="rId8"/>
      <w:headerReference w:type="firs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1E3" w:rsidRDefault="009141E3" w:rsidP="0070393A">
      <w:pPr>
        <w:spacing w:after="0" w:line="240" w:lineRule="auto"/>
      </w:pPr>
      <w:r>
        <w:separator/>
      </w:r>
    </w:p>
  </w:endnote>
  <w:endnote w:type="continuationSeparator" w:id="1">
    <w:p w:rsidR="009141E3" w:rsidRDefault="009141E3" w:rsidP="0070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1E3" w:rsidRDefault="009141E3" w:rsidP="0070393A">
      <w:pPr>
        <w:spacing w:after="0" w:line="240" w:lineRule="auto"/>
      </w:pPr>
      <w:r>
        <w:separator/>
      </w:r>
    </w:p>
  </w:footnote>
  <w:footnote w:type="continuationSeparator" w:id="1">
    <w:p w:rsidR="009141E3" w:rsidRDefault="009141E3" w:rsidP="0070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57" w:rsidRDefault="00561557" w:rsidP="0070393A">
    <w:pPr>
      <w:pStyle w:val="Cabealho"/>
      <w:jc w:val="center"/>
    </w:pPr>
  </w:p>
  <w:p w:rsidR="00561557" w:rsidRDefault="00561557" w:rsidP="0070393A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02" w:rsidRDefault="00943002" w:rsidP="0094300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504440" cy="654685"/>
          <wp:effectExtent l="0" t="0" r="0" b="0"/>
          <wp:docPr id="2" name="Imagem 2" descr="logo_nova_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_nova_timbrado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5AFF" w:rsidRDefault="003B5AFF" w:rsidP="0094300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68C"/>
    <w:multiLevelType w:val="hybridMultilevel"/>
    <w:tmpl w:val="C610C778"/>
    <w:lvl w:ilvl="0" w:tplc="B9C2DB9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73C6EA5"/>
    <w:multiLevelType w:val="hybridMultilevel"/>
    <w:tmpl w:val="8D4AEB22"/>
    <w:lvl w:ilvl="0" w:tplc="25E2C3E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0635"/>
    <w:multiLevelType w:val="hybridMultilevel"/>
    <w:tmpl w:val="907A0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57540"/>
    <w:multiLevelType w:val="hybridMultilevel"/>
    <w:tmpl w:val="BA060902"/>
    <w:lvl w:ilvl="0" w:tplc="6ED68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674AD"/>
    <w:multiLevelType w:val="multilevel"/>
    <w:tmpl w:val="1F90417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832712F"/>
    <w:multiLevelType w:val="hybridMultilevel"/>
    <w:tmpl w:val="E4868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141B8"/>
    <w:multiLevelType w:val="hybridMultilevel"/>
    <w:tmpl w:val="DB2257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242E0"/>
    <w:multiLevelType w:val="multilevel"/>
    <w:tmpl w:val="9520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46C475B"/>
    <w:multiLevelType w:val="hybridMultilevel"/>
    <w:tmpl w:val="3B047174"/>
    <w:lvl w:ilvl="0" w:tplc="7FC41E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E524C"/>
    <w:multiLevelType w:val="hybridMultilevel"/>
    <w:tmpl w:val="F03CB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15E80"/>
    <w:multiLevelType w:val="hybridMultilevel"/>
    <w:tmpl w:val="4BB239D8"/>
    <w:lvl w:ilvl="0" w:tplc="C882CA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0393A"/>
    <w:rsid w:val="00021B80"/>
    <w:rsid w:val="00076048"/>
    <w:rsid w:val="000A360F"/>
    <w:rsid w:val="000A48AC"/>
    <w:rsid w:val="000B04F5"/>
    <w:rsid w:val="000B54E7"/>
    <w:rsid w:val="000B6F91"/>
    <w:rsid w:val="000E034F"/>
    <w:rsid w:val="000E3B69"/>
    <w:rsid w:val="000F0A26"/>
    <w:rsid w:val="000F6337"/>
    <w:rsid w:val="000F71F5"/>
    <w:rsid w:val="000F74AA"/>
    <w:rsid w:val="001301AE"/>
    <w:rsid w:val="00155DDA"/>
    <w:rsid w:val="001620F8"/>
    <w:rsid w:val="00164A0C"/>
    <w:rsid w:val="001821A1"/>
    <w:rsid w:val="00190007"/>
    <w:rsid w:val="001A61DE"/>
    <w:rsid w:val="001B0E45"/>
    <w:rsid w:val="001E0438"/>
    <w:rsid w:val="00204892"/>
    <w:rsid w:val="00231D99"/>
    <w:rsid w:val="002B5BDE"/>
    <w:rsid w:val="002F4DDF"/>
    <w:rsid w:val="00326205"/>
    <w:rsid w:val="003312AA"/>
    <w:rsid w:val="00380097"/>
    <w:rsid w:val="003B5AFF"/>
    <w:rsid w:val="003D13BF"/>
    <w:rsid w:val="0041098F"/>
    <w:rsid w:val="0044055D"/>
    <w:rsid w:val="00485B9A"/>
    <w:rsid w:val="00497A5D"/>
    <w:rsid w:val="004C6BAF"/>
    <w:rsid w:val="004F2A67"/>
    <w:rsid w:val="004F44D4"/>
    <w:rsid w:val="00544731"/>
    <w:rsid w:val="00561557"/>
    <w:rsid w:val="00574C92"/>
    <w:rsid w:val="00585497"/>
    <w:rsid w:val="00596486"/>
    <w:rsid w:val="005B64CF"/>
    <w:rsid w:val="005C1233"/>
    <w:rsid w:val="005D633C"/>
    <w:rsid w:val="00621026"/>
    <w:rsid w:val="00625DC9"/>
    <w:rsid w:val="00647492"/>
    <w:rsid w:val="00664CDF"/>
    <w:rsid w:val="006778EE"/>
    <w:rsid w:val="00684E38"/>
    <w:rsid w:val="006F5899"/>
    <w:rsid w:val="0070393A"/>
    <w:rsid w:val="00744BB2"/>
    <w:rsid w:val="00772A5E"/>
    <w:rsid w:val="00795225"/>
    <w:rsid w:val="00797258"/>
    <w:rsid w:val="007A1208"/>
    <w:rsid w:val="007E14FA"/>
    <w:rsid w:val="00805B14"/>
    <w:rsid w:val="0084700F"/>
    <w:rsid w:val="00857E30"/>
    <w:rsid w:val="00862EAC"/>
    <w:rsid w:val="00884351"/>
    <w:rsid w:val="0091395A"/>
    <w:rsid w:val="009141E3"/>
    <w:rsid w:val="00927E3C"/>
    <w:rsid w:val="009348C7"/>
    <w:rsid w:val="00936157"/>
    <w:rsid w:val="00943002"/>
    <w:rsid w:val="00950BBB"/>
    <w:rsid w:val="00973772"/>
    <w:rsid w:val="00991FE1"/>
    <w:rsid w:val="009926AA"/>
    <w:rsid w:val="009B09CF"/>
    <w:rsid w:val="009C24FD"/>
    <w:rsid w:val="009D06CF"/>
    <w:rsid w:val="00A016F9"/>
    <w:rsid w:val="00A02FCD"/>
    <w:rsid w:val="00A1797B"/>
    <w:rsid w:val="00A5627C"/>
    <w:rsid w:val="00A94AD1"/>
    <w:rsid w:val="00AB4B89"/>
    <w:rsid w:val="00AD3C07"/>
    <w:rsid w:val="00AF6B07"/>
    <w:rsid w:val="00B0423E"/>
    <w:rsid w:val="00B25505"/>
    <w:rsid w:val="00B519B5"/>
    <w:rsid w:val="00B91EB9"/>
    <w:rsid w:val="00B9436A"/>
    <w:rsid w:val="00BB5F24"/>
    <w:rsid w:val="00BB6AFC"/>
    <w:rsid w:val="00C11CA2"/>
    <w:rsid w:val="00C14404"/>
    <w:rsid w:val="00C21610"/>
    <w:rsid w:val="00C233B8"/>
    <w:rsid w:val="00C4579C"/>
    <w:rsid w:val="00C80B94"/>
    <w:rsid w:val="00C9415C"/>
    <w:rsid w:val="00CF1206"/>
    <w:rsid w:val="00CF24FF"/>
    <w:rsid w:val="00CF33FF"/>
    <w:rsid w:val="00D45CA1"/>
    <w:rsid w:val="00D6308F"/>
    <w:rsid w:val="00D718CF"/>
    <w:rsid w:val="00D761D6"/>
    <w:rsid w:val="00DA40AA"/>
    <w:rsid w:val="00DA687C"/>
    <w:rsid w:val="00DC37E9"/>
    <w:rsid w:val="00DD348D"/>
    <w:rsid w:val="00DE05A4"/>
    <w:rsid w:val="00E10891"/>
    <w:rsid w:val="00E57719"/>
    <w:rsid w:val="00E739E0"/>
    <w:rsid w:val="00ED4BCB"/>
    <w:rsid w:val="00F12F33"/>
    <w:rsid w:val="00F51A7A"/>
    <w:rsid w:val="00F66704"/>
    <w:rsid w:val="00F86897"/>
    <w:rsid w:val="00F918DD"/>
    <w:rsid w:val="00FA2056"/>
    <w:rsid w:val="00FA2D57"/>
    <w:rsid w:val="00FD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93A"/>
  </w:style>
  <w:style w:type="paragraph" w:styleId="Rodap">
    <w:name w:val="footer"/>
    <w:basedOn w:val="Normal"/>
    <w:link w:val="Rodap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93A"/>
  </w:style>
  <w:style w:type="paragraph" w:styleId="PargrafodaLista">
    <w:name w:val="List Paragraph"/>
    <w:basedOn w:val="Normal"/>
    <w:uiPriority w:val="34"/>
    <w:qFormat/>
    <w:rsid w:val="004405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055D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1EB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1EB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4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5CA1"/>
  </w:style>
  <w:style w:type="character" w:styleId="Forte">
    <w:name w:val="Strong"/>
    <w:basedOn w:val="Fontepargpadro"/>
    <w:uiPriority w:val="22"/>
    <w:qFormat/>
    <w:rsid w:val="007972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2A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7952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93A"/>
  </w:style>
  <w:style w:type="paragraph" w:styleId="Rodap">
    <w:name w:val="footer"/>
    <w:basedOn w:val="Normal"/>
    <w:link w:val="Rodap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93A"/>
  </w:style>
  <w:style w:type="paragraph" w:styleId="PargrafodaLista">
    <w:name w:val="List Paragraph"/>
    <w:basedOn w:val="Normal"/>
    <w:uiPriority w:val="34"/>
    <w:qFormat/>
    <w:rsid w:val="004405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055D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1EB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1EB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4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5CA1"/>
  </w:style>
  <w:style w:type="character" w:styleId="Forte">
    <w:name w:val="Strong"/>
    <w:basedOn w:val="Fontepargpadro"/>
    <w:uiPriority w:val="22"/>
    <w:qFormat/>
    <w:rsid w:val="007972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2A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7952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5821-8160-4888-A9A5-F0F65407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Oliveira da Silva</dc:creator>
  <cp:lastModifiedBy>Natália Franklin Silva e Carvalho</cp:lastModifiedBy>
  <cp:revision>2</cp:revision>
  <dcterms:created xsi:type="dcterms:W3CDTF">2018-06-20T19:47:00Z</dcterms:created>
  <dcterms:modified xsi:type="dcterms:W3CDTF">2018-06-20T19:47:00Z</dcterms:modified>
</cp:coreProperties>
</file>