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97" w:rsidRDefault="00FB3A8C" w:rsidP="006969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</w:t>
      </w:r>
      <w:r w:rsidR="00211405" w:rsidRPr="00BF46A8">
        <w:rPr>
          <w:rFonts w:ascii="Times New Roman" w:hAnsi="Times New Roman" w:cs="Times New Roman"/>
          <w:b/>
          <w:sz w:val="24"/>
          <w:szCs w:val="24"/>
        </w:rPr>
        <w:t>:</w:t>
      </w:r>
      <w:r w:rsidR="00211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94A">
        <w:rPr>
          <w:rFonts w:ascii="Times New Roman" w:hAnsi="Times New Roman" w:cs="Times New Roman"/>
          <w:sz w:val="24"/>
          <w:szCs w:val="24"/>
        </w:rPr>
        <w:t>Honorários Advocatícios na Classifi</w:t>
      </w:r>
      <w:r>
        <w:rPr>
          <w:rFonts w:ascii="Times New Roman" w:hAnsi="Times New Roman" w:cs="Times New Roman"/>
          <w:sz w:val="24"/>
          <w:szCs w:val="24"/>
        </w:rPr>
        <w:t>cação dos Créditos da Falência.</w:t>
      </w:r>
    </w:p>
    <w:p w:rsidR="0069694A" w:rsidRDefault="0069694A" w:rsidP="006969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694A" w:rsidRDefault="00EC400C" w:rsidP="006969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Brito Ferreira Sousa</w:t>
      </w:r>
    </w:p>
    <w:p w:rsidR="0069694A" w:rsidRDefault="0069694A" w:rsidP="00FB3A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94A" w:rsidRDefault="0069694A" w:rsidP="006969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5F9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95F94">
        <w:rPr>
          <w:rFonts w:ascii="Times New Roman" w:hAnsi="Times New Roman" w:cs="Times New Roman"/>
          <w:b/>
          <w:sz w:val="24"/>
          <w:szCs w:val="24"/>
        </w:rPr>
        <w:t xml:space="preserve"> DESCRIÇÃO DO CASO </w:t>
      </w:r>
    </w:p>
    <w:p w:rsidR="00DA2CBA" w:rsidRDefault="00DA2CBA" w:rsidP="006969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E4A" w:rsidRDefault="00D40B26" w:rsidP="00D40B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case versa sobre a classificação de créditos no quadro geral dos credores, especificadamente os créditos derivados da </w:t>
      </w:r>
      <w:proofErr w:type="spellStart"/>
      <w:r w:rsidRPr="00D40B26">
        <w:rPr>
          <w:rFonts w:ascii="Times New Roman" w:hAnsi="Times New Roman" w:cs="Times New Roman"/>
          <w:sz w:val="24"/>
          <w:szCs w:val="24"/>
        </w:rPr>
        <w:t>Zifi</w:t>
      </w:r>
      <w:proofErr w:type="spellEnd"/>
      <w:r w:rsidRPr="00D40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B26">
        <w:rPr>
          <w:rFonts w:ascii="Times New Roman" w:hAnsi="Times New Roman" w:cs="Times New Roman"/>
          <w:sz w:val="24"/>
          <w:szCs w:val="24"/>
        </w:rPr>
        <w:t>Mizifii</w:t>
      </w:r>
      <w:proofErr w:type="spellEnd"/>
      <w:r w:rsidRPr="00D40B26">
        <w:rPr>
          <w:rFonts w:ascii="Times New Roman" w:hAnsi="Times New Roman" w:cs="Times New Roman"/>
          <w:sz w:val="24"/>
          <w:szCs w:val="24"/>
        </w:rPr>
        <w:t xml:space="preserve"> Advogados Associados</w:t>
      </w:r>
      <w:r>
        <w:rPr>
          <w:rFonts w:ascii="Times New Roman" w:hAnsi="Times New Roman" w:cs="Times New Roman"/>
          <w:sz w:val="24"/>
          <w:szCs w:val="24"/>
        </w:rPr>
        <w:t>, que</w:t>
      </w:r>
      <w:r w:rsidRPr="00D40B26">
        <w:rPr>
          <w:rFonts w:ascii="Times New Roman" w:hAnsi="Times New Roman" w:cs="Times New Roman"/>
          <w:sz w:val="24"/>
          <w:szCs w:val="24"/>
        </w:rPr>
        <w:t xml:space="preserve"> foi contratado para prestar serviços de consultoria jurídica em 02/01/2015 para </w:t>
      </w:r>
      <w:proofErr w:type="spellStart"/>
      <w:r w:rsidRPr="00D40B26">
        <w:rPr>
          <w:rFonts w:ascii="Times New Roman" w:hAnsi="Times New Roman" w:cs="Times New Roman"/>
          <w:sz w:val="24"/>
          <w:szCs w:val="24"/>
        </w:rPr>
        <w:t>Lullysaldanha</w:t>
      </w:r>
      <w:proofErr w:type="spellEnd"/>
      <w:r w:rsidRPr="00D40B26">
        <w:rPr>
          <w:rFonts w:ascii="Times New Roman" w:hAnsi="Times New Roman" w:cs="Times New Roman"/>
          <w:sz w:val="24"/>
          <w:szCs w:val="24"/>
        </w:rPr>
        <w:t xml:space="preserve"> Empreendimentos </w:t>
      </w:r>
      <w:proofErr w:type="spellStart"/>
      <w:r w:rsidRPr="00D40B26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D40B26">
        <w:rPr>
          <w:rFonts w:ascii="Times New Roman" w:hAnsi="Times New Roman" w:cs="Times New Roman"/>
          <w:sz w:val="24"/>
          <w:szCs w:val="24"/>
        </w:rPr>
        <w:t>, que teve sua fa</w:t>
      </w:r>
      <w:r>
        <w:rPr>
          <w:rFonts w:ascii="Times New Roman" w:hAnsi="Times New Roman" w:cs="Times New Roman"/>
          <w:sz w:val="24"/>
          <w:szCs w:val="24"/>
        </w:rPr>
        <w:t xml:space="preserve">lência decretada em 02/01/2016. </w:t>
      </w:r>
      <w:r w:rsidRPr="00D40B26">
        <w:rPr>
          <w:rFonts w:ascii="Times New Roman" w:hAnsi="Times New Roman" w:cs="Times New Roman"/>
          <w:sz w:val="24"/>
          <w:szCs w:val="24"/>
        </w:rPr>
        <w:t xml:space="preserve">Por ocasião da classificação dos créditos, o escritório figurou no quadro geral de credores como crédito com privilégio geral em razão de valores decorrentes da falta de pagamento da remuneração devida pelos serviços prestados desde julho/15. Em sede de impugnação do </w:t>
      </w:r>
      <w:proofErr w:type="spellStart"/>
      <w:r w:rsidRPr="00D40B26">
        <w:rPr>
          <w:rFonts w:ascii="Times New Roman" w:hAnsi="Times New Roman" w:cs="Times New Roman"/>
          <w:sz w:val="24"/>
          <w:szCs w:val="24"/>
        </w:rPr>
        <w:t>Ggc</w:t>
      </w:r>
      <w:proofErr w:type="spellEnd"/>
      <w:r w:rsidRPr="00D40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B26">
        <w:rPr>
          <w:rFonts w:ascii="Times New Roman" w:hAnsi="Times New Roman" w:cs="Times New Roman"/>
          <w:sz w:val="24"/>
          <w:szCs w:val="24"/>
        </w:rPr>
        <w:t>Zifi</w:t>
      </w:r>
      <w:proofErr w:type="spellEnd"/>
      <w:r w:rsidRPr="00D40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B26">
        <w:rPr>
          <w:rFonts w:ascii="Times New Roman" w:hAnsi="Times New Roman" w:cs="Times New Roman"/>
          <w:sz w:val="24"/>
          <w:szCs w:val="24"/>
        </w:rPr>
        <w:t>Mizifii</w:t>
      </w:r>
      <w:proofErr w:type="spellEnd"/>
      <w:r w:rsidRPr="00D40B26">
        <w:rPr>
          <w:rFonts w:ascii="Times New Roman" w:hAnsi="Times New Roman" w:cs="Times New Roman"/>
          <w:sz w:val="24"/>
          <w:szCs w:val="24"/>
        </w:rPr>
        <w:t xml:space="preserve"> advogados associados buscou o recurso junto à 666ª vara de falências para reconsideração da sua preferência creditícia.</w:t>
      </w:r>
    </w:p>
    <w:p w:rsidR="00D40B26" w:rsidRDefault="00D40B26" w:rsidP="00D40B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</w:t>
      </w:r>
      <w:r w:rsidRPr="00D40B26">
        <w:rPr>
          <w:rFonts w:ascii="Times New Roman" w:hAnsi="Times New Roman" w:cs="Times New Roman"/>
          <w:sz w:val="24"/>
          <w:szCs w:val="24"/>
        </w:rPr>
        <w:t>Supondo que você fosse o juiz do caso, você decidiria como procedente a impugnação do</w:t>
      </w:r>
      <w:r>
        <w:rPr>
          <w:rFonts w:ascii="Times New Roman" w:hAnsi="Times New Roman" w:cs="Times New Roman"/>
          <w:sz w:val="24"/>
          <w:szCs w:val="24"/>
        </w:rPr>
        <w:t xml:space="preserve"> Quadro Geral de Credores e sua </w:t>
      </w:r>
      <w:r w:rsidRPr="00D40B26">
        <w:rPr>
          <w:rFonts w:ascii="Times New Roman" w:hAnsi="Times New Roman" w:cs="Times New Roman"/>
          <w:sz w:val="24"/>
          <w:szCs w:val="24"/>
        </w:rPr>
        <w:t>imediata retificação para alteração da ordem de preferência do crédito referente aos honorários advocatícios?</w:t>
      </w:r>
    </w:p>
    <w:p w:rsidR="00D40B26" w:rsidRPr="00D40B26" w:rsidRDefault="00D40B26" w:rsidP="00D40B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B1CB5" w:rsidRPr="00D40B26" w:rsidRDefault="009F4E4A" w:rsidP="00D40B2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CB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AB1C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40B26" w:rsidRPr="006E6F40">
        <w:rPr>
          <w:rFonts w:ascii="Times New Roman" w:hAnsi="Times New Roman" w:cs="Times New Roman"/>
          <w:b/>
          <w:sz w:val="24"/>
          <w:szCs w:val="24"/>
        </w:rPr>
        <w:t>ARGUMENTOS CAPAZES DE FUNDAMENTAR CADA DECISÃO</w:t>
      </w:r>
    </w:p>
    <w:p w:rsidR="0069694A" w:rsidRDefault="00D40B26" w:rsidP="00AB1C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2.1 Procedente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impugnação do Quadro Geral de Credores.</w:t>
      </w:r>
    </w:p>
    <w:p w:rsidR="00EE6317" w:rsidRDefault="00AF71B9" w:rsidP="00EE631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honorários advocatícios não podem configurar na classificação de créditos com privilégio geral</w:t>
      </w:r>
      <w:r w:rsidR="00BC1765">
        <w:rPr>
          <w:rFonts w:ascii="Times New Roman" w:hAnsi="Times New Roman" w:cs="Times New Roman"/>
          <w:sz w:val="24"/>
          <w:szCs w:val="24"/>
        </w:rPr>
        <w:t>,</w:t>
      </w:r>
      <w:r w:rsidR="00BC1765" w:rsidRPr="00BC1765">
        <w:t xml:space="preserve"> </w:t>
      </w:r>
      <w:r w:rsidR="00BC1765" w:rsidRPr="00BC1765">
        <w:rPr>
          <w:rFonts w:ascii="Times New Roman" w:hAnsi="Times New Roman" w:cs="Times New Roman"/>
          <w:sz w:val="24"/>
          <w:szCs w:val="24"/>
        </w:rPr>
        <w:t xml:space="preserve">pois estes são aqueles bens que não são sujeitos a direito real e nem possuem privilégio especial, além dos mesmos estarem dispostos no artigo 965 do Código Civil de </w:t>
      </w:r>
      <w:r w:rsidR="00BC1765">
        <w:rPr>
          <w:rFonts w:ascii="Times New Roman" w:hAnsi="Times New Roman" w:cs="Times New Roman"/>
          <w:sz w:val="24"/>
          <w:szCs w:val="24"/>
        </w:rPr>
        <w:t>acordo com a Lei N° 11.101/2005.</w:t>
      </w:r>
    </w:p>
    <w:p w:rsidR="00BC1765" w:rsidRPr="00BC1765" w:rsidRDefault="00BC1765" w:rsidP="00DA2C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C1765">
        <w:rPr>
          <w:rFonts w:ascii="Times New Roman" w:hAnsi="Times New Roman" w:cs="Times New Roman"/>
          <w:sz w:val="20"/>
          <w:szCs w:val="20"/>
        </w:rPr>
        <w:t>Art. 965. Goza de privilégio geral, na ordem seguinte, sobre os bens do devedor:</w:t>
      </w:r>
    </w:p>
    <w:p w:rsidR="00BC1765" w:rsidRPr="00BC1765" w:rsidRDefault="00BC1765" w:rsidP="00DA2CB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C1765">
        <w:rPr>
          <w:rFonts w:ascii="Times New Roman" w:hAnsi="Times New Roman" w:cs="Times New Roman"/>
          <w:sz w:val="20"/>
          <w:szCs w:val="20"/>
        </w:rPr>
        <w:t>I - o crédito por despesa de seu funeral, feito segundo a condição do morto e o costume do lugar;</w:t>
      </w:r>
      <w:r w:rsidR="00DA2CBA">
        <w:rPr>
          <w:rFonts w:ascii="Times New Roman" w:hAnsi="Times New Roman" w:cs="Times New Roman"/>
          <w:sz w:val="20"/>
          <w:szCs w:val="20"/>
        </w:rPr>
        <w:t xml:space="preserve"> </w:t>
      </w:r>
      <w:r w:rsidRPr="00BC1765">
        <w:rPr>
          <w:rFonts w:ascii="Times New Roman" w:hAnsi="Times New Roman" w:cs="Times New Roman"/>
          <w:sz w:val="20"/>
          <w:szCs w:val="20"/>
        </w:rPr>
        <w:t>II - o crédito por custas judiciais, ou por despesas com a arrecadação e liquidação da massa;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765">
        <w:rPr>
          <w:rFonts w:ascii="Times New Roman" w:hAnsi="Times New Roman" w:cs="Times New Roman"/>
          <w:sz w:val="20"/>
          <w:szCs w:val="20"/>
        </w:rPr>
        <w:t xml:space="preserve">III - </w:t>
      </w:r>
      <w:proofErr w:type="gramStart"/>
      <w:r w:rsidRPr="00BC1765">
        <w:rPr>
          <w:rFonts w:ascii="Times New Roman" w:hAnsi="Times New Roman" w:cs="Times New Roman"/>
          <w:sz w:val="20"/>
          <w:szCs w:val="20"/>
        </w:rPr>
        <w:t>o crédito por despesas com o luto do cônjuge sobrevivo</w:t>
      </w:r>
      <w:proofErr w:type="gramEnd"/>
      <w:r w:rsidRPr="00BC1765">
        <w:rPr>
          <w:rFonts w:ascii="Times New Roman" w:hAnsi="Times New Roman" w:cs="Times New Roman"/>
          <w:sz w:val="20"/>
          <w:szCs w:val="20"/>
        </w:rPr>
        <w:t xml:space="preserve"> e dos filhos do devedor falecido, se foram moderadas;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765">
        <w:rPr>
          <w:rFonts w:ascii="Times New Roman" w:hAnsi="Times New Roman" w:cs="Times New Roman"/>
          <w:sz w:val="20"/>
          <w:szCs w:val="20"/>
        </w:rPr>
        <w:t>IV - o crédito por despesas com a doença de que faleceu o devedor, no semestre anterior à sua morte;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765">
        <w:rPr>
          <w:rFonts w:ascii="Times New Roman" w:hAnsi="Times New Roman" w:cs="Times New Roman"/>
          <w:sz w:val="20"/>
          <w:szCs w:val="20"/>
        </w:rPr>
        <w:t>V - o crédito pelos gastos necessários à mantença do devedor falecido e sua família, no trimestre anterior ao falecimento;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765">
        <w:rPr>
          <w:rFonts w:ascii="Times New Roman" w:hAnsi="Times New Roman" w:cs="Times New Roman"/>
          <w:sz w:val="20"/>
          <w:szCs w:val="20"/>
        </w:rPr>
        <w:t>VI - o crédito pelos impostos devidos à Fazenda Pública, no ano corrente e no anterior;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765">
        <w:rPr>
          <w:rFonts w:ascii="Times New Roman" w:hAnsi="Times New Roman" w:cs="Times New Roman"/>
          <w:sz w:val="20"/>
          <w:szCs w:val="20"/>
        </w:rPr>
        <w:t>VII - o crédito pelos salários dos empregados do serviço doméstico do devedor, nos seus derradeiros seis meses de vida;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765">
        <w:rPr>
          <w:rFonts w:ascii="Times New Roman" w:hAnsi="Times New Roman" w:cs="Times New Roman"/>
          <w:sz w:val="20"/>
          <w:szCs w:val="20"/>
        </w:rPr>
        <w:t>VIII - os demais créditos de privilégio geral.</w:t>
      </w:r>
    </w:p>
    <w:p w:rsidR="00BC1765" w:rsidRDefault="00DA2CBA" w:rsidP="00EE631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da análise do texto da lei, não há porque se classificar honorários advocatícios como credito de privilegio geral, tendo em vista que o mesmo tem natureza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alimentar. </w:t>
      </w:r>
      <w:r w:rsidRPr="00DA2CBA">
        <w:rPr>
          <w:rFonts w:ascii="Times New Roman" w:hAnsi="Times New Roman" w:cs="Times New Roman"/>
          <w:sz w:val="24"/>
          <w:szCs w:val="24"/>
        </w:rPr>
        <w:t xml:space="preserve">O julgamento da </w:t>
      </w:r>
      <w:proofErr w:type="spellStart"/>
      <w:proofErr w:type="gramStart"/>
      <w:r w:rsidRPr="00DA2CBA">
        <w:rPr>
          <w:rFonts w:ascii="Times New Roman" w:hAnsi="Times New Roman" w:cs="Times New Roman"/>
          <w:sz w:val="24"/>
          <w:szCs w:val="24"/>
        </w:rPr>
        <w:t>REsp</w:t>
      </w:r>
      <w:proofErr w:type="spellEnd"/>
      <w:proofErr w:type="gramEnd"/>
      <w:r w:rsidR="004E00EC">
        <w:rPr>
          <w:rFonts w:ascii="Times New Roman" w:hAnsi="Times New Roman" w:cs="Times New Roman"/>
          <w:sz w:val="24"/>
          <w:szCs w:val="24"/>
        </w:rPr>
        <w:t xml:space="preserve"> </w:t>
      </w:r>
      <w:r w:rsidRPr="00DA2CBA">
        <w:rPr>
          <w:rFonts w:ascii="Times New Roman" w:hAnsi="Times New Roman" w:cs="Times New Roman"/>
          <w:sz w:val="24"/>
          <w:szCs w:val="24"/>
        </w:rPr>
        <w:t>1</w:t>
      </w:r>
      <w:r w:rsidR="004E00EC">
        <w:rPr>
          <w:rFonts w:ascii="Times New Roman" w:hAnsi="Times New Roman" w:cs="Times New Roman"/>
          <w:sz w:val="24"/>
          <w:szCs w:val="24"/>
        </w:rPr>
        <w:t>.</w:t>
      </w:r>
      <w:r w:rsidRPr="00DA2CBA">
        <w:rPr>
          <w:rFonts w:ascii="Times New Roman" w:hAnsi="Times New Roman" w:cs="Times New Roman"/>
          <w:sz w:val="24"/>
          <w:szCs w:val="24"/>
        </w:rPr>
        <w:t>152</w:t>
      </w:r>
      <w:r w:rsidR="004E00EC">
        <w:rPr>
          <w:rFonts w:ascii="Times New Roman" w:hAnsi="Times New Roman" w:cs="Times New Roman"/>
          <w:sz w:val="24"/>
          <w:szCs w:val="24"/>
        </w:rPr>
        <w:t>.</w:t>
      </w:r>
      <w:r w:rsidRPr="00DA2CBA">
        <w:rPr>
          <w:rFonts w:ascii="Times New Roman" w:hAnsi="Times New Roman" w:cs="Times New Roman"/>
          <w:sz w:val="24"/>
          <w:szCs w:val="24"/>
        </w:rPr>
        <w:t xml:space="preserve">218 perante o Superior Tribunal da Justiça, o ministro </w:t>
      </w:r>
      <w:r w:rsidR="004E00EC" w:rsidRPr="00DA2CBA">
        <w:rPr>
          <w:rFonts w:ascii="Times New Roman" w:hAnsi="Times New Roman" w:cs="Times New Roman"/>
          <w:sz w:val="24"/>
          <w:szCs w:val="24"/>
        </w:rPr>
        <w:t>Luís</w:t>
      </w:r>
      <w:r w:rsidRPr="00DA2CBA">
        <w:rPr>
          <w:rFonts w:ascii="Times New Roman" w:hAnsi="Times New Roman" w:cs="Times New Roman"/>
          <w:sz w:val="24"/>
          <w:szCs w:val="24"/>
        </w:rPr>
        <w:t xml:space="preserve"> Felipe </w:t>
      </w:r>
      <w:proofErr w:type="spellStart"/>
      <w:r w:rsidRPr="00DA2CBA">
        <w:rPr>
          <w:rFonts w:ascii="Times New Roman" w:hAnsi="Times New Roman" w:cs="Times New Roman"/>
          <w:sz w:val="24"/>
          <w:szCs w:val="24"/>
        </w:rPr>
        <w:t>Salmoão</w:t>
      </w:r>
      <w:proofErr w:type="spellEnd"/>
      <w:r w:rsidRPr="00DA2CBA">
        <w:rPr>
          <w:rFonts w:ascii="Times New Roman" w:hAnsi="Times New Roman" w:cs="Times New Roman"/>
          <w:sz w:val="24"/>
          <w:szCs w:val="24"/>
        </w:rPr>
        <w:t xml:space="preserve"> (2009) durante seu voto proferiu o </w:t>
      </w:r>
      <w:r w:rsidR="004E00EC" w:rsidRPr="00DA2CBA">
        <w:rPr>
          <w:rFonts w:ascii="Times New Roman" w:hAnsi="Times New Roman" w:cs="Times New Roman"/>
          <w:sz w:val="24"/>
          <w:szCs w:val="24"/>
        </w:rPr>
        <w:t>entendimento</w:t>
      </w:r>
      <w:r w:rsidR="004E00EC">
        <w:rPr>
          <w:rFonts w:ascii="Times New Roman" w:hAnsi="Times New Roman" w:cs="Times New Roman"/>
          <w:sz w:val="24"/>
          <w:szCs w:val="24"/>
        </w:rPr>
        <w:t xml:space="preserve"> de que o</w:t>
      </w:r>
      <w:r w:rsidRPr="00DA2CBA">
        <w:rPr>
          <w:rFonts w:ascii="Times New Roman" w:hAnsi="Times New Roman" w:cs="Times New Roman"/>
          <w:sz w:val="24"/>
          <w:szCs w:val="24"/>
        </w:rPr>
        <w:t xml:space="preserve">s honorários são a remuneração do advogado, logo sua fonte de alimentos. Não podendo negar-se a essa realidade. Por isso os honorários advocatícios têm natureza alimentar e merecem privilégio similar aos créditos trabalhistas. De fato, assim como o salário está para o empregado e os vencimentos para servidores públicos, os honorários são a </w:t>
      </w:r>
      <w:r w:rsidR="004E00EC">
        <w:rPr>
          <w:rFonts w:ascii="Times New Roman" w:hAnsi="Times New Roman" w:cs="Times New Roman"/>
          <w:sz w:val="24"/>
          <w:szCs w:val="24"/>
        </w:rPr>
        <w:t xml:space="preserve">fonte alimentar dos </w:t>
      </w:r>
      <w:proofErr w:type="gramStart"/>
      <w:r w:rsidR="004E00EC">
        <w:rPr>
          <w:rFonts w:ascii="Times New Roman" w:hAnsi="Times New Roman" w:cs="Times New Roman"/>
          <w:sz w:val="24"/>
          <w:szCs w:val="24"/>
        </w:rPr>
        <w:t>causídicos</w:t>
      </w:r>
      <w:proofErr w:type="gramEnd"/>
      <w:r w:rsidR="004E00EC">
        <w:rPr>
          <w:rFonts w:ascii="Times New Roman" w:hAnsi="Times New Roman" w:cs="Times New Roman"/>
          <w:sz w:val="24"/>
          <w:szCs w:val="24"/>
        </w:rPr>
        <w:t xml:space="preserve">. </w:t>
      </w:r>
      <w:r w:rsidRPr="00DA2CBA">
        <w:rPr>
          <w:rFonts w:ascii="Times New Roman" w:hAnsi="Times New Roman" w:cs="Times New Roman"/>
          <w:sz w:val="24"/>
          <w:szCs w:val="24"/>
        </w:rPr>
        <w:t>Tratá-los diferentemente é agredir o cânone constitucional da igualdade.</w:t>
      </w:r>
    </w:p>
    <w:p w:rsidR="004E00EC" w:rsidRDefault="004E00EC" w:rsidP="00EE631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ainda doutrinadores e juristas que tendem a negar a natureza alimentar dos honorários advocatícios enquadrando-lhes em créditos de privilégios utilizando-se do artigo 24 da Lei 8.906/1994 “Estatuto da Advocacia e a Ordem dos Advogados do Brasil” ao citar: “</w:t>
      </w:r>
      <w:r w:rsidRPr="004E00EC">
        <w:rPr>
          <w:rFonts w:ascii="Times New Roman" w:hAnsi="Times New Roman" w:cs="Times New Roman"/>
          <w:sz w:val="24"/>
          <w:szCs w:val="24"/>
        </w:rPr>
        <w:t>A decisão judicial que fixar ou arbitrar honorários e o contrato escrito que os estipular são títulos executivos e constituem crédito privilegiado na falência, concordata, concurso de credores, insolvência civil e liquidação extrajudicial.</w:t>
      </w:r>
      <w:r>
        <w:rPr>
          <w:rFonts w:ascii="Times New Roman" w:hAnsi="Times New Roman" w:cs="Times New Roman"/>
          <w:sz w:val="24"/>
          <w:szCs w:val="24"/>
        </w:rPr>
        <w:t xml:space="preserve">” (BRASIL, 1994). </w:t>
      </w:r>
    </w:p>
    <w:p w:rsidR="004E00EC" w:rsidRDefault="004E00EC" w:rsidP="00EE631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uma breve leitura de fato há como cair no erro do entendimento de que o próprio Estatuto da OAB confere poder de credito privilegiado aos honorários advocatícios, sendo esse erro constante em decisões de primeiro e segundo grau. Porém, ainda durante o voto do ministro do STJ perante o julgamento 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REsp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1.152.218, Luís Felipe Salomão afirmou: “</w:t>
      </w:r>
      <w:r w:rsidRPr="004E00EC">
        <w:rPr>
          <w:rFonts w:ascii="Times New Roman" w:hAnsi="Times New Roman" w:cs="Times New Roman"/>
          <w:sz w:val="24"/>
          <w:szCs w:val="24"/>
        </w:rPr>
        <w:t>A posição defendida pela OAB é a de que o "crédito privilegiado" a que se refere o mencionado dispositivo legal deve ser entendido como equivalente aos trabalh</w:t>
      </w:r>
      <w:r>
        <w:rPr>
          <w:rFonts w:ascii="Times New Roman" w:hAnsi="Times New Roman" w:cs="Times New Roman"/>
          <w:sz w:val="24"/>
          <w:szCs w:val="24"/>
        </w:rPr>
        <w:t>istas” (BRASIL, 2009).</w:t>
      </w:r>
    </w:p>
    <w:p w:rsidR="004E00EC" w:rsidRPr="00AF71B9" w:rsidRDefault="004E00EC" w:rsidP="00EE631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mediante o exposto não há como negar a natureza alimentar dos honorários, tendo em vista a atualização de credito como fonte de seu alimento, equiparando-se perfeitamente como um mero trabalhador daquela empresa. Julgo procedente a impugnação ao quadro geral de credores </w:t>
      </w:r>
      <w:r w:rsidR="00485C86">
        <w:rPr>
          <w:rFonts w:ascii="Times New Roman" w:hAnsi="Times New Roman" w:cs="Times New Roman"/>
          <w:sz w:val="24"/>
          <w:szCs w:val="24"/>
        </w:rPr>
        <w:t>e retifico a alteração para a ordem de credito trabalhista.</w:t>
      </w:r>
    </w:p>
    <w:p w:rsidR="00AB1CB5" w:rsidRDefault="00AB1CB5" w:rsidP="00AB1C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9FA" w:rsidRDefault="00D40B26" w:rsidP="001319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0B26">
        <w:rPr>
          <w:rFonts w:ascii="Times New Roman" w:hAnsi="Times New Roman" w:cs="Times New Roman"/>
          <w:b/>
          <w:sz w:val="24"/>
          <w:szCs w:val="24"/>
        </w:rPr>
        <w:t>2.2 Improcedente</w:t>
      </w:r>
      <w:proofErr w:type="gramEnd"/>
      <w:r w:rsidRPr="00D40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9FA" w:rsidRPr="00D40B26">
        <w:rPr>
          <w:rFonts w:ascii="Times New Roman" w:hAnsi="Times New Roman" w:cs="Times New Roman"/>
          <w:b/>
          <w:sz w:val="24"/>
          <w:szCs w:val="24"/>
        </w:rPr>
        <w:t>a impugna</w:t>
      </w:r>
      <w:r>
        <w:rPr>
          <w:rFonts w:ascii="Times New Roman" w:hAnsi="Times New Roman" w:cs="Times New Roman"/>
          <w:b/>
          <w:sz w:val="24"/>
          <w:szCs w:val="24"/>
        </w:rPr>
        <w:t>ção do Quadro Geral de Credores.</w:t>
      </w:r>
    </w:p>
    <w:p w:rsidR="002447DF" w:rsidRDefault="002447DF" w:rsidP="002447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referente a outros entendimentos, os advogados trabalham para outros clientes, logo não há porque se equiparar como um trab</w:t>
      </w:r>
      <w:r w:rsidR="002F6912">
        <w:rPr>
          <w:rFonts w:ascii="Times New Roman" w:hAnsi="Times New Roman" w:cs="Times New Roman"/>
          <w:sz w:val="24"/>
          <w:szCs w:val="24"/>
        </w:rPr>
        <w:t>alhador daquela empresa falida.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Campos Benito, créditos de privilegio geral são aqueles que: </w:t>
      </w:r>
    </w:p>
    <w:p w:rsidR="002F6912" w:rsidRDefault="002F6912" w:rsidP="002447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447DF" w:rsidRDefault="002447DF" w:rsidP="002447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447DF" w:rsidRDefault="002447DF" w:rsidP="002447D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447DF">
        <w:rPr>
          <w:rFonts w:ascii="Times New Roman" w:hAnsi="Times New Roman" w:cs="Times New Roman"/>
          <w:sz w:val="20"/>
          <w:szCs w:val="20"/>
        </w:rPr>
        <w:t xml:space="preserve">Encontram-se no artigo 83 da lei de falências, inciso V, que diz: “(a) os previstos no art. 965 da lei nº 10406, de 10 de janeiro de 2002; b) os previstos no parágrafo único do art. 67 desta lei; c) os assim definidos em outras leis civis e comerciais, salvo disposição contrária da lei”; Por sua vez, é exemplo de crédito com privilégio geral, além dos mencionados no art. 965 do CC, o decorrente de debêntures com garantia </w:t>
      </w:r>
      <w:r w:rsidRPr="002447DF">
        <w:rPr>
          <w:rFonts w:ascii="Times New Roman" w:hAnsi="Times New Roman" w:cs="Times New Roman"/>
          <w:sz w:val="20"/>
          <w:szCs w:val="20"/>
        </w:rPr>
        <w:lastRenderedPageBreak/>
        <w:t>flutuante, nos termos do art. 58, parágrafo 1º, da LSA, e os honorários de advogado, na falência do seu devedor (EOAB, art.24).</w:t>
      </w:r>
      <w:r>
        <w:rPr>
          <w:rFonts w:ascii="Times New Roman" w:hAnsi="Times New Roman" w:cs="Times New Roman"/>
          <w:sz w:val="20"/>
          <w:szCs w:val="20"/>
        </w:rPr>
        <w:t xml:space="preserve"> (CAMPOS, 2010)</w:t>
      </w:r>
    </w:p>
    <w:p w:rsidR="002F6912" w:rsidRDefault="002F6912" w:rsidP="002447D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F6912" w:rsidRDefault="002F6912" w:rsidP="002F691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honorários advocatícios são créditos de privilégio geral. Assim, julgo improcedente a impugnação ao quadro geral de credores. </w:t>
      </w:r>
    </w:p>
    <w:p w:rsidR="000B76DE" w:rsidRDefault="000B76DE" w:rsidP="000B76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6DE" w:rsidRDefault="000B76DE" w:rsidP="000B76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QUESTÕES PARA OBSERVAÇÕES GERAIS.</w:t>
      </w:r>
    </w:p>
    <w:p w:rsidR="000B76DE" w:rsidRDefault="000B76DE" w:rsidP="000B76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A</w:t>
      </w:r>
      <w:r w:rsidRPr="000B76DE">
        <w:rPr>
          <w:rFonts w:ascii="Times New Roman" w:hAnsi="Times New Roman" w:cs="Times New Roman"/>
          <w:b/>
          <w:sz w:val="24"/>
          <w:szCs w:val="24"/>
        </w:rPr>
        <w:t>pontar as condições gerais da decretação da falência e seus efeitos;</w:t>
      </w:r>
    </w:p>
    <w:p w:rsidR="00F35C18" w:rsidRPr="00F35C18" w:rsidRDefault="00F35C18" w:rsidP="000B76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 Condições Gerais</w:t>
      </w:r>
    </w:p>
    <w:p w:rsidR="00D92EFB" w:rsidRDefault="00D92EFB" w:rsidP="00D92EF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Ecio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Perin Junior (2011) a falência é um estado de direito que se aperfeiçoa após a sentença de decretação de falência, para aqueles empresários cuja tenham empresas em condições de insolvências, seja ativa (quando o ativo é menor que o passivo) ou aparente (mesmo sendo o ativo maior, o empresário não dispõe do mesmo para cumprir suas obrigações). Basta que caracterize a insolvência em relação o não cumprimento de suas obrigações para que seja decretada a falência.  Sendo um instituto com intuito de proteger os credores, tendo em vista que todo o procedimento da falência visa </w:t>
      </w:r>
      <w:r w:rsidR="00B42FA6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quitação de seus créditos, assim como punir aquele que age de má-fé ou até mesmo, aquele que não age de má-fé</w:t>
      </w:r>
      <w:r w:rsidR="00B42FA6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porem não é capaz de administrar uma empresa. </w:t>
      </w:r>
    </w:p>
    <w:p w:rsidR="00D92EFB" w:rsidRDefault="00B42FA6" w:rsidP="00D92EF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analisadas as condições de pessoa que exerce atividade empresaria, assim com o estado de inocência, para caracterizá-lo como falido é necessária uma sentença. </w:t>
      </w:r>
      <w:r w:rsidR="00D92EFB">
        <w:rPr>
          <w:rFonts w:ascii="Times New Roman" w:hAnsi="Times New Roman" w:cs="Times New Roman"/>
          <w:sz w:val="24"/>
          <w:szCs w:val="24"/>
        </w:rPr>
        <w:t xml:space="preserve">“A sentença declaratória da falência deverá atender a requisitos de duas ordens: genéricos e específicos. Os requisitos genéricos são aqueles que dizem respeito a toda e qualquer sentença judicial, previstos no </w:t>
      </w:r>
      <w:proofErr w:type="spellStart"/>
      <w:r w:rsidR="00D92EFB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D92EFB">
        <w:rPr>
          <w:rFonts w:ascii="Times New Roman" w:hAnsi="Times New Roman" w:cs="Times New Roman"/>
          <w:sz w:val="24"/>
          <w:szCs w:val="24"/>
        </w:rPr>
        <w:t xml:space="preserve"> 458 do CPC</w:t>
      </w:r>
      <w:proofErr w:type="gramStart"/>
      <w:r w:rsidR="00D92EFB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="00D92EFB">
        <w:rPr>
          <w:rFonts w:ascii="Times New Roman" w:hAnsi="Times New Roman" w:cs="Times New Roman"/>
          <w:sz w:val="24"/>
          <w:szCs w:val="24"/>
        </w:rPr>
        <w:t>PERIN, 2011)</w:t>
      </w:r>
    </w:p>
    <w:p w:rsidR="00B42FA6" w:rsidRDefault="00B42FA6" w:rsidP="00B42FA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Enquanto os requisitos específicos são: a) o relatório; b) os fundamentos da decisão; c) a conclusão.</w:t>
      </w:r>
    </w:p>
    <w:p w:rsidR="00B42FA6" w:rsidRDefault="00B42FA6" w:rsidP="00B42FA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 relatório o juiz deve mencionar os nomes das partes, formulando síntese do pedido e da defesa. No fundamento, juiz coloca em relevo os elementos que firmaram sua convicção. E finalmente, a conclusão, dispositivo da sentença em que o juiz julga procedente ou improcedente a ação.” (</w:t>
      </w:r>
      <w:r w:rsidR="00177780">
        <w:rPr>
          <w:rFonts w:ascii="Times New Roman" w:hAnsi="Times New Roman" w:cs="Times New Roman"/>
          <w:sz w:val="24"/>
          <w:szCs w:val="24"/>
        </w:rPr>
        <w:t xml:space="preserve">ALMEIDA, 2013). </w:t>
      </w:r>
    </w:p>
    <w:p w:rsidR="00E5114F" w:rsidRDefault="00E5114F" w:rsidP="00B42FA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6965" w:rsidRDefault="00F35C18" w:rsidP="00F35C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 Efeitos da Decretação da Falência.</w:t>
      </w:r>
    </w:p>
    <w:p w:rsidR="00184A5A" w:rsidRDefault="00F35C18" w:rsidP="00F35C1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Quanto à Pessoa do Falido: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84A5A">
        <w:rPr>
          <w:rFonts w:ascii="Times New Roman" w:hAnsi="Times New Roman" w:cs="Times New Roman"/>
          <w:sz w:val="24"/>
          <w:szCs w:val="24"/>
        </w:rPr>
        <w:t>Perante a lei n° 11.101/2005</w:t>
      </w:r>
    </w:p>
    <w:p w:rsidR="00184A5A" w:rsidRDefault="00184A5A" w:rsidP="00184A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Inabilitação empresarial, “art. 102. O falido fica inabilitado para exercer qualquer atividade empresarial a partir da decretação da falência e até a sentença que extingue suas obrigações” (BRASIL, 2005).</w:t>
      </w:r>
    </w:p>
    <w:p w:rsidR="00184A5A" w:rsidRDefault="00184A5A" w:rsidP="00184A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Impossibilidade de dispor seus bens, “</w:t>
      </w:r>
      <w:r w:rsidRPr="00184A5A">
        <w:rPr>
          <w:rFonts w:ascii="Times New Roman" w:hAnsi="Times New Roman" w:cs="Times New Roman"/>
          <w:sz w:val="24"/>
          <w:szCs w:val="24"/>
        </w:rPr>
        <w:t xml:space="preserve">Art. 103. Desde a decretação da falência ou do </w:t>
      </w:r>
      <w:proofErr w:type="spellStart"/>
      <w:r w:rsidRPr="00184A5A">
        <w:rPr>
          <w:rFonts w:ascii="Times New Roman" w:hAnsi="Times New Roman" w:cs="Times New Roman"/>
          <w:sz w:val="24"/>
          <w:szCs w:val="24"/>
        </w:rPr>
        <w:t>seqüestro</w:t>
      </w:r>
      <w:proofErr w:type="spellEnd"/>
      <w:r w:rsidRPr="00184A5A">
        <w:rPr>
          <w:rFonts w:ascii="Times New Roman" w:hAnsi="Times New Roman" w:cs="Times New Roman"/>
          <w:sz w:val="24"/>
          <w:szCs w:val="24"/>
        </w:rPr>
        <w:t>, o devedor perde o direito de administrar os seus bens ou deles dispor.</w:t>
      </w:r>
      <w:r>
        <w:rPr>
          <w:rFonts w:ascii="Times New Roman" w:hAnsi="Times New Roman" w:cs="Times New Roman"/>
          <w:sz w:val="24"/>
          <w:szCs w:val="24"/>
        </w:rPr>
        <w:t>” (BRASIL, 2005).</w:t>
      </w:r>
    </w:p>
    <w:p w:rsidR="00184A5A" w:rsidRDefault="00184A5A" w:rsidP="00184A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Restrições à capacidade processual do falido. “Com efeito, em regra, o falido não atuará como autor ou réu dos processos relacionados aos bens, interesses e negócios envolvidos no processo de falência.” (TOMAZETTE, 2011).</w:t>
      </w:r>
    </w:p>
    <w:p w:rsidR="00184A5A" w:rsidRDefault="00184A5A" w:rsidP="00184A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Sigilo de correspondência. “Na administração da massa falida, cabe ao administrador </w:t>
      </w:r>
      <w:r w:rsidR="0026696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abertura das correspondências dirigidas ao devedor, entregando a ele o que não for assunto de interesse da massa. Não podendo se cogitar violação de correspondência, pois há autorização legal expressa para a abertura” (TOMAZETTE, 2011).</w:t>
      </w:r>
    </w:p>
    <w:p w:rsidR="00897EAC" w:rsidRDefault="00897EAC" w:rsidP="00184A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7EAC" w:rsidRDefault="00897EAC" w:rsidP="00184A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Quanto ás Obrigações do Falido: </w:t>
      </w:r>
    </w:p>
    <w:p w:rsidR="00E5114F" w:rsidRDefault="00E5114F" w:rsidP="00E5114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Vencimento antecipado. “A falência é uma execução coletiva, na medida em que visa o pagamento de todos os credores do devedor falido. É essencial que todos os créditos sejam exigíveis, isto é, estejam vencidos. Assim sendo, a falência impõe o vencimento das obrigações” (TOMAZETTE, 2011).  E a suspensão da prescrição, assim como a suspensão do direito de retenção, “</w:t>
      </w:r>
      <w:r w:rsidRPr="00E5114F">
        <w:rPr>
          <w:rFonts w:ascii="Times New Roman" w:hAnsi="Times New Roman" w:cs="Times New Roman"/>
          <w:sz w:val="24"/>
          <w:szCs w:val="24"/>
        </w:rPr>
        <w:t>Art. 116. A d</w:t>
      </w:r>
      <w:r>
        <w:rPr>
          <w:rFonts w:ascii="Times New Roman" w:hAnsi="Times New Roman" w:cs="Times New Roman"/>
          <w:sz w:val="24"/>
          <w:szCs w:val="24"/>
        </w:rPr>
        <w:t>ecretação da falência suspende:</w:t>
      </w:r>
      <w:r w:rsidRPr="00E5114F">
        <w:rPr>
          <w:rFonts w:ascii="Times New Roman" w:hAnsi="Times New Roman" w:cs="Times New Roman"/>
          <w:sz w:val="24"/>
          <w:szCs w:val="24"/>
        </w:rPr>
        <w:t xml:space="preserve"> I – o exercício do direito de retenção sobre os bens sujeitos à arrecadação, os quais deverão ser entr</w:t>
      </w:r>
      <w:r>
        <w:rPr>
          <w:rFonts w:ascii="Times New Roman" w:hAnsi="Times New Roman" w:cs="Times New Roman"/>
          <w:sz w:val="24"/>
          <w:szCs w:val="24"/>
        </w:rPr>
        <w:t>egues ao administrador judicial” (BRASIL, 2005).</w:t>
      </w:r>
    </w:p>
    <w:p w:rsidR="00E5114F" w:rsidRDefault="00E5114F" w:rsidP="00E5114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5114F" w:rsidRDefault="00E5114F" w:rsidP="00E5114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Quanto aos Contratos do Falido:</w:t>
      </w:r>
    </w:p>
    <w:p w:rsidR="00E5114F" w:rsidRPr="00095F7E" w:rsidRDefault="00E5114F" w:rsidP="00095F7E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t xml:space="preserve">“Uma das opções que se colocam ao administrador judicial em relação aos referidos contratos bilaterais é a decisão de resolução dos contratos. Tal decisão cabe exclusivamente ao administrador judicial, não havendo necessidade de autorização judicial. [...] Além da resolução, o administrador judicial pode decidir pela continuação do contrato, mas tem que motivá-la dentro das próprias justificativas admitidas pela legislação, </w:t>
      </w:r>
      <w:proofErr w:type="gramStart"/>
      <w:r w:rsidRPr="00095F7E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95F7E">
        <w:rPr>
          <w:rFonts w:ascii="Times New Roman" w:hAnsi="Times New Roman" w:cs="Times New Roman"/>
          <w:sz w:val="20"/>
          <w:szCs w:val="20"/>
        </w:rPr>
        <w:t xml:space="preserve"> redução do passivo, o impedimento do aumento do pas</w:t>
      </w:r>
      <w:r w:rsidR="00095F7E" w:rsidRPr="00095F7E">
        <w:rPr>
          <w:rFonts w:ascii="Times New Roman" w:hAnsi="Times New Roman" w:cs="Times New Roman"/>
          <w:sz w:val="20"/>
          <w:szCs w:val="20"/>
        </w:rPr>
        <w:t>sivo e a manutenção e preservação dos ativos” (TOMAZETTE, 2011)</w:t>
      </w:r>
      <w:r w:rsidR="00095F7E">
        <w:rPr>
          <w:rFonts w:ascii="Times New Roman" w:hAnsi="Times New Roman" w:cs="Times New Roman"/>
          <w:sz w:val="20"/>
          <w:szCs w:val="20"/>
        </w:rPr>
        <w:t>.</w:t>
      </w:r>
    </w:p>
    <w:p w:rsidR="00184A5A" w:rsidRPr="00D92EFB" w:rsidRDefault="00184A5A" w:rsidP="00184A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95F7E" w:rsidRDefault="000B76DE" w:rsidP="000B76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 w:rsidRPr="000B76DE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Pr="000B76DE">
        <w:rPr>
          <w:rFonts w:ascii="Times New Roman" w:hAnsi="Times New Roman" w:cs="Times New Roman"/>
          <w:b/>
          <w:sz w:val="24"/>
          <w:szCs w:val="24"/>
        </w:rPr>
        <w:t>critérios de prioridade na classificação dos créditos;</w:t>
      </w:r>
    </w:p>
    <w:p w:rsidR="00095F7E" w:rsidRDefault="00095F7E" w:rsidP="000B76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7E" w:rsidRDefault="00095F7E" w:rsidP="000B76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7E" w:rsidRDefault="00095F7E" w:rsidP="00095F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t>Art. 83. A classificação dos créditos na falência obedece à seguinte ordem:</w:t>
      </w:r>
    </w:p>
    <w:p w:rsidR="00095F7E" w:rsidRPr="00095F7E" w:rsidRDefault="00095F7E" w:rsidP="00095F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t xml:space="preserve"> I – os créditos derivados da legislação do trabalho, limitados a 150 (cento e cinquenta) salários-mínimos por credor, e os decorrentes de acidentes de trabalho;</w:t>
      </w:r>
    </w:p>
    <w:p w:rsidR="00095F7E" w:rsidRPr="00095F7E" w:rsidRDefault="00095F7E" w:rsidP="00095F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t>II - créditos com garantia real até o limite do valor do bem gravado;</w:t>
      </w:r>
    </w:p>
    <w:p w:rsidR="00095F7E" w:rsidRPr="00095F7E" w:rsidRDefault="00095F7E" w:rsidP="00095F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lastRenderedPageBreak/>
        <w:t>III – créditos tributários, independentemente da sua natureza e tempo de constituição, excetuadas as multas tributárias;</w:t>
      </w:r>
    </w:p>
    <w:p w:rsidR="00095F7E" w:rsidRPr="00095F7E" w:rsidRDefault="00095F7E" w:rsidP="00095F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t>IV – créditos co</w:t>
      </w:r>
      <w:r>
        <w:rPr>
          <w:rFonts w:ascii="Times New Roman" w:hAnsi="Times New Roman" w:cs="Times New Roman"/>
          <w:sz w:val="20"/>
          <w:szCs w:val="20"/>
        </w:rPr>
        <w:t xml:space="preserve">m privilégio especial, a saber: </w:t>
      </w:r>
      <w:r w:rsidRPr="00095F7E">
        <w:rPr>
          <w:rFonts w:ascii="Times New Roman" w:hAnsi="Times New Roman" w:cs="Times New Roman"/>
          <w:sz w:val="20"/>
          <w:szCs w:val="20"/>
        </w:rPr>
        <w:t>a) os previstos no art. 964 da Lei no 10</w:t>
      </w:r>
      <w:r>
        <w:rPr>
          <w:rFonts w:ascii="Times New Roman" w:hAnsi="Times New Roman" w:cs="Times New Roman"/>
          <w:sz w:val="20"/>
          <w:szCs w:val="20"/>
        </w:rPr>
        <w:t xml:space="preserve">.406, de 10 de janeiro de 2002; </w:t>
      </w:r>
      <w:r w:rsidRPr="00095F7E">
        <w:rPr>
          <w:rFonts w:ascii="Times New Roman" w:hAnsi="Times New Roman" w:cs="Times New Roman"/>
          <w:sz w:val="20"/>
          <w:szCs w:val="20"/>
        </w:rPr>
        <w:t xml:space="preserve">b) os assim definidos em outras leis civis e comerciais, salvo </w:t>
      </w:r>
      <w:r>
        <w:rPr>
          <w:rFonts w:ascii="Times New Roman" w:hAnsi="Times New Roman" w:cs="Times New Roman"/>
          <w:sz w:val="20"/>
          <w:szCs w:val="20"/>
        </w:rPr>
        <w:t xml:space="preserve">disposição contrária desta Lei; </w:t>
      </w:r>
      <w:r w:rsidRPr="00095F7E">
        <w:rPr>
          <w:rFonts w:ascii="Times New Roman" w:hAnsi="Times New Roman" w:cs="Times New Roman"/>
          <w:sz w:val="20"/>
          <w:szCs w:val="20"/>
        </w:rPr>
        <w:t xml:space="preserve">c) aqueles a cujos titulares a lei confira o direito de retenção </w:t>
      </w:r>
      <w:r>
        <w:rPr>
          <w:rFonts w:ascii="Times New Roman" w:hAnsi="Times New Roman" w:cs="Times New Roman"/>
          <w:sz w:val="20"/>
          <w:szCs w:val="20"/>
        </w:rPr>
        <w:t xml:space="preserve">sobre a coisa dada em garantia; </w:t>
      </w:r>
      <w:r w:rsidRPr="00095F7E">
        <w:rPr>
          <w:rFonts w:ascii="Times New Roman" w:hAnsi="Times New Roman" w:cs="Times New Roman"/>
          <w:sz w:val="20"/>
          <w:szCs w:val="20"/>
        </w:rPr>
        <w:t xml:space="preserve">d) aqueles em favor dos microempreendedores individuais e das microempresas e empresas de pequeno porte de que trata a Lei Complementar </w:t>
      </w:r>
      <w:proofErr w:type="gramStart"/>
      <w:r w:rsidRPr="00095F7E">
        <w:rPr>
          <w:rFonts w:ascii="Times New Roman" w:hAnsi="Times New Roman" w:cs="Times New Roman"/>
          <w:sz w:val="20"/>
          <w:szCs w:val="20"/>
        </w:rPr>
        <w:t>no 123</w:t>
      </w:r>
      <w:proofErr w:type="gramEnd"/>
      <w:r w:rsidRPr="00095F7E">
        <w:rPr>
          <w:rFonts w:ascii="Times New Roman" w:hAnsi="Times New Roman" w:cs="Times New Roman"/>
          <w:sz w:val="20"/>
          <w:szCs w:val="20"/>
        </w:rPr>
        <w:t>, de</w:t>
      </w:r>
      <w:r>
        <w:rPr>
          <w:rFonts w:ascii="Times New Roman" w:hAnsi="Times New Roman" w:cs="Times New Roman"/>
          <w:sz w:val="20"/>
          <w:szCs w:val="20"/>
        </w:rPr>
        <w:t xml:space="preserve"> 14 de dezembro de 2006</w:t>
      </w:r>
    </w:p>
    <w:p w:rsidR="00095F7E" w:rsidRDefault="00095F7E" w:rsidP="00095F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t xml:space="preserve">  V – créditos</w:t>
      </w:r>
      <w:r>
        <w:rPr>
          <w:rFonts w:ascii="Times New Roman" w:hAnsi="Times New Roman" w:cs="Times New Roman"/>
          <w:sz w:val="20"/>
          <w:szCs w:val="20"/>
        </w:rPr>
        <w:t xml:space="preserve"> com privilégio geral, a saber: </w:t>
      </w:r>
    </w:p>
    <w:p w:rsidR="00095F7E" w:rsidRDefault="00095F7E" w:rsidP="00095F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t>a) os previstos no art. 965 da Lei no 10</w:t>
      </w:r>
      <w:r>
        <w:rPr>
          <w:rFonts w:ascii="Times New Roman" w:hAnsi="Times New Roman" w:cs="Times New Roman"/>
          <w:sz w:val="20"/>
          <w:szCs w:val="20"/>
        </w:rPr>
        <w:t xml:space="preserve">.406, de 10 de janeiro de 2002; </w:t>
      </w:r>
      <w:r w:rsidRPr="00095F7E">
        <w:rPr>
          <w:rFonts w:ascii="Times New Roman" w:hAnsi="Times New Roman" w:cs="Times New Roman"/>
          <w:sz w:val="20"/>
          <w:szCs w:val="20"/>
        </w:rPr>
        <w:t xml:space="preserve">b) os previstos no parágrafo </w:t>
      </w:r>
      <w:r>
        <w:rPr>
          <w:rFonts w:ascii="Times New Roman" w:hAnsi="Times New Roman" w:cs="Times New Roman"/>
          <w:sz w:val="20"/>
          <w:szCs w:val="20"/>
        </w:rPr>
        <w:t xml:space="preserve">único do art. 67 desta Lei; </w:t>
      </w:r>
      <w:r w:rsidRPr="00095F7E">
        <w:rPr>
          <w:rFonts w:ascii="Times New Roman" w:hAnsi="Times New Roman" w:cs="Times New Roman"/>
          <w:sz w:val="20"/>
          <w:szCs w:val="20"/>
        </w:rPr>
        <w:t xml:space="preserve">c) os assim definidos em outras leis civis e comerciais, salvo </w:t>
      </w:r>
      <w:r>
        <w:rPr>
          <w:rFonts w:ascii="Times New Roman" w:hAnsi="Times New Roman" w:cs="Times New Roman"/>
          <w:sz w:val="20"/>
          <w:szCs w:val="20"/>
        </w:rPr>
        <w:t>disposição contrária desta Lei;</w:t>
      </w:r>
    </w:p>
    <w:p w:rsidR="00095F7E" w:rsidRPr="00095F7E" w:rsidRDefault="00095F7E" w:rsidP="00095F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t xml:space="preserve"> VI – créditos quirografários, a saber:</w:t>
      </w:r>
    </w:p>
    <w:p w:rsidR="00095F7E" w:rsidRPr="00095F7E" w:rsidRDefault="00095F7E" w:rsidP="00095F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95F7E">
        <w:rPr>
          <w:rFonts w:ascii="Times New Roman" w:hAnsi="Times New Roman" w:cs="Times New Roman"/>
          <w:sz w:val="20"/>
          <w:szCs w:val="20"/>
        </w:rPr>
        <w:t>a) aqueles não previstos n</w:t>
      </w:r>
      <w:r>
        <w:rPr>
          <w:rFonts w:ascii="Times New Roman" w:hAnsi="Times New Roman" w:cs="Times New Roman"/>
          <w:sz w:val="20"/>
          <w:szCs w:val="20"/>
        </w:rPr>
        <w:t>os demais incisos deste artigo;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5F7E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095F7E">
        <w:rPr>
          <w:rFonts w:ascii="Times New Roman" w:hAnsi="Times New Roman" w:cs="Times New Roman"/>
          <w:sz w:val="20"/>
          <w:szCs w:val="20"/>
        </w:rPr>
        <w:t>b) os saldos dos créditos não cobertos pelo produto da alienação dos bens vinculados ao seu pagamento;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5F7E">
        <w:rPr>
          <w:rFonts w:ascii="Times New Roman" w:hAnsi="Times New Roman" w:cs="Times New Roman"/>
          <w:sz w:val="20"/>
          <w:szCs w:val="20"/>
        </w:rPr>
        <w:t>c) os saldos dos créditos derivados da legislação do trabalho que excederem o limite estabelecido no inciso I do caput deste artigo;</w:t>
      </w:r>
      <w:r>
        <w:rPr>
          <w:rFonts w:ascii="Times New Roman" w:hAnsi="Times New Roman" w:cs="Times New Roman"/>
          <w:sz w:val="20"/>
          <w:szCs w:val="20"/>
        </w:rPr>
        <w:t xml:space="preserve"> (BRASIL, 2005)</w:t>
      </w:r>
    </w:p>
    <w:p w:rsidR="00095F7E" w:rsidRDefault="00095F7E" w:rsidP="000B76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6DE" w:rsidRDefault="000B76DE" w:rsidP="000B76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="006901C5">
        <w:rPr>
          <w:rFonts w:ascii="Times New Roman" w:hAnsi="Times New Roman" w:cs="Times New Roman"/>
          <w:b/>
          <w:sz w:val="24"/>
          <w:szCs w:val="24"/>
        </w:rPr>
        <w:t>E</w:t>
      </w:r>
      <w:r w:rsidRPr="000B76DE">
        <w:rPr>
          <w:rFonts w:ascii="Times New Roman" w:hAnsi="Times New Roman" w:cs="Times New Roman"/>
          <w:b/>
          <w:sz w:val="24"/>
          <w:szCs w:val="24"/>
        </w:rPr>
        <w:t>xceções creditícias;</w:t>
      </w:r>
    </w:p>
    <w:p w:rsidR="00095F7E" w:rsidRDefault="006901C5" w:rsidP="006901C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Afirma Amador Paes de Almeida (2013) após a decretação de falência surgem inúmeros atos e operações que podem gerar despesas, sendo estes não sujeitos à habilitação e devem ser pagos preferencialmente a todos os credores. </w:t>
      </w:r>
    </w:p>
    <w:p w:rsidR="006901C5" w:rsidRPr="006901C5" w:rsidRDefault="006901C5" w:rsidP="006901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901C5">
        <w:rPr>
          <w:rFonts w:ascii="Times New Roman" w:hAnsi="Times New Roman" w:cs="Times New Roman"/>
          <w:sz w:val="20"/>
          <w:szCs w:val="20"/>
        </w:rPr>
        <w:t xml:space="preserve">Art. 84. Serão considerados créditos </w:t>
      </w:r>
      <w:proofErr w:type="spellStart"/>
      <w:r w:rsidRPr="006901C5">
        <w:rPr>
          <w:rFonts w:ascii="Times New Roman" w:hAnsi="Times New Roman" w:cs="Times New Roman"/>
          <w:sz w:val="20"/>
          <w:szCs w:val="20"/>
        </w:rPr>
        <w:t>extraconcursais</w:t>
      </w:r>
      <w:proofErr w:type="spellEnd"/>
      <w:r w:rsidRPr="006901C5">
        <w:rPr>
          <w:rFonts w:ascii="Times New Roman" w:hAnsi="Times New Roman" w:cs="Times New Roman"/>
          <w:sz w:val="20"/>
          <w:szCs w:val="20"/>
        </w:rPr>
        <w:t xml:space="preserve"> e serão pagos com precedência sobre os mencionados no art. 83 desta Lei, na </w:t>
      </w:r>
      <w:r>
        <w:rPr>
          <w:rFonts w:ascii="Times New Roman" w:hAnsi="Times New Roman" w:cs="Times New Roman"/>
          <w:sz w:val="20"/>
          <w:szCs w:val="20"/>
        </w:rPr>
        <w:t>ordem a seguir, os relativos a:</w:t>
      </w:r>
    </w:p>
    <w:p w:rsidR="006901C5" w:rsidRPr="006901C5" w:rsidRDefault="006901C5" w:rsidP="006901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901C5">
        <w:rPr>
          <w:rFonts w:ascii="Times New Roman" w:hAnsi="Times New Roman" w:cs="Times New Roman"/>
          <w:sz w:val="20"/>
          <w:szCs w:val="20"/>
        </w:rPr>
        <w:t>I – remunerações devidas ao administrador judicial e seus auxiliares, e créditos derivados da legislação do trabalho ou decorrentes de acidentes de trabalho relativos a serviços prestados após a decretação da falência;</w:t>
      </w:r>
    </w:p>
    <w:p w:rsidR="006901C5" w:rsidRPr="006901C5" w:rsidRDefault="006901C5" w:rsidP="006901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901C5">
        <w:rPr>
          <w:rFonts w:ascii="Times New Roman" w:hAnsi="Times New Roman" w:cs="Times New Roman"/>
          <w:sz w:val="20"/>
          <w:szCs w:val="20"/>
        </w:rPr>
        <w:t>II – quantias for</w:t>
      </w:r>
      <w:r>
        <w:rPr>
          <w:rFonts w:ascii="Times New Roman" w:hAnsi="Times New Roman" w:cs="Times New Roman"/>
          <w:sz w:val="20"/>
          <w:szCs w:val="20"/>
        </w:rPr>
        <w:t>necidas à massa pelos credores;</w:t>
      </w:r>
    </w:p>
    <w:p w:rsidR="006901C5" w:rsidRPr="006901C5" w:rsidRDefault="006901C5" w:rsidP="006901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901C5">
        <w:rPr>
          <w:rFonts w:ascii="Times New Roman" w:hAnsi="Times New Roman" w:cs="Times New Roman"/>
          <w:sz w:val="20"/>
          <w:szCs w:val="20"/>
        </w:rPr>
        <w:t>III – despesas com arrecadação, administração, realização do ativo e distribuição do seu produto, bem como custas do processo de falência;</w:t>
      </w:r>
    </w:p>
    <w:p w:rsidR="006901C5" w:rsidRPr="006901C5" w:rsidRDefault="006901C5" w:rsidP="006901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901C5">
        <w:rPr>
          <w:rFonts w:ascii="Times New Roman" w:hAnsi="Times New Roman" w:cs="Times New Roman"/>
          <w:sz w:val="20"/>
          <w:szCs w:val="20"/>
        </w:rPr>
        <w:t>IV – custas judiciais relativas às ações e execuções em que a massa falida tenha sido vencida;</w:t>
      </w:r>
    </w:p>
    <w:p w:rsidR="006901C5" w:rsidRDefault="006901C5" w:rsidP="006901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901C5">
        <w:rPr>
          <w:rFonts w:ascii="Times New Roman" w:hAnsi="Times New Roman" w:cs="Times New Roman"/>
          <w:sz w:val="20"/>
          <w:szCs w:val="20"/>
        </w:rPr>
        <w:t xml:space="preserve">V – obrigações resultantes de atos jurídicos válidos praticados durante a recuperação judicial, nos termos do art. 67 desta Lei, ou após a decretação da falência, e tributos relativos a fatos </w:t>
      </w:r>
      <w:proofErr w:type="gramStart"/>
      <w:r w:rsidRPr="006901C5">
        <w:rPr>
          <w:rFonts w:ascii="Times New Roman" w:hAnsi="Times New Roman" w:cs="Times New Roman"/>
          <w:sz w:val="20"/>
          <w:szCs w:val="20"/>
        </w:rPr>
        <w:t>geradores ocorridos após a decretação da falência, respeitada</w:t>
      </w:r>
      <w:proofErr w:type="gramEnd"/>
      <w:r w:rsidRPr="006901C5">
        <w:rPr>
          <w:rFonts w:ascii="Times New Roman" w:hAnsi="Times New Roman" w:cs="Times New Roman"/>
          <w:sz w:val="20"/>
          <w:szCs w:val="20"/>
        </w:rPr>
        <w:t xml:space="preserve"> a ordem estabelecida no art. 83 desta Lei.</w:t>
      </w:r>
      <w:r>
        <w:rPr>
          <w:rFonts w:ascii="Times New Roman" w:hAnsi="Times New Roman" w:cs="Times New Roman"/>
          <w:sz w:val="20"/>
          <w:szCs w:val="20"/>
        </w:rPr>
        <w:t xml:space="preserve"> (BRASIL, 2005)</w:t>
      </w:r>
    </w:p>
    <w:p w:rsidR="006901C5" w:rsidRDefault="006901C5" w:rsidP="006901C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901C5" w:rsidRPr="006901C5" w:rsidRDefault="006901C5" w:rsidP="006901C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901C5">
        <w:rPr>
          <w:rFonts w:ascii="Times New Roman" w:hAnsi="Times New Roman" w:cs="Times New Roman"/>
          <w:sz w:val="24"/>
          <w:szCs w:val="24"/>
        </w:rPr>
        <w:t xml:space="preserve">Logo, mediante exposição da Lei, esses são os casos de exceção </w:t>
      </w:r>
      <w:proofErr w:type="gramStart"/>
      <w:r w:rsidRPr="006901C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901C5">
        <w:rPr>
          <w:rFonts w:ascii="Times New Roman" w:hAnsi="Times New Roman" w:cs="Times New Roman"/>
          <w:sz w:val="24"/>
          <w:szCs w:val="24"/>
        </w:rPr>
        <w:t xml:space="preserve"> classificação dos créditos. Dessa forma deverão ter preferência e serem pagos com precedência.</w:t>
      </w:r>
    </w:p>
    <w:p w:rsidR="006901C5" w:rsidRDefault="006901C5" w:rsidP="006901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6901C5" w:rsidRDefault="006901C5" w:rsidP="006901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01C5" w:rsidRDefault="006901C5" w:rsidP="006901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5CF6" w:rsidRPr="006901C5" w:rsidRDefault="00575CF6" w:rsidP="006901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00F2" w:rsidRDefault="00AB00F2" w:rsidP="00AB00F2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AB00F2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REFERÊNCIAS</w:t>
      </w:r>
    </w:p>
    <w:p w:rsidR="00575CF6" w:rsidRP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F6">
        <w:rPr>
          <w:rFonts w:ascii="Times New Roman" w:hAnsi="Times New Roman" w:cs="Times New Roman"/>
          <w:sz w:val="24"/>
          <w:szCs w:val="24"/>
        </w:rPr>
        <w:t xml:space="preserve">ALMEIDA, Amador Paes de. </w:t>
      </w:r>
      <w:r w:rsidRPr="00575CF6">
        <w:rPr>
          <w:rFonts w:ascii="Times New Roman" w:hAnsi="Times New Roman" w:cs="Times New Roman"/>
          <w:b/>
          <w:sz w:val="24"/>
          <w:szCs w:val="24"/>
        </w:rPr>
        <w:t>Curso de falência e recuperação de empresas</w:t>
      </w:r>
      <w:r w:rsidRPr="00575CF6">
        <w:rPr>
          <w:rFonts w:ascii="Times New Roman" w:hAnsi="Times New Roman" w:cs="Times New Roman"/>
          <w:sz w:val="24"/>
          <w:szCs w:val="24"/>
        </w:rPr>
        <w:t xml:space="preserve">. - 27. </w:t>
      </w:r>
      <w:proofErr w:type="gramStart"/>
      <w:r w:rsidRPr="00575CF6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575CF6">
        <w:rPr>
          <w:rFonts w:ascii="Times New Roman" w:hAnsi="Times New Roman" w:cs="Times New Roman"/>
          <w:sz w:val="24"/>
          <w:szCs w:val="24"/>
        </w:rPr>
        <w:t xml:space="preserve"> rev. </w:t>
      </w:r>
      <w:proofErr w:type="spellStart"/>
      <w:r w:rsidRPr="00575CF6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575CF6">
        <w:rPr>
          <w:rFonts w:ascii="Times New Roman" w:hAnsi="Times New Roman" w:cs="Times New Roman"/>
          <w:sz w:val="24"/>
          <w:szCs w:val="24"/>
        </w:rPr>
        <w:t xml:space="preserve">. - São Paulo: </w:t>
      </w:r>
      <w:proofErr w:type="gramStart"/>
      <w:r w:rsidRPr="00575CF6">
        <w:rPr>
          <w:rFonts w:ascii="Times New Roman" w:hAnsi="Times New Roman" w:cs="Times New Roman"/>
          <w:sz w:val="24"/>
          <w:szCs w:val="24"/>
        </w:rPr>
        <w:t>Saraiva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CF6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CF6" w:rsidRP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 w:rsidRPr="00CF1E2F">
        <w:rPr>
          <w:rFonts w:ascii="Times New Roman" w:hAnsi="Times New Roman" w:cs="Times New Roman"/>
          <w:b/>
          <w:sz w:val="24"/>
          <w:szCs w:val="24"/>
        </w:rPr>
        <w:t xml:space="preserve">Lei 10.406, de 10 de janeiro de </w:t>
      </w:r>
      <w:proofErr w:type="gramStart"/>
      <w:r w:rsidRPr="00CF1E2F">
        <w:rPr>
          <w:rFonts w:ascii="Times New Roman" w:hAnsi="Times New Roman" w:cs="Times New Roman"/>
          <w:b/>
          <w:sz w:val="24"/>
          <w:szCs w:val="24"/>
        </w:rPr>
        <w:t>2002 "Código</w:t>
      </w:r>
      <w:proofErr w:type="gramEnd"/>
      <w:r w:rsidRPr="00CF1E2F">
        <w:rPr>
          <w:rFonts w:ascii="Times New Roman" w:hAnsi="Times New Roman" w:cs="Times New Roman"/>
          <w:b/>
          <w:sz w:val="24"/>
          <w:szCs w:val="24"/>
        </w:rPr>
        <w:t xml:space="preserve"> Civil"</w:t>
      </w:r>
      <w:r w:rsidRPr="00CF1E2F">
        <w:rPr>
          <w:rFonts w:ascii="Times New Roman" w:hAnsi="Times New Roman" w:cs="Times New Roman"/>
          <w:sz w:val="24"/>
          <w:szCs w:val="24"/>
        </w:rPr>
        <w:t>. Publicada no Diário Oficial da União em 11 de janeiro de 2002.</w:t>
      </w:r>
    </w:p>
    <w:p w:rsidR="00575CF6" w:rsidRPr="00CF1E2F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2F">
        <w:rPr>
          <w:rFonts w:ascii="Times New Roman" w:hAnsi="Times New Roman" w:cs="Times New Roman"/>
          <w:sz w:val="24"/>
          <w:szCs w:val="24"/>
        </w:rPr>
        <w:lastRenderedPageBreak/>
        <w:t xml:space="preserve">BRASIL. </w:t>
      </w:r>
      <w:r w:rsidRPr="00CF1E2F">
        <w:rPr>
          <w:rFonts w:ascii="Times New Roman" w:hAnsi="Times New Roman" w:cs="Times New Roman"/>
          <w:b/>
          <w:sz w:val="24"/>
          <w:szCs w:val="24"/>
        </w:rPr>
        <w:t xml:space="preserve">Lei n° 8.906, de </w:t>
      </w:r>
      <w:proofErr w:type="gramStart"/>
      <w:r w:rsidRPr="00CF1E2F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CF1E2F">
        <w:rPr>
          <w:rFonts w:ascii="Times New Roman" w:hAnsi="Times New Roman" w:cs="Times New Roman"/>
          <w:b/>
          <w:sz w:val="24"/>
          <w:szCs w:val="24"/>
        </w:rPr>
        <w:t xml:space="preserve"> de julho de 1994 "Estatuto da Advocacia e Ordem dos Advogados do Brasil (OAB)"</w:t>
      </w:r>
      <w:r w:rsidRPr="00CF1E2F">
        <w:rPr>
          <w:rFonts w:ascii="Times New Roman" w:hAnsi="Times New Roman" w:cs="Times New Roman"/>
          <w:sz w:val="24"/>
          <w:szCs w:val="24"/>
        </w:rPr>
        <w:t>. Publicada no Diário Oficial d</w:t>
      </w:r>
      <w:r>
        <w:rPr>
          <w:rFonts w:ascii="Times New Roman" w:hAnsi="Times New Roman" w:cs="Times New Roman"/>
          <w:sz w:val="24"/>
          <w:szCs w:val="24"/>
        </w:rPr>
        <w:t>a União em 05 de julho de 1994.</w:t>
      </w:r>
    </w:p>
    <w:p w:rsid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2F">
        <w:rPr>
          <w:rFonts w:ascii="Times New Roman" w:hAnsi="Times New Roman" w:cs="Times New Roman"/>
          <w:sz w:val="24"/>
          <w:szCs w:val="24"/>
        </w:rPr>
        <w:t xml:space="preserve">BRASIL. </w:t>
      </w:r>
      <w:r w:rsidRPr="00CF1E2F">
        <w:rPr>
          <w:rFonts w:ascii="Times New Roman" w:hAnsi="Times New Roman" w:cs="Times New Roman"/>
          <w:b/>
          <w:sz w:val="24"/>
          <w:szCs w:val="24"/>
        </w:rPr>
        <w:t>RECURSO ESPECIAL Nº 1.152.218 - RS</w:t>
      </w:r>
      <w:r w:rsidRPr="00CF1E2F">
        <w:rPr>
          <w:rFonts w:ascii="Times New Roman" w:hAnsi="Times New Roman" w:cs="Times New Roman"/>
          <w:sz w:val="24"/>
          <w:szCs w:val="24"/>
        </w:rPr>
        <w:t xml:space="preserve"> (2009/0156374-4)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447DF">
        <w:rPr>
          <w:rFonts w:ascii="Times New Roman" w:hAnsi="Times New Roman" w:cs="Times New Roman"/>
          <w:sz w:val="24"/>
          <w:szCs w:val="24"/>
        </w:rPr>
        <w:t xml:space="preserve">Disponível em: &lt; </w:t>
      </w:r>
      <w:proofErr w:type="gramStart"/>
      <w:r w:rsidRPr="002447DF">
        <w:rPr>
          <w:rFonts w:ascii="Times New Roman" w:hAnsi="Times New Roman" w:cs="Times New Roman"/>
          <w:sz w:val="24"/>
          <w:szCs w:val="24"/>
        </w:rPr>
        <w:t>http://www.idtl.com.br/noticia.</w:t>
      </w:r>
      <w:proofErr w:type="gramEnd"/>
      <w:r w:rsidRPr="002447DF">
        <w:rPr>
          <w:rFonts w:ascii="Times New Roman" w:hAnsi="Times New Roman" w:cs="Times New Roman"/>
          <w:sz w:val="24"/>
          <w:szCs w:val="24"/>
        </w:rPr>
        <w:t>cfm?ID=13408&gt;. Acesso em: abr. 2016.</w:t>
      </w:r>
    </w:p>
    <w:p w:rsid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7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BRASIL</w:t>
      </w:r>
      <w:r w:rsidRPr="00575C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  Lei 11.101, de 09 de fevereiro de 2005</w:t>
      </w:r>
      <w:r w:rsidRPr="002E07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2E073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E0731">
        <w:rPr>
          <w:rFonts w:ascii="Times New Roman" w:hAnsi="Times New Roman" w:cs="Times New Roman"/>
          <w:color w:val="000000" w:themeColor="text1"/>
          <w:sz w:val="24"/>
          <w:szCs w:val="24"/>
        </w:rPr>
        <w:t>Publicada</w:t>
      </w:r>
      <w:r w:rsidRPr="002E073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E07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 Diário Oficial da União em 09 de fevereiro de 2005.</w:t>
      </w:r>
    </w:p>
    <w:p w:rsid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PERIN</w:t>
      </w:r>
      <w:r w:rsidRPr="00575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F6">
        <w:rPr>
          <w:rFonts w:ascii="Times New Roman" w:hAnsi="Times New Roman" w:cs="Times New Roman"/>
          <w:sz w:val="24"/>
          <w:szCs w:val="24"/>
        </w:rPr>
        <w:t>Ecio</w:t>
      </w:r>
      <w:proofErr w:type="spellEnd"/>
      <w:r w:rsidRPr="00575CF6">
        <w:rPr>
          <w:rFonts w:ascii="Times New Roman" w:hAnsi="Times New Roman" w:cs="Times New Roman"/>
          <w:sz w:val="24"/>
          <w:szCs w:val="24"/>
        </w:rPr>
        <w:t xml:space="preserve"> Junior</w:t>
      </w:r>
      <w:r w:rsidRPr="00575CF6">
        <w:rPr>
          <w:rFonts w:ascii="Times New Roman" w:hAnsi="Times New Roman" w:cs="Times New Roman"/>
          <w:b/>
          <w:sz w:val="24"/>
          <w:szCs w:val="24"/>
        </w:rPr>
        <w:t>. Curso de direito falimentar e recuperação de empresas</w:t>
      </w:r>
      <w:r w:rsidRPr="00575CF6">
        <w:rPr>
          <w:rFonts w:ascii="Times New Roman" w:hAnsi="Times New Roman" w:cs="Times New Roman"/>
          <w:sz w:val="24"/>
          <w:szCs w:val="24"/>
        </w:rPr>
        <w:t>. - 4 ed. - São Paulo: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575CF6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575CF6" w:rsidRPr="00575CF6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CF6" w:rsidRPr="002E0731" w:rsidRDefault="00575CF6" w:rsidP="005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CF6">
        <w:rPr>
          <w:rFonts w:ascii="Times New Roman" w:hAnsi="Times New Roman" w:cs="Times New Roman"/>
          <w:sz w:val="24"/>
          <w:szCs w:val="24"/>
        </w:rPr>
        <w:t xml:space="preserve">TOMAZETTE, Marlon. </w:t>
      </w:r>
      <w:r w:rsidRPr="00575CF6">
        <w:rPr>
          <w:rFonts w:ascii="Times New Roman" w:hAnsi="Times New Roman" w:cs="Times New Roman"/>
          <w:b/>
          <w:sz w:val="24"/>
          <w:szCs w:val="24"/>
        </w:rPr>
        <w:t xml:space="preserve">Curso de direito empresarial, volume </w:t>
      </w:r>
      <w:proofErr w:type="gramStart"/>
      <w:r w:rsidRPr="00575CF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575CF6">
        <w:rPr>
          <w:rFonts w:ascii="Times New Roman" w:hAnsi="Times New Roman" w:cs="Times New Roman"/>
          <w:b/>
          <w:sz w:val="24"/>
          <w:szCs w:val="24"/>
        </w:rPr>
        <w:t>: Falência e recuperação de empresas</w:t>
      </w:r>
      <w:r w:rsidRPr="00575CF6">
        <w:rPr>
          <w:rFonts w:ascii="Times New Roman" w:hAnsi="Times New Roman" w:cs="Times New Roman"/>
          <w:sz w:val="24"/>
          <w:szCs w:val="24"/>
        </w:rPr>
        <w:t>. - São Paulo: Atlas, 2011.</w:t>
      </w:r>
    </w:p>
    <w:sectPr w:rsidR="00575CF6" w:rsidRPr="002E0731" w:rsidSect="006D173A">
      <w:headerReference w:type="default" r:id="rId8"/>
      <w:headerReference w:type="first" r:id="rId9"/>
      <w:footerReference w:type="first" r:id="rId10"/>
      <w:pgSz w:w="11906" w:h="16838"/>
      <w:pgMar w:top="1701" w:right="1134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23" w:rsidRDefault="007D5A23" w:rsidP="00211405">
      <w:pPr>
        <w:spacing w:after="0" w:line="240" w:lineRule="auto"/>
      </w:pPr>
      <w:r>
        <w:separator/>
      </w:r>
    </w:p>
  </w:endnote>
  <w:endnote w:type="continuationSeparator" w:id="0">
    <w:p w:rsidR="007D5A23" w:rsidRDefault="007D5A23" w:rsidP="0021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4A" w:rsidRDefault="0069694A" w:rsidP="0069694A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23" w:rsidRDefault="007D5A23" w:rsidP="00211405">
      <w:pPr>
        <w:spacing w:after="0" w:line="240" w:lineRule="auto"/>
      </w:pPr>
      <w:r>
        <w:separator/>
      </w:r>
    </w:p>
  </w:footnote>
  <w:footnote w:type="continuationSeparator" w:id="0">
    <w:p w:rsidR="007D5A23" w:rsidRDefault="007D5A23" w:rsidP="0021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05" w:rsidRDefault="00211405" w:rsidP="00211405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4A" w:rsidRDefault="0069694A" w:rsidP="0069694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93EEB9" wp14:editId="2B39FE1C">
          <wp:extent cx="2504440" cy="654685"/>
          <wp:effectExtent l="0" t="0" r="0" b="0"/>
          <wp:docPr id="2" name="Imagem 2" descr="logo_nova_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_nova_timbrado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869"/>
    <w:multiLevelType w:val="hybridMultilevel"/>
    <w:tmpl w:val="9C722B38"/>
    <w:lvl w:ilvl="0" w:tplc="E5BE48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075AC"/>
    <w:multiLevelType w:val="hybridMultilevel"/>
    <w:tmpl w:val="443403CA"/>
    <w:lvl w:ilvl="0" w:tplc="1D10414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5687D"/>
    <w:multiLevelType w:val="hybridMultilevel"/>
    <w:tmpl w:val="534266DA"/>
    <w:lvl w:ilvl="0" w:tplc="D12C1E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E1DC4"/>
    <w:multiLevelType w:val="hybridMultilevel"/>
    <w:tmpl w:val="99442BE8"/>
    <w:lvl w:ilvl="0" w:tplc="1C50A1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A2C1A"/>
    <w:multiLevelType w:val="hybridMultilevel"/>
    <w:tmpl w:val="7F6828C2"/>
    <w:lvl w:ilvl="0" w:tplc="54DA818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05"/>
    <w:rsid w:val="000825B6"/>
    <w:rsid w:val="00095F7E"/>
    <w:rsid w:val="000B76DE"/>
    <w:rsid w:val="000D5640"/>
    <w:rsid w:val="001319FA"/>
    <w:rsid w:val="00143835"/>
    <w:rsid w:val="00177780"/>
    <w:rsid w:val="00184A5A"/>
    <w:rsid w:val="00211405"/>
    <w:rsid w:val="002447DF"/>
    <w:rsid w:val="00265C0E"/>
    <w:rsid w:val="00266965"/>
    <w:rsid w:val="002707E4"/>
    <w:rsid w:val="002E0731"/>
    <w:rsid w:val="002F6912"/>
    <w:rsid w:val="00325678"/>
    <w:rsid w:val="003377B3"/>
    <w:rsid w:val="00371B7B"/>
    <w:rsid w:val="003F6B9F"/>
    <w:rsid w:val="004239C2"/>
    <w:rsid w:val="00485C86"/>
    <w:rsid w:val="004E00EC"/>
    <w:rsid w:val="00531F6A"/>
    <w:rsid w:val="00575CF6"/>
    <w:rsid w:val="00576C2A"/>
    <w:rsid w:val="005A13C3"/>
    <w:rsid w:val="005D123E"/>
    <w:rsid w:val="006901C5"/>
    <w:rsid w:val="0069694A"/>
    <w:rsid w:val="006D173A"/>
    <w:rsid w:val="007D5A23"/>
    <w:rsid w:val="00897EAC"/>
    <w:rsid w:val="008A058C"/>
    <w:rsid w:val="00922330"/>
    <w:rsid w:val="009241B3"/>
    <w:rsid w:val="00993E97"/>
    <w:rsid w:val="009F4E4A"/>
    <w:rsid w:val="00AB00F2"/>
    <w:rsid w:val="00AB1CB5"/>
    <w:rsid w:val="00AF71B9"/>
    <w:rsid w:val="00B42FA6"/>
    <w:rsid w:val="00BC1765"/>
    <w:rsid w:val="00BF014F"/>
    <w:rsid w:val="00CA0E73"/>
    <w:rsid w:val="00CF1E2F"/>
    <w:rsid w:val="00D10BB9"/>
    <w:rsid w:val="00D23EE5"/>
    <w:rsid w:val="00D40B26"/>
    <w:rsid w:val="00D92EFB"/>
    <w:rsid w:val="00DA2CBA"/>
    <w:rsid w:val="00E13BC7"/>
    <w:rsid w:val="00E5114F"/>
    <w:rsid w:val="00E54996"/>
    <w:rsid w:val="00EC400C"/>
    <w:rsid w:val="00EC47C4"/>
    <w:rsid w:val="00ED5B63"/>
    <w:rsid w:val="00EE6317"/>
    <w:rsid w:val="00F35C18"/>
    <w:rsid w:val="00FB3A8C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405"/>
  </w:style>
  <w:style w:type="paragraph" w:styleId="Rodap">
    <w:name w:val="footer"/>
    <w:basedOn w:val="Normal"/>
    <w:link w:val="RodapChar"/>
    <w:uiPriority w:val="99"/>
    <w:unhideWhenUsed/>
    <w:rsid w:val="00211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405"/>
  </w:style>
  <w:style w:type="paragraph" w:styleId="NormalWeb">
    <w:name w:val="Normal (Web)"/>
    <w:basedOn w:val="Normal"/>
    <w:uiPriority w:val="99"/>
    <w:semiHidden/>
    <w:unhideWhenUsed/>
    <w:rsid w:val="00E1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319F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825B6"/>
  </w:style>
  <w:style w:type="character" w:styleId="nfase">
    <w:name w:val="Emphasis"/>
    <w:basedOn w:val="Fontepargpadro"/>
    <w:uiPriority w:val="20"/>
    <w:qFormat/>
    <w:rsid w:val="00D23EE5"/>
    <w:rPr>
      <w:i/>
      <w:iCs/>
    </w:rPr>
  </w:style>
  <w:style w:type="character" w:styleId="Hyperlink">
    <w:name w:val="Hyperlink"/>
    <w:basedOn w:val="Fontepargpadro"/>
    <w:uiPriority w:val="99"/>
    <w:unhideWhenUsed/>
    <w:rsid w:val="002E073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7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405"/>
  </w:style>
  <w:style w:type="paragraph" w:styleId="Rodap">
    <w:name w:val="footer"/>
    <w:basedOn w:val="Normal"/>
    <w:link w:val="RodapChar"/>
    <w:uiPriority w:val="99"/>
    <w:unhideWhenUsed/>
    <w:rsid w:val="00211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405"/>
  </w:style>
  <w:style w:type="paragraph" w:styleId="NormalWeb">
    <w:name w:val="Normal (Web)"/>
    <w:basedOn w:val="Normal"/>
    <w:uiPriority w:val="99"/>
    <w:semiHidden/>
    <w:unhideWhenUsed/>
    <w:rsid w:val="00E1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319F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825B6"/>
  </w:style>
  <w:style w:type="character" w:styleId="nfase">
    <w:name w:val="Emphasis"/>
    <w:basedOn w:val="Fontepargpadro"/>
    <w:uiPriority w:val="20"/>
    <w:qFormat/>
    <w:rsid w:val="00D23EE5"/>
    <w:rPr>
      <w:i/>
      <w:iCs/>
    </w:rPr>
  </w:style>
  <w:style w:type="character" w:styleId="Hyperlink">
    <w:name w:val="Hyperlink"/>
    <w:basedOn w:val="Fontepargpadro"/>
    <w:uiPriority w:val="99"/>
    <w:unhideWhenUsed/>
    <w:rsid w:val="002E073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Oliveira da Silva</dc:creator>
  <cp:lastModifiedBy>Lucas</cp:lastModifiedBy>
  <cp:revision>2</cp:revision>
  <cp:lastPrinted>2016-04-27T05:52:00Z</cp:lastPrinted>
  <dcterms:created xsi:type="dcterms:W3CDTF">2018-06-20T15:58:00Z</dcterms:created>
  <dcterms:modified xsi:type="dcterms:W3CDTF">2018-06-20T15:58:00Z</dcterms:modified>
</cp:coreProperties>
</file>