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8E" w:rsidRPr="00B26106" w:rsidRDefault="00E042CA" w:rsidP="00B2610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ARTIGO</w:t>
      </w:r>
      <w:r w:rsidR="0013108E" w:rsidRPr="00B26106">
        <w:rPr>
          <w:rFonts w:ascii="Times New Roman" w:hAnsi="Times New Roman" w:cs="Times New Roman"/>
          <w:b/>
          <w:sz w:val="24"/>
          <w:szCs w:val="24"/>
        </w:rPr>
        <w:t xml:space="preserve">: </w:t>
      </w:r>
      <w:r w:rsidR="00B26106">
        <w:rPr>
          <w:rFonts w:ascii="Times New Roman" w:hAnsi="Times New Roman" w:cs="Times New Roman"/>
          <w:sz w:val="24"/>
          <w:szCs w:val="24"/>
        </w:rPr>
        <w:t>Julgamento de Apelação Cível perante o Tribunal de J</w:t>
      </w:r>
      <w:r w:rsidR="00B26106" w:rsidRPr="00B26106">
        <w:rPr>
          <w:rFonts w:ascii="Times New Roman" w:hAnsi="Times New Roman" w:cs="Times New Roman"/>
          <w:sz w:val="24"/>
          <w:szCs w:val="24"/>
        </w:rPr>
        <w:t>ustiça</w:t>
      </w:r>
    </w:p>
    <w:p w:rsidR="00E042CA" w:rsidRDefault="00E042CA" w:rsidP="00B26106">
      <w:pPr>
        <w:spacing w:after="0" w:line="360" w:lineRule="auto"/>
        <w:ind w:firstLine="1134"/>
        <w:jc w:val="right"/>
        <w:rPr>
          <w:rFonts w:ascii="Times New Roman" w:hAnsi="Times New Roman" w:cs="Times New Roman"/>
          <w:sz w:val="24"/>
          <w:szCs w:val="24"/>
        </w:rPr>
      </w:pPr>
    </w:p>
    <w:p w:rsidR="00B26106" w:rsidRDefault="00B26106" w:rsidP="00B26106">
      <w:pPr>
        <w:spacing w:after="0" w:line="360" w:lineRule="auto"/>
        <w:ind w:firstLine="1134"/>
        <w:jc w:val="right"/>
        <w:rPr>
          <w:rFonts w:ascii="Times New Roman" w:hAnsi="Times New Roman" w:cs="Times New Roman"/>
          <w:sz w:val="24"/>
          <w:szCs w:val="24"/>
        </w:rPr>
      </w:pPr>
      <w:r>
        <w:rPr>
          <w:rFonts w:ascii="Times New Roman" w:hAnsi="Times New Roman" w:cs="Times New Roman"/>
          <w:sz w:val="24"/>
          <w:szCs w:val="24"/>
        </w:rPr>
        <w:t>Lucas Ferreira Brito Sousa</w:t>
      </w:r>
    </w:p>
    <w:p w:rsidR="00B26106" w:rsidRDefault="00B26106" w:rsidP="00B26106">
      <w:pPr>
        <w:spacing w:after="0" w:line="360" w:lineRule="auto"/>
        <w:rPr>
          <w:rFonts w:ascii="Times New Roman" w:hAnsi="Times New Roman" w:cs="Times New Roman"/>
          <w:sz w:val="24"/>
          <w:szCs w:val="24"/>
        </w:rPr>
      </w:pPr>
    </w:p>
    <w:p w:rsidR="0013108E" w:rsidRPr="00B26106" w:rsidRDefault="0013108E" w:rsidP="00B26106">
      <w:pPr>
        <w:spacing w:after="0" w:line="360" w:lineRule="auto"/>
        <w:rPr>
          <w:rFonts w:ascii="Times New Roman" w:hAnsi="Times New Roman" w:cs="Times New Roman"/>
          <w:sz w:val="24"/>
          <w:szCs w:val="24"/>
        </w:rPr>
      </w:pPr>
      <w:proofErr w:type="gramStart"/>
      <w:r w:rsidRPr="00B26106">
        <w:rPr>
          <w:rFonts w:ascii="Times New Roman" w:hAnsi="Times New Roman" w:cs="Times New Roman"/>
          <w:b/>
          <w:sz w:val="24"/>
          <w:szCs w:val="24"/>
        </w:rPr>
        <w:t>1</w:t>
      </w:r>
      <w:proofErr w:type="gramEnd"/>
      <w:r w:rsidRPr="00B26106">
        <w:rPr>
          <w:rFonts w:ascii="Times New Roman" w:hAnsi="Times New Roman" w:cs="Times New Roman"/>
          <w:b/>
          <w:sz w:val="24"/>
          <w:szCs w:val="24"/>
        </w:rPr>
        <w:t xml:space="preserve"> DESCRIÇÃO DO CASO</w:t>
      </w:r>
    </w:p>
    <w:p w:rsidR="00B26106" w:rsidRDefault="00B26106" w:rsidP="00B26106">
      <w:pPr>
        <w:spacing w:after="0" w:line="360" w:lineRule="auto"/>
        <w:jc w:val="both"/>
        <w:rPr>
          <w:rFonts w:ascii="Times New Roman" w:hAnsi="Times New Roman" w:cs="Times New Roman"/>
          <w:sz w:val="24"/>
          <w:szCs w:val="24"/>
        </w:rPr>
      </w:pPr>
    </w:p>
    <w:p w:rsidR="00A33DEE" w:rsidRPr="00B26106" w:rsidRDefault="0013108E" w:rsidP="00B26106">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 xml:space="preserve">Insatisfeito com o resultado, o candidato contratou advogado que propôs ação ordinária contra a Universidade Estadual do Maranhão, cuja causa de pedir se assentou em dois fatos: </w:t>
      </w:r>
    </w:p>
    <w:p w:rsidR="00A33DEE"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 xml:space="preserve">a) a nota atribuída à prova de redação não pode ser mantida, haja vista que o examinador retirou pontos sem levar em consideração os argumentos alinhavados pelo candidato; </w:t>
      </w:r>
    </w:p>
    <w:p w:rsid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b) a regra editalícia prevendo reserva de vagas para as ações afirmativas padece de inconstitucionalidade em razão da violação aos arts. 1º</w:t>
      </w:r>
      <w:r w:rsidR="00B26106">
        <w:rPr>
          <w:rFonts w:ascii="Times New Roman" w:hAnsi="Times New Roman" w:cs="Times New Roman"/>
          <w:sz w:val="24"/>
          <w:szCs w:val="24"/>
        </w:rPr>
        <w:t xml:space="preserve">, III, 3º, IV, 5º, caput, I e II, 37, caput, 205, 206, caput e I, 208, </w:t>
      </w:r>
      <w:r w:rsidRPr="00B26106">
        <w:rPr>
          <w:rFonts w:ascii="Times New Roman" w:hAnsi="Times New Roman" w:cs="Times New Roman"/>
          <w:sz w:val="24"/>
          <w:szCs w:val="24"/>
        </w:rPr>
        <w:t>V da Constituição Federal.</w:t>
      </w:r>
    </w:p>
    <w:p w:rsidR="004E5889" w:rsidRDefault="0013108E" w:rsidP="004E5889">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Com base nesses argumentos, o candidato pediu a procedência da ação para que o Juízo lhe concedesse nota máxima na redação e anulasse a regra editalícia que tratava da política de cotas em virtude de sua inconstitucionalidade, determinando que a Universidade divulgasse novo resultado do vestibular e, de conseguinte, convocasse o candidato para a respectiva matrícula.</w:t>
      </w:r>
      <w:r w:rsidR="004E5889">
        <w:rPr>
          <w:rFonts w:ascii="Times New Roman" w:hAnsi="Times New Roman" w:cs="Times New Roman"/>
          <w:sz w:val="24"/>
          <w:szCs w:val="24"/>
        </w:rPr>
        <w:t xml:space="preserve"> </w:t>
      </w:r>
    </w:p>
    <w:p w:rsidR="00DA7DB9" w:rsidRPr="00B26106" w:rsidRDefault="0013108E" w:rsidP="004E5889">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Após a apresentação de defesa e a realização da instrução processual, o Juízo da Vara da Fazenda Pública julgou improcedentes os pedidos</w:t>
      </w:r>
      <w:r w:rsidR="004E5889">
        <w:rPr>
          <w:rFonts w:ascii="Times New Roman" w:hAnsi="Times New Roman" w:cs="Times New Roman"/>
          <w:sz w:val="24"/>
          <w:szCs w:val="24"/>
        </w:rPr>
        <w:t xml:space="preserve">. </w:t>
      </w:r>
      <w:r w:rsidRPr="00B26106">
        <w:rPr>
          <w:rFonts w:ascii="Times New Roman" w:hAnsi="Times New Roman" w:cs="Times New Roman"/>
          <w:sz w:val="24"/>
          <w:szCs w:val="24"/>
        </w:rPr>
        <w:t xml:space="preserve">Após sua intimação, o </w:t>
      </w:r>
      <w:r w:rsidR="00F56654">
        <w:rPr>
          <w:rFonts w:ascii="Times New Roman" w:hAnsi="Times New Roman" w:cs="Times New Roman"/>
          <w:sz w:val="24"/>
          <w:szCs w:val="24"/>
        </w:rPr>
        <w:t>advogado do candidato interpôs r</w:t>
      </w:r>
      <w:r w:rsidRPr="00B26106">
        <w:rPr>
          <w:rFonts w:ascii="Times New Roman" w:hAnsi="Times New Roman" w:cs="Times New Roman"/>
          <w:sz w:val="24"/>
          <w:szCs w:val="24"/>
        </w:rPr>
        <w:t>ecurso de Apelação Cível, alegando que o magistrado não observou a prova dos autos e tampouco reconheceu a inconstitucionalidade da regra do Edital, devolvendo para o Tribunal a análise de todos os pedidos formulados na petição inicial. Após seu pro</w:t>
      </w:r>
      <w:r w:rsidR="00F56654">
        <w:rPr>
          <w:rFonts w:ascii="Times New Roman" w:hAnsi="Times New Roman" w:cs="Times New Roman"/>
          <w:sz w:val="24"/>
          <w:szCs w:val="24"/>
        </w:rPr>
        <w:t>cessamento em primeiro grau, o r</w:t>
      </w:r>
      <w:r w:rsidRPr="00B26106">
        <w:rPr>
          <w:rFonts w:ascii="Times New Roman" w:hAnsi="Times New Roman" w:cs="Times New Roman"/>
          <w:sz w:val="24"/>
          <w:szCs w:val="24"/>
        </w:rPr>
        <w:t xml:space="preserve">ecurso foi remetido para o Tribunal de Justiça e incluído em pauta para julgamento por uma das Câmaras Cíveis. </w:t>
      </w:r>
    </w:p>
    <w:p w:rsidR="00F56654" w:rsidRDefault="00F56654" w:rsidP="00B26106">
      <w:pPr>
        <w:spacing w:after="0" w:line="360" w:lineRule="auto"/>
        <w:jc w:val="both"/>
        <w:rPr>
          <w:rFonts w:ascii="Times New Roman" w:hAnsi="Times New Roman" w:cs="Times New Roman"/>
          <w:sz w:val="24"/>
          <w:szCs w:val="24"/>
        </w:rPr>
      </w:pPr>
    </w:p>
    <w:p w:rsidR="00F41DB4"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ESPECIFICADADES DO CASE:</w:t>
      </w:r>
    </w:p>
    <w:p w:rsidR="00437A61"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 xml:space="preserve"> </w:t>
      </w:r>
    </w:p>
    <w:p w:rsidR="00437A61"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 xml:space="preserve">a) Os pedidos formulados na petição inicial são autônomos, pois acolhido qualquer deles o candidato passa a ter nota superior ao primeiro colocado das vagas destinadas às ações afirmativas; </w:t>
      </w:r>
    </w:p>
    <w:p w:rsidR="0013108E"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 xml:space="preserve">b) iniciado o julgamento pela Câmara, </w:t>
      </w:r>
      <w:proofErr w:type="gramStart"/>
      <w:r w:rsidRPr="00B26106">
        <w:rPr>
          <w:rFonts w:ascii="Times New Roman" w:hAnsi="Times New Roman" w:cs="Times New Roman"/>
          <w:sz w:val="24"/>
          <w:szCs w:val="24"/>
        </w:rPr>
        <w:t>2</w:t>
      </w:r>
      <w:proofErr w:type="gramEnd"/>
      <w:r w:rsidRPr="00B26106">
        <w:rPr>
          <w:rFonts w:ascii="Times New Roman" w:hAnsi="Times New Roman" w:cs="Times New Roman"/>
          <w:sz w:val="24"/>
          <w:szCs w:val="24"/>
        </w:rPr>
        <w:t xml:space="preserve"> Desembargadores votaram pelo reconhecimento da inconstitucionalidade da regra editalícia que trata das ações afirmativas.</w:t>
      </w:r>
    </w:p>
    <w:p w:rsidR="00F56654" w:rsidRDefault="00F56654" w:rsidP="00B26106">
      <w:pPr>
        <w:spacing w:after="0" w:line="360" w:lineRule="auto"/>
        <w:jc w:val="both"/>
        <w:rPr>
          <w:rFonts w:ascii="Times New Roman" w:hAnsi="Times New Roman" w:cs="Times New Roman"/>
          <w:sz w:val="24"/>
          <w:szCs w:val="24"/>
        </w:rPr>
      </w:pPr>
    </w:p>
    <w:p w:rsidR="00DC26E0" w:rsidRPr="00F56654" w:rsidRDefault="00F56654" w:rsidP="00B26106">
      <w:pPr>
        <w:spacing w:after="0" w:line="360" w:lineRule="auto"/>
        <w:jc w:val="both"/>
        <w:rPr>
          <w:rFonts w:ascii="Times New Roman" w:hAnsi="Times New Roman" w:cs="Times New Roman"/>
          <w:b/>
          <w:sz w:val="24"/>
          <w:szCs w:val="24"/>
        </w:rPr>
      </w:pPr>
      <w:r w:rsidRPr="00F56654">
        <w:rPr>
          <w:rFonts w:ascii="Times New Roman" w:hAnsi="Times New Roman" w:cs="Times New Roman"/>
          <w:b/>
          <w:sz w:val="24"/>
          <w:szCs w:val="24"/>
        </w:rPr>
        <w:t>1) Questão Principal</w:t>
      </w:r>
      <w:r w:rsidR="0013108E" w:rsidRPr="00F56654">
        <w:rPr>
          <w:rFonts w:ascii="Times New Roman" w:hAnsi="Times New Roman" w:cs="Times New Roman"/>
          <w:b/>
          <w:sz w:val="24"/>
          <w:szCs w:val="24"/>
        </w:rPr>
        <w:t xml:space="preserve"> </w:t>
      </w:r>
    </w:p>
    <w:p w:rsidR="00F56654" w:rsidRDefault="00F56654" w:rsidP="00F56654">
      <w:pPr>
        <w:spacing w:after="0" w:line="360" w:lineRule="auto"/>
        <w:jc w:val="both"/>
        <w:rPr>
          <w:rFonts w:ascii="Times New Roman" w:hAnsi="Times New Roman" w:cs="Times New Roman"/>
          <w:sz w:val="24"/>
          <w:szCs w:val="24"/>
        </w:rPr>
      </w:pPr>
    </w:p>
    <w:p w:rsidR="00F56654" w:rsidRDefault="0013108E" w:rsidP="002E0D0E">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 xml:space="preserve">Considerando os Direitos material e processual vigentes no país à época da intimação da sentença, assim como os modelos jurídicos doutrinários e jurisprudenciais sobre a matéria, a Apelação merece ser provida? </w:t>
      </w:r>
    </w:p>
    <w:p w:rsidR="002E0D0E" w:rsidRDefault="002E0D0E" w:rsidP="002E0D0E">
      <w:pPr>
        <w:spacing w:after="0" w:line="360" w:lineRule="auto"/>
        <w:ind w:firstLine="1134"/>
        <w:jc w:val="both"/>
        <w:rPr>
          <w:rFonts w:ascii="Times New Roman" w:hAnsi="Times New Roman" w:cs="Times New Roman"/>
          <w:sz w:val="24"/>
          <w:szCs w:val="24"/>
        </w:rPr>
      </w:pPr>
    </w:p>
    <w:p w:rsidR="00AD24AC" w:rsidRPr="00B26106" w:rsidRDefault="00F56654" w:rsidP="00F56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Primeiramente, não houve respeito ao P</w:t>
      </w:r>
      <w:r w:rsidR="00AD24AC" w:rsidRPr="00B26106">
        <w:rPr>
          <w:rFonts w:ascii="Times New Roman" w:hAnsi="Times New Roman" w:cs="Times New Roman"/>
          <w:sz w:val="24"/>
          <w:szCs w:val="24"/>
        </w:rPr>
        <w:t>rincípio da Dialeticidade. De acordo com o art. 1010, inciso III do CPC, “a apelação, interposta por petição dirigida ao juízo de primeiro grau, conterá as razões do pedido de reforma ou de decretação de nulidade”. (BRASIL, 2015). No caso em tela, o advogado interpôs apelação se utilizando das mesm</w:t>
      </w:r>
      <w:r w:rsidR="007F6E67" w:rsidRPr="00B26106">
        <w:rPr>
          <w:rFonts w:ascii="Times New Roman" w:hAnsi="Times New Roman" w:cs="Times New Roman"/>
          <w:sz w:val="24"/>
          <w:szCs w:val="24"/>
        </w:rPr>
        <w:t>as alegações da petição inicial em relação à inconstitucionalidade do edital.</w:t>
      </w:r>
    </w:p>
    <w:p w:rsidR="007F6E67" w:rsidRPr="00B26106" w:rsidRDefault="007F6E67" w:rsidP="00B26106">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Após o recebimento do recurso, este é distribuído e o rela</w:t>
      </w:r>
      <w:r w:rsidR="00F56654">
        <w:rPr>
          <w:rFonts w:ascii="Times New Roman" w:hAnsi="Times New Roman" w:cs="Times New Roman"/>
          <w:sz w:val="24"/>
          <w:szCs w:val="24"/>
        </w:rPr>
        <w:t>tor deverá decidi</w:t>
      </w:r>
      <w:r w:rsidRPr="00B26106">
        <w:rPr>
          <w:rFonts w:ascii="Times New Roman" w:hAnsi="Times New Roman" w:cs="Times New Roman"/>
          <w:sz w:val="24"/>
          <w:szCs w:val="24"/>
        </w:rPr>
        <w:t>-lo de forma monocrática se visualizar as hipóteses do art. 932, incisos III a V do CPC.</w:t>
      </w:r>
    </w:p>
    <w:p w:rsidR="00F56654" w:rsidRDefault="007F6E67" w:rsidP="00F56654">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 xml:space="preserve">De acordo com o art. 932, inciso III, incumbe ao relator “não conhecer de recurso inadmissível, prejudicado ou que </w:t>
      </w:r>
      <w:r w:rsidRPr="00B26106">
        <w:rPr>
          <w:rFonts w:ascii="Times New Roman" w:hAnsi="Times New Roman" w:cs="Times New Roman"/>
          <w:b/>
          <w:sz w:val="24"/>
          <w:szCs w:val="24"/>
        </w:rPr>
        <w:t>não tenha impugnado especificamente os fundamentos da decisão recorrida</w:t>
      </w:r>
      <w:r w:rsidR="00F56654">
        <w:rPr>
          <w:rFonts w:ascii="Times New Roman" w:hAnsi="Times New Roman" w:cs="Times New Roman"/>
          <w:sz w:val="24"/>
          <w:szCs w:val="24"/>
        </w:rPr>
        <w:t>”. (BRASIL, 2015) (grifo nosso)</w:t>
      </w:r>
      <w:r w:rsidRPr="00B26106">
        <w:rPr>
          <w:rFonts w:ascii="Times New Roman" w:hAnsi="Times New Roman" w:cs="Times New Roman"/>
          <w:sz w:val="24"/>
          <w:szCs w:val="24"/>
        </w:rPr>
        <w:t>. Ora, o advogado não impugnou os fundamentos do reconhecimento d</w:t>
      </w:r>
      <w:r w:rsidR="00A2054E" w:rsidRPr="00B26106">
        <w:rPr>
          <w:rFonts w:ascii="Times New Roman" w:hAnsi="Times New Roman" w:cs="Times New Roman"/>
          <w:sz w:val="24"/>
          <w:szCs w:val="24"/>
        </w:rPr>
        <w:t>a constitucionalidade do edital, ele utilizou as mesma</w:t>
      </w:r>
      <w:r w:rsidR="00D33354" w:rsidRPr="00B26106">
        <w:rPr>
          <w:rFonts w:ascii="Times New Roman" w:hAnsi="Times New Roman" w:cs="Times New Roman"/>
          <w:sz w:val="24"/>
          <w:szCs w:val="24"/>
        </w:rPr>
        <w:t>s</w:t>
      </w:r>
      <w:r w:rsidR="00A2054E" w:rsidRPr="00B26106">
        <w:rPr>
          <w:rFonts w:ascii="Times New Roman" w:hAnsi="Times New Roman" w:cs="Times New Roman"/>
          <w:sz w:val="24"/>
          <w:szCs w:val="24"/>
        </w:rPr>
        <w:t xml:space="preserve"> alegações da petição inicial.</w:t>
      </w:r>
    </w:p>
    <w:p w:rsidR="00EF3C91" w:rsidRPr="00B26106" w:rsidRDefault="00EF3C91" w:rsidP="00F56654">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E, segundo o inciso IV do mesmo artig</w:t>
      </w:r>
      <w:r w:rsidR="00F56654">
        <w:rPr>
          <w:rFonts w:ascii="Times New Roman" w:hAnsi="Times New Roman" w:cs="Times New Roman"/>
          <w:sz w:val="24"/>
          <w:szCs w:val="24"/>
        </w:rPr>
        <w:t xml:space="preserve">o, incumbe também ao relator </w:t>
      </w:r>
      <w:r w:rsidRPr="00B26106">
        <w:rPr>
          <w:rFonts w:ascii="Times New Roman" w:hAnsi="Times New Roman" w:cs="Times New Roman"/>
          <w:sz w:val="24"/>
          <w:szCs w:val="24"/>
        </w:rPr>
        <w:t>“negar provimento a recurso que for contrário a: b) acórdão proferido pelo Supremo Tribunal Federal ou pelo Superior Tribunal de Justiça em julgamento de recursos repetitivos”. (BRASIL, 2015).</w:t>
      </w:r>
      <w:r w:rsidR="00D33354" w:rsidRPr="00B26106">
        <w:rPr>
          <w:rFonts w:ascii="Times New Roman" w:hAnsi="Times New Roman" w:cs="Times New Roman"/>
          <w:sz w:val="24"/>
          <w:szCs w:val="24"/>
        </w:rPr>
        <w:t xml:space="preserve"> Já existe acórdão em relação à</w:t>
      </w:r>
      <w:r w:rsidR="005F68C6" w:rsidRPr="00B26106">
        <w:rPr>
          <w:rFonts w:ascii="Times New Roman" w:hAnsi="Times New Roman" w:cs="Times New Roman"/>
          <w:sz w:val="24"/>
          <w:szCs w:val="24"/>
        </w:rPr>
        <w:t xml:space="preserve"> constitucionalidade</w:t>
      </w:r>
      <w:r w:rsidR="00D33354" w:rsidRPr="00B26106">
        <w:rPr>
          <w:rFonts w:ascii="Times New Roman" w:hAnsi="Times New Roman" w:cs="Times New Roman"/>
          <w:sz w:val="24"/>
          <w:szCs w:val="24"/>
        </w:rPr>
        <w:t xml:space="preserve"> do edital e em relação à</w:t>
      </w:r>
      <w:r w:rsidR="005F68C6" w:rsidRPr="00B26106">
        <w:rPr>
          <w:rFonts w:ascii="Times New Roman" w:hAnsi="Times New Roman" w:cs="Times New Roman"/>
          <w:sz w:val="24"/>
          <w:szCs w:val="24"/>
        </w:rPr>
        <w:t xml:space="preserve"> alteração de nota em concurso público.</w:t>
      </w:r>
    </w:p>
    <w:p w:rsidR="005F68C6" w:rsidRPr="00F56654" w:rsidRDefault="005F68C6" w:rsidP="00F56654">
      <w:pPr>
        <w:spacing w:after="0" w:line="240" w:lineRule="auto"/>
        <w:ind w:left="2268"/>
        <w:jc w:val="both"/>
        <w:rPr>
          <w:rFonts w:ascii="Times New Roman" w:hAnsi="Times New Roman" w:cs="Times New Roman"/>
          <w:sz w:val="20"/>
          <w:szCs w:val="20"/>
        </w:rPr>
      </w:pPr>
      <w:r w:rsidRPr="00F56654">
        <w:rPr>
          <w:rFonts w:ascii="Times New Roman" w:hAnsi="Times New Roman" w:cs="Times New Roman"/>
          <w:sz w:val="20"/>
          <w:szCs w:val="20"/>
        </w:rPr>
        <w:t>“Atos que instituíram sistema de reserva de vagas com base em critério étnico-racial (cotas) no processo de seleção para ingresso em instituição pública de ensino superior. (...) Não contraria – ao contrário, prestigia – o princípio da igualdade material, previsto no </w:t>
      </w:r>
      <w:r w:rsidRPr="00F56654">
        <w:rPr>
          <w:rFonts w:ascii="Times New Roman" w:hAnsi="Times New Roman" w:cs="Times New Roman"/>
          <w:i/>
          <w:iCs/>
          <w:sz w:val="20"/>
          <w:szCs w:val="20"/>
        </w:rPr>
        <w:t>caput </w:t>
      </w:r>
      <w:r w:rsidRPr="00F56654">
        <w:rPr>
          <w:rFonts w:ascii="Times New Roman" w:hAnsi="Times New Roman" w:cs="Times New Roman"/>
          <w:sz w:val="20"/>
          <w:szCs w:val="20"/>
        </w:rPr>
        <w:t xml:space="preserve">do art. 5º da CR, a possibilidade de o Estado lançar mão seja de políticas de cunho universalista, que abrangem um número indeterminado de indivíduos, mediante ações de natureza estrutural, seja de ações afirmativas, que atingem grupos sociais determinados, de maneira pontual, atribuindo a estes certas vantagens, por um tempo limitado, de modo a permitir-lhes a superação de desigualdades decorrentes de situações históricas particulares. (...) Justiça social hoje, mais do que simplesmente retribuir riquezas criadas pelo esforço coletivo, significa distinguir, reconhecer e incorporar à sociedade mais ampla valores culturais diversificados, muitas vezes considerados inferiores àqueles reputados dominantes. No entanto, as políticas de ação afirmativa fundadas na discriminação reversa apenas são legítimas se a sua manutenção estiver condicionada à persistência, no tempo, do quadro de exclusão social que lhes deu origem. Caso contrário, tais políticas poderiam converter-se em benesses permanentes, instituídas em prol de determinado grupo social, mas em detrimento da coletividade como um </w:t>
      </w:r>
      <w:r w:rsidRPr="00F56654">
        <w:rPr>
          <w:rFonts w:ascii="Times New Roman" w:hAnsi="Times New Roman" w:cs="Times New Roman"/>
          <w:sz w:val="20"/>
          <w:szCs w:val="20"/>
        </w:rPr>
        <w:lastRenderedPageBreak/>
        <w:t>todo, situação – é escusado dizer – incompatível com o espírito de qualquer Constituição que se pretenda democrática, devendo, outrossim, respeitar a proporcionalidade entre os meios e</w:t>
      </w:r>
      <w:r w:rsidR="00F56654">
        <w:rPr>
          <w:rFonts w:ascii="Times New Roman" w:hAnsi="Times New Roman" w:cs="Times New Roman"/>
          <w:sz w:val="20"/>
          <w:szCs w:val="20"/>
        </w:rPr>
        <w:t xml:space="preserve">mpregados e os fins perseguidos”. </w:t>
      </w:r>
      <w:r w:rsidRPr="00F56654">
        <w:rPr>
          <w:rFonts w:ascii="Times New Roman" w:hAnsi="Times New Roman" w:cs="Times New Roman"/>
          <w:sz w:val="20"/>
          <w:szCs w:val="20"/>
        </w:rPr>
        <w:t>(</w:t>
      </w:r>
      <w:r w:rsidRPr="00F56654">
        <w:rPr>
          <w:rFonts w:ascii="Times New Roman" w:hAnsi="Times New Roman" w:cs="Times New Roman"/>
          <w:bCs/>
          <w:sz w:val="20"/>
          <w:szCs w:val="20"/>
        </w:rPr>
        <w:t>ADPF 186</w:t>
      </w:r>
      <w:r w:rsidRPr="00F56654">
        <w:rPr>
          <w:rFonts w:ascii="Times New Roman" w:hAnsi="Times New Roman" w:cs="Times New Roman"/>
          <w:sz w:val="20"/>
          <w:szCs w:val="20"/>
        </w:rPr>
        <w:t>, rel. min. </w:t>
      </w:r>
      <w:r w:rsidRPr="00F56654">
        <w:rPr>
          <w:rFonts w:ascii="Times New Roman" w:hAnsi="Times New Roman" w:cs="Times New Roman"/>
          <w:bCs/>
          <w:sz w:val="20"/>
          <w:szCs w:val="20"/>
        </w:rPr>
        <w:t>Ricardo Lewandowski</w:t>
      </w:r>
      <w:r w:rsidRPr="00F56654">
        <w:rPr>
          <w:rFonts w:ascii="Times New Roman" w:hAnsi="Times New Roman" w:cs="Times New Roman"/>
          <w:sz w:val="20"/>
          <w:szCs w:val="20"/>
        </w:rPr>
        <w:t>, julgamento em 26-4-2012, Plenário, </w:t>
      </w:r>
      <w:r w:rsidRPr="00F56654">
        <w:rPr>
          <w:rFonts w:ascii="Times New Roman" w:hAnsi="Times New Roman" w:cs="Times New Roman"/>
          <w:i/>
          <w:iCs/>
          <w:sz w:val="20"/>
          <w:szCs w:val="20"/>
        </w:rPr>
        <w:t>DJE </w:t>
      </w:r>
      <w:r w:rsidR="00F56654">
        <w:rPr>
          <w:rFonts w:ascii="Times New Roman" w:hAnsi="Times New Roman" w:cs="Times New Roman"/>
          <w:sz w:val="20"/>
          <w:szCs w:val="20"/>
        </w:rPr>
        <w:t xml:space="preserve">de 20-10-2014.). </w:t>
      </w:r>
      <w:r w:rsidRPr="00F56654">
        <w:rPr>
          <w:rFonts w:ascii="Times New Roman" w:hAnsi="Times New Roman" w:cs="Times New Roman"/>
          <w:bCs/>
          <w:sz w:val="20"/>
          <w:szCs w:val="20"/>
        </w:rPr>
        <w:t>No mesmo sentido</w:t>
      </w:r>
      <w:r w:rsidR="00F56654">
        <w:rPr>
          <w:rFonts w:ascii="Times New Roman" w:hAnsi="Times New Roman" w:cs="Times New Roman"/>
          <w:sz w:val="20"/>
          <w:szCs w:val="20"/>
        </w:rPr>
        <w:t xml:space="preserve">: </w:t>
      </w:r>
      <w:r w:rsidRPr="00F56654">
        <w:rPr>
          <w:rFonts w:ascii="Times New Roman" w:hAnsi="Times New Roman" w:cs="Times New Roman"/>
          <w:bCs/>
          <w:sz w:val="20"/>
          <w:szCs w:val="20"/>
        </w:rPr>
        <w:t>RE 597.285</w:t>
      </w:r>
      <w:r w:rsidRPr="00F56654">
        <w:rPr>
          <w:rFonts w:ascii="Times New Roman" w:hAnsi="Times New Roman" w:cs="Times New Roman"/>
          <w:sz w:val="20"/>
          <w:szCs w:val="20"/>
        </w:rPr>
        <w:t>, rel. min. </w:t>
      </w:r>
      <w:r w:rsidRPr="00F56654">
        <w:rPr>
          <w:rFonts w:ascii="Times New Roman" w:hAnsi="Times New Roman" w:cs="Times New Roman"/>
          <w:bCs/>
          <w:sz w:val="20"/>
          <w:szCs w:val="20"/>
        </w:rPr>
        <w:t>Ricardo Lewandowski</w:t>
      </w:r>
      <w:r w:rsidRPr="00F56654">
        <w:rPr>
          <w:rFonts w:ascii="Times New Roman" w:hAnsi="Times New Roman" w:cs="Times New Roman"/>
          <w:sz w:val="20"/>
          <w:szCs w:val="20"/>
        </w:rPr>
        <w:t>, julgamento em 9-5-2012, Plenário, </w:t>
      </w:r>
      <w:r w:rsidRPr="00F56654">
        <w:rPr>
          <w:rFonts w:ascii="Times New Roman" w:hAnsi="Times New Roman" w:cs="Times New Roman"/>
          <w:i/>
          <w:iCs/>
          <w:sz w:val="20"/>
          <w:szCs w:val="20"/>
        </w:rPr>
        <w:t>DJE </w:t>
      </w:r>
      <w:r w:rsidRPr="00F56654">
        <w:rPr>
          <w:rFonts w:ascii="Times New Roman" w:hAnsi="Times New Roman" w:cs="Times New Roman"/>
          <w:sz w:val="20"/>
          <w:szCs w:val="20"/>
        </w:rPr>
        <w:t>de 18-3-2014, com repercussão geral. (STF, 2014).</w:t>
      </w:r>
    </w:p>
    <w:p w:rsidR="004A27C5" w:rsidRDefault="004A27C5" w:rsidP="004A27C5">
      <w:pPr>
        <w:spacing w:after="0" w:line="240" w:lineRule="auto"/>
        <w:ind w:left="2268"/>
        <w:jc w:val="both"/>
        <w:rPr>
          <w:rFonts w:ascii="Times New Roman" w:hAnsi="Times New Roman" w:cs="Times New Roman"/>
          <w:bCs/>
          <w:sz w:val="20"/>
          <w:szCs w:val="20"/>
        </w:rPr>
      </w:pPr>
    </w:p>
    <w:p w:rsidR="00B651A9" w:rsidRDefault="00B651A9" w:rsidP="004A27C5">
      <w:pPr>
        <w:spacing w:after="0" w:line="240" w:lineRule="auto"/>
        <w:ind w:left="2268"/>
        <w:jc w:val="both"/>
        <w:rPr>
          <w:rFonts w:ascii="Times New Roman" w:hAnsi="Times New Roman" w:cs="Times New Roman"/>
          <w:bCs/>
          <w:sz w:val="20"/>
          <w:szCs w:val="20"/>
        </w:rPr>
      </w:pPr>
      <w:r w:rsidRPr="004A27C5">
        <w:rPr>
          <w:rFonts w:ascii="Times New Roman" w:hAnsi="Times New Roman" w:cs="Times New Roman"/>
          <w:bCs/>
          <w:sz w:val="20"/>
          <w:szCs w:val="20"/>
        </w:rPr>
        <w:t>“Segundo o entendimento consolidado no âmbito do</w:t>
      </w:r>
      <w:r w:rsidRPr="004A27C5">
        <w:rPr>
          <w:rFonts w:ascii="Times New Roman" w:hAnsi="Times New Roman" w:cs="Times New Roman"/>
          <w:sz w:val="20"/>
          <w:szCs w:val="20"/>
        </w:rPr>
        <w:t> </w:t>
      </w:r>
      <w:r w:rsidRPr="004A27C5">
        <w:rPr>
          <w:rFonts w:ascii="Times New Roman" w:hAnsi="Times New Roman" w:cs="Times New Roman"/>
          <w:bCs/>
          <w:sz w:val="20"/>
          <w:szCs w:val="20"/>
        </w:rPr>
        <w:t>Superior Tribunal de Justiça, bem como no do Supremo</w:t>
      </w:r>
      <w:r w:rsidRPr="004A27C5">
        <w:rPr>
          <w:rFonts w:ascii="Times New Roman" w:hAnsi="Times New Roman" w:cs="Times New Roman"/>
          <w:sz w:val="20"/>
          <w:szCs w:val="20"/>
        </w:rPr>
        <w:t> </w:t>
      </w:r>
      <w:r w:rsidRPr="004A27C5">
        <w:rPr>
          <w:rFonts w:ascii="Times New Roman" w:hAnsi="Times New Roman" w:cs="Times New Roman"/>
          <w:bCs/>
          <w:sz w:val="20"/>
          <w:szCs w:val="20"/>
        </w:rPr>
        <w:t>Tribunal Federal, é vedado ao Poder Judiciário o reexame</w:t>
      </w:r>
      <w:r w:rsidRPr="004A27C5">
        <w:rPr>
          <w:rFonts w:ascii="Times New Roman" w:hAnsi="Times New Roman" w:cs="Times New Roman"/>
          <w:sz w:val="20"/>
          <w:szCs w:val="20"/>
        </w:rPr>
        <w:t> </w:t>
      </w:r>
      <w:r w:rsidRPr="004A27C5">
        <w:rPr>
          <w:rFonts w:ascii="Times New Roman" w:hAnsi="Times New Roman" w:cs="Times New Roman"/>
          <w:bCs/>
          <w:sz w:val="20"/>
          <w:szCs w:val="20"/>
        </w:rPr>
        <w:t>dos critérios usados pela banca examinadora na elaboração,</w:t>
      </w:r>
      <w:r w:rsidRPr="004A27C5">
        <w:rPr>
          <w:rFonts w:ascii="Times New Roman" w:hAnsi="Times New Roman" w:cs="Times New Roman"/>
          <w:sz w:val="20"/>
          <w:szCs w:val="20"/>
        </w:rPr>
        <w:t> </w:t>
      </w:r>
      <w:r w:rsidRPr="004A27C5">
        <w:rPr>
          <w:rFonts w:ascii="Times New Roman" w:hAnsi="Times New Roman" w:cs="Times New Roman"/>
          <w:bCs/>
          <w:sz w:val="20"/>
          <w:szCs w:val="20"/>
        </w:rPr>
        <w:t>correção e atribuição de notas em provas de concursos</w:t>
      </w:r>
      <w:r w:rsidRPr="004A27C5">
        <w:rPr>
          <w:rFonts w:ascii="Times New Roman" w:hAnsi="Times New Roman" w:cs="Times New Roman"/>
          <w:sz w:val="20"/>
          <w:szCs w:val="20"/>
        </w:rPr>
        <w:t> </w:t>
      </w:r>
      <w:r w:rsidRPr="004A27C5">
        <w:rPr>
          <w:rFonts w:ascii="Times New Roman" w:hAnsi="Times New Roman" w:cs="Times New Roman"/>
          <w:bCs/>
          <w:sz w:val="20"/>
          <w:szCs w:val="20"/>
        </w:rPr>
        <w:t>públicos, devendo limitar-se ao exame da legalidade do</w:t>
      </w:r>
      <w:r w:rsidRPr="004A27C5">
        <w:rPr>
          <w:rFonts w:ascii="Times New Roman" w:hAnsi="Times New Roman" w:cs="Times New Roman"/>
          <w:sz w:val="20"/>
          <w:szCs w:val="20"/>
        </w:rPr>
        <w:t> </w:t>
      </w:r>
      <w:r w:rsidRPr="004A27C5">
        <w:rPr>
          <w:rFonts w:ascii="Times New Roman" w:hAnsi="Times New Roman" w:cs="Times New Roman"/>
          <w:bCs/>
          <w:sz w:val="20"/>
          <w:szCs w:val="20"/>
        </w:rPr>
        <w:t>procedimento administrativo e da observância das regras</w:t>
      </w:r>
      <w:r w:rsidRPr="004A27C5">
        <w:rPr>
          <w:rFonts w:ascii="Times New Roman" w:hAnsi="Times New Roman" w:cs="Times New Roman"/>
          <w:sz w:val="20"/>
          <w:szCs w:val="20"/>
        </w:rPr>
        <w:t> </w:t>
      </w:r>
      <w:r w:rsidRPr="004A27C5">
        <w:rPr>
          <w:rFonts w:ascii="Times New Roman" w:hAnsi="Times New Roman" w:cs="Times New Roman"/>
          <w:bCs/>
          <w:sz w:val="20"/>
          <w:szCs w:val="20"/>
        </w:rPr>
        <w:t>contidas no respectivo edital. Precedentes (...)”.</w:t>
      </w:r>
      <w:r w:rsidR="00D33354" w:rsidRPr="004A27C5">
        <w:rPr>
          <w:rFonts w:ascii="Times New Roman" w:hAnsi="Times New Roman" w:cs="Times New Roman"/>
          <w:bCs/>
          <w:sz w:val="20"/>
          <w:szCs w:val="20"/>
        </w:rPr>
        <w:t xml:space="preserve"> </w:t>
      </w:r>
      <w:r w:rsidRPr="004A27C5">
        <w:rPr>
          <w:rFonts w:ascii="Times New Roman" w:hAnsi="Times New Roman" w:cs="Times New Roman"/>
          <w:bCs/>
          <w:sz w:val="20"/>
          <w:szCs w:val="20"/>
        </w:rPr>
        <w:t>(STJ, RMS</w:t>
      </w:r>
      <w:r w:rsidRPr="004A27C5">
        <w:rPr>
          <w:rFonts w:ascii="Times New Roman" w:hAnsi="Times New Roman" w:cs="Times New Roman"/>
          <w:sz w:val="20"/>
          <w:szCs w:val="20"/>
        </w:rPr>
        <w:t> </w:t>
      </w:r>
      <w:r w:rsidRPr="004A27C5">
        <w:rPr>
          <w:rFonts w:ascii="Times New Roman" w:hAnsi="Times New Roman" w:cs="Times New Roman"/>
          <w:bCs/>
          <w:sz w:val="20"/>
          <w:szCs w:val="20"/>
        </w:rPr>
        <w:t>20984/RS, DJe 12/11/2009). (TJ-PR, 2011).</w:t>
      </w:r>
    </w:p>
    <w:p w:rsidR="004A27C5" w:rsidRPr="004A27C5" w:rsidRDefault="004A27C5" w:rsidP="004A27C5">
      <w:pPr>
        <w:spacing w:after="0" w:line="240" w:lineRule="auto"/>
        <w:ind w:left="2268"/>
        <w:jc w:val="both"/>
        <w:rPr>
          <w:rFonts w:ascii="Times New Roman" w:hAnsi="Times New Roman" w:cs="Times New Roman"/>
          <w:bCs/>
          <w:sz w:val="20"/>
          <w:szCs w:val="20"/>
        </w:rPr>
      </w:pPr>
    </w:p>
    <w:p w:rsidR="004A27C5" w:rsidRDefault="00B651A9" w:rsidP="004A27C5">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O exame das questões da prova, a pretexto de rever a sua adequação ao conteúdo programático, é vedado ao Poder Judiciário, pena de incursão no mérito administrativo, podendo, ainda, demandar dilação probatória, tendo em vista a especificidade técnica ou científica do conteúdo programático e da questão em discussão.</w:t>
      </w:r>
    </w:p>
    <w:p w:rsidR="004A27C5" w:rsidRDefault="00B651A9" w:rsidP="004A27C5">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A regra é idêntica para os que se encontram na mesma situação. Não há quebra da paridade. Onde existe a mesma regra, existe idênti</w:t>
      </w:r>
      <w:r w:rsidR="00D33354" w:rsidRPr="00B26106">
        <w:rPr>
          <w:rFonts w:ascii="Times New Roman" w:hAnsi="Times New Roman" w:cs="Times New Roman"/>
          <w:sz w:val="24"/>
          <w:szCs w:val="24"/>
        </w:rPr>
        <w:t xml:space="preserve">ca razão. É o brocardo latino: </w:t>
      </w:r>
      <w:r w:rsidR="00D33354" w:rsidRPr="004A27C5">
        <w:rPr>
          <w:rFonts w:ascii="Times New Roman" w:hAnsi="Times New Roman" w:cs="Times New Roman"/>
          <w:i/>
          <w:sz w:val="24"/>
          <w:szCs w:val="24"/>
        </w:rPr>
        <w:t>“</w:t>
      </w:r>
      <w:proofErr w:type="spellStart"/>
      <w:r w:rsidRPr="004A27C5">
        <w:rPr>
          <w:rFonts w:ascii="Times New Roman" w:hAnsi="Times New Roman" w:cs="Times New Roman"/>
          <w:i/>
          <w:sz w:val="24"/>
          <w:szCs w:val="24"/>
        </w:rPr>
        <w:t>ubi</w:t>
      </w:r>
      <w:proofErr w:type="spellEnd"/>
      <w:r w:rsidRPr="004A27C5">
        <w:rPr>
          <w:rFonts w:ascii="Times New Roman" w:hAnsi="Times New Roman" w:cs="Times New Roman"/>
          <w:i/>
          <w:sz w:val="24"/>
          <w:szCs w:val="24"/>
        </w:rPr>
        <w:t xml:space="preserve"> </w:t>
      </w:r>
      <w:proofErr w:type="spellStart"/>
      <w:r w:rsidRPr="004A27C5">
        <w:rPr>
          <w:rFonts w:ascii="Times New Roman" w:hAnsi="Times New Roman" w:cs="Times New Roman"/>
          <w:i/>
          <w:sz w:val="24"/>
          <w:szCs w:val="24"/>
        </w:rPr>
        <w:t>eadem</w:t>
      </w:r>
      <w:proofErr w:type="spellEnd"/>
      <w:r w:rsidRPr="004A27C5">
        <w:rPr>
          <w:rFonts w:ascii="Times New Roman" w:hAnsi="Times New Roman" w:cs="Times New Roman"/>
          <w:i/>
          <w:sz w:val="24"/>
          <w:szCs w:val="24"/>
        </w:rPr>
        <w:t xml:space="preserve"> </w:t>
      </w:r>
      <w:proofErr w:type="spellStart"/>
      <w:r w:rsidRPr="004A27C5">
        <w:rPr>
          <w:rFonts w:ascii="Times New Roman" w:hAnsi="Times New Roman" w:cs="Times New Roman"/>
          <w:i/>
          <w:sz w:val="24"/>
          <w:szCs w:val="24"/>
        </w:rPr>
        <w:t>ratio</w:t>
      </w:r>
      <w:proofErr w:type="spellEnd"/>
      <w:r w:rsidRPr="004A27C5">
        <w:rPr>
          <w:rFonts w:ascii="Times New Roman" w:hAnsi="Times New Roman" w:cs="Times New Roman"/>
          <w:i/>
          <w:sz w:val="24"/>
          <w:szCs w:val="24"/>
        </w:rPr>
        <w:t xml:space="preserve">, </w:t>
      </w:r>
      <w:proofErr w:type="spellStart"/>
      <w:r w:rsidRPr="004A27C5">
        <w:rPr>
          <w:rFonts w:ascii="Times New Roman" w:hAnsi="Times New Roman" w:cs="Times New Roman"/>
          <w:i/>
          <w:sz w:val="24"/>
          <w:szCs w:val="24"/>
        </w:rPr>
        <w:t>ibi</w:t>
      </w:r>
      <w:proofErr w:type="spellEnd"/>
      <w:r w:rsidRPr="004A27C5">
        <w:rPr>
          <w:rFonts w:ascii="Times New Roman" w:hAnsi="Times New Roman" w:cs="Times New Roman"/>
          <w:i/>
          <w:sz w:val="24"/>
          <w:szCs w:val="24"/>
        </w:rPr>
        <w:t xml:space="preserve"> </w:t>
      </w:r>
      <w:proofErr w:type="spellStart"/>
      <w:r w:rsidRPr="004A27C5">
        <w:rPr>
          <w:rFonts w:ascii="Times New Roman" w:hAnsi="Times New Roman" w:cs="Times New Roman"/>
          <w:i/>
          <w:sz w:val="24"/>
          <w:szCs w:val="24"/>
        </w:rPr>
        <w:t>eadem</w:t>
      </w:r>
      <w:proofErr w:type="spellEnd"/>
      <w:r w:rsidRPr="004A27C5">
        <w:rPr>
          <w:rFonts w:ascii="Times New Roman" w:hAnsi="Times New Roman" w:cs="Times New Roman"/>
          <w:i/>
          <w:sz w:val="24"/>
          <w:szCs w:val="24"/>
        </w:rPr>
        <w:t xml:space="preserve"> legis </w:t>
      </w:r>
      <w:r w:rsidR="00D33354" w:rsidRPr="004A27C5">
        <w:rPr>
          <w:rFonts w:ascii="Times New Roman" w:hAnsi="Times New Roman" w:cs="Times New Roman"/>
          <w:i/>
          <w:sz w:val="24"/>
          <w:szCs w:val="24"/>
        </w:rPr>
        <w:t>dispositivo”</w:t>
      </w:r>
      <w:r w:rsidR="004A27C5">
        <w:rPr>
          <w:rFonts w:ascii="Times New Roman" w:hAnsi="Times New Roman" w:cs="Times New Roman"/>
          <w:sz w:val="24"/>
          <w:szCs w:val="24"/>
        </w:rPr>
        <w:t xml:space="preserve">. </w:t>
      </w:r>
    </w:p>
    <w:p w:rsidR="00AD24AC" w:rsidRPr="002E0D0E" w:rsidRDefault="00B651A9" w:rsidP="002E0D0E">
      <w:pPr>
        <w:spacing w:after="0" w:line="240" w:lineRule="auto"/>
        <w:ind w:left="2268"/>
        <w:jc w:val="both"/>
        <w:rPr>
          <w:rFonts w:ascii="Times New Roman" w:hAnsi="Times New Roman" w:cs="Times New Roman"/>
          <w:sz w:val="20"/>
          <w:szCs w:val="20"/>
        </w:rPr>
      </w:pPr>
      <w:r w:rsidRPr="002E0D0E">
        <w:rPr>
          <w:rFonts w:ascii="Times New Roman" w:hAnsi="Times New Roman" w:cs="Times New Roman"/>
          <w:sz w:val="20"/>
          <w:szCs w:val="20"/>
        </w:rPr>
        <w:t>Não cabe ao Poder Judiciário, no controle jurisdicional da legalidade do concurso público, tomar o lugar da banca examinadora, nos critérios de correção de provas e de atribuição de notas a ela, quando tais critérios forem exigidos, imparcialmente, de todos os candidatos. Recurso ordinário improvido. </w:t>
      </w:r>
      <w:hyperlink r:id="rId9" w:tooltip="RECURSO ORDINARIO EM MANDADO DE SEGURANCA" w:history="1">
        <w:r w:rsidRPr="002E0D0E">
          <w:rPr>
            <w:rStyle w:val="Hyperlink"/>
            <w:rFonts w:ascii="Times New Roman" w:hAnsi="Times New Roman" w:cs="Times New Roman"/>
            <w:color w:val="auto"/>
            <w:sz w:val="20"/>
            <w:szCs w:val="20"/>
            <w:u w:val="none"/>
          </w:rPr>
          <w:t>(RMS 26.735/MG </w:t>
        </w:r>
      </w:hyperlink>
      <w:r w:rsidRPr="002E0D0E">
        <w:rPr>
          <w:rFonts w:ascii="Times New Roman" w:hAnsi="Times New Roman" w:cs="Times New Roman"/>
          <w:sz w:val="20"/>
          <w:szCs w:val="20"/>
        </w:rPr>
        <w:t xml:space="preserve">, Rel. Ministro Humberto Martins, Segunda Turma, julgado em 10/6/2008, </w:t>
      </w:r>
      <w:proofErr w:type="gramStart"/>
      <w:r w:rsidRPr="002E0D0E">
        <w:rPr>
          <w:rFonts w:ascii="Times New Roman" w:hAnsi="Times New Roman" w:cs="Times New Roman"/>
          <w:sz w:val="20"/>
          <w:szCs w:val="20"/>
        </w:rPr>
        <w:t>DJe</w:t>
      </w:r>
      <w:proofErr w:type="gramEnd"/>
      <w:r w:rsidRPr="002E0D0E">
        <w:rPr>
          <w:rFonts w:ascii="Times New Roman" w:hAnsi="Times New Roman" w:cs="Times New Roman"/>
          <w:sz w:val="20"/>
          <w:szCs w:val="20"/>
        </w:rPr>
        <w:t xml:space="preserve"> 19/6/2008). (STJ, 2010).</w:t>
      </w:r>
    </w:p>
    <w:p w:rsidR="002E0D0E" w:rsidRDefault="002E0D0E" w:rsidP="00B26106">
      <w:pPr>
        <w:spacing w:after="0" w:line="360" w:lineRule="auto"/>
        <w:jc w:val="both"/>
        <w:rPr>
          <w:rFonts w:ascii="Times New Roman" w:hAnsi="Times New Roman" w:cs="Times New Roman"/>
          <w:sz w:val="24"/>
          <w:szCs w:val="24"/>
        </w:rPr>
      </w:pPr>
    </w:p>
    <w:p w:rsidR="004A27C5" w:rsidRDefault="004A27C5" w:rsidP="00B26106">
      <w:pPr>
        <w:spacing w:after="0" w:line="360" w:lineRule="auto"/>
        <w:jc w:val="both"/>
        <w:rPr>
          <w:rFonts w:ascii="Times New Roman" w:hAnsi="Times New Roman" w:cs="Times New Roman"/>
          <w:b/>
          <w:sz w:val="24"/>
          <w:szCs w:val="24"/>
        </w:rPr>
      </w:pPr>
      <w:proofErr w:type="gramStart"/>
      <w:r w:rsidRPr="004A27C5">
        <w:rPr>
          <w:rFonts w:ascii="Times New Roman" w:hAnsi="Times New Roman" w:cs="Times New Roman"/>
          <w:b/>
          <w:sz w:val="24"/>
          <w:szCs w:val="24"/>
        </w:rPr>
        <w:t>2</w:t>
      </w:r>
      <w:proofErr w:type="gramEnd"/>
      <w:r w:rsidRPr="004A27C5">
        <w:rPr>
          <w:rFonts w:ascii="Times New Roman" w:hAnsi="Times New Roman" w:cs="Times New Roman"/>
          <w:b/>
          <w:sz w:val="24"/>
          <w:szCs w:val="24"/>
        </w:rPr>
        <w:t>) Questões Secundárias</w:t>
      </w:r>
    </w:p>
    <w:p w:rsidR="002E0D0E" w:rsidRPr="002E0D0E" w:rsidRDefault="002E0D0E" w:rsidP="00B26106">
      <w:pPr>
        <w:spacing w:after="0" w:line="360" w:lineRule="auto"/>
        <w:jc w:val="both"/>
        <w:rPr>
          <w:rFonts w:ascii="Times New Roman" w:hAnsi="Times New Roman" w:cs="Times New Roman"/>
          <w:b/>
          <w:sz w:val="24"/>
          <w:szCs w:val="24"/>
        </w:rPr>
      </w:pPr>
    </w:p>
    <w:p w:rsidR="00DC26E0"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a) Qual é o prazo para a interposição da Apelação Cível, considerando que a intimação da sentença</w:t>
      </w:r>
      <w:r w:rsidR="00DA7DB9" w:rsidRPr="00B26106">
        <w:rPr>
          <w:rFonts w:ascii="Times New Roman" w:hAnsi="Times New Roman" w:cs="Times New Roman"/>
          <w:sz w:val="24"/>
          <w:szCs w:val="24"/>
        </w:rPr>
        <w:t xml:space="preserve"> ocorreu em 21/3/2016? Explique. </w:t>
      </w:r>
    </w:p>
    <w:p w:rsidR="00D33354" w:rsidRPr="00B26106" w:rsidRDefault="00D33354" w:rsidP="00B26106">
      <w:pPr>
        <w:spacing w:after="0" w:line="360" w:lineRule="auto"/>
        <w:ind w:firstLine="1134"/>
        <w:jc w:val="both"/>
        <w:rPr>
          <w:rFonts w:ascii="Times New Roman" w:hAnsi="Times New Roman" w:cs="Times New Roman"/>
          <w:sz w:val="24"/>
          <w:szCs w:val="24"/>
        </w:rPr>
      </w:pPr>
    </w:p>
    <w:p w:rsidR="004E5889" w:rsidRPr="00664614" w:rsidRDefault="00DA7DB9" w:rsidP="004E5889">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 xml:space="preserve">Em 21 de março de 2016 já estava em vigor </w:t>
      </w:r>
      <w:r w:rsidR="004E5889">
        <w:rPr>
          <w:rFonts w:ascii="Times New Roman" w:hAnsi="Times New Roman" w:cs="Times New Roman"/>
          <w:sz w:val="24"/>
          <w:szCs w:val="24"/>
        </w:rPr>
        <w:t xml:space="preserve">o novo Código de Processo Civil. </w:t>
      </w:r>
      <w:r w:rsidR="004E5889" w:rsidRPr="00664614">
        <w:rPr>
          <w:rFonts w:ascii="Times New Roman" w:hAnsi="Times New Roman" w:cs="Times New Roman"/>
          <w:sz w:val="24"/>
          <w:szCs w:val="24"/>
        </w:rPr>
        <w:t>A Apelação deve ser int</w:t>
      </w:r>
      <w:r w:rsidR="004E5889">
        <w:rPr>
          <w:rFonts w:ascii="Times New Roman" w:hAnsi="Times New Roman" w:cs="Times New Roman"/>
          <w:sz w:val="24"/>
          <w:szCs w:val="24"/>
        </w:rPr>
        <w:t xml:space="preserve">erposta no prazo de 15 dias </w:t>
      </w:r>
      <w:r w:rsidR="004E5889" w:rsidRPr="00664614">
        <w:rPr>
          <w:rFonts w:ascii="Times New Roman" w:hAnsi="Times New Roman" w:cs="Times New Roman"/>
          <w:sz w:val="24"/>
          <w:szCs w:val="24"/>
        </w:rPr>
        <w:t>por meio d</w:t>
      </w:r>
      <w:r w:rsidR="004E5889">
        <w:rPr>
          <w:rFonts w:ascii="Times New Roman" w:hAnsi="Times New Roman" w:cs="Times New Roman"/>
          <w:sz w:val="24"/>
          <w:szCs w:val="24"/>
        </w:rPr>
        <w:t xml:space="preserve">e petição escrita, não se admitindo </w:t>
      </w:r>
      <w:r w:rsidR="004E5889" w:rsidRPr="00664614">
        <w:rPr>
          <w:rFonts w:ascii="Times New Roman" w:hAnsi="Times New Roman" w:cs="Times New Roman"/>
          <w:sz w:val="24"/>
          <w:szCs w:val="24"/>
        </w:rPr>
        <w:t xml:space="preserve">interposição oral. </w:t>
      </w:r>
      <w:r w:rsidR="004E5889">
        <w:rPr>
          <w:rFonts w:ascii="Times New Roman" w:hAnsi="Times New Roman" w:cs="Times New Roman"/>
          <w:sz w:val="24"/>
          <w:szCs w:val="24"/>
        </w:rPr>
        <w:t>De acordo com o art. 219 do CPC “</w:t>
      </w:r>
      <w:r w:rsidR="004E5889" w:rsidRPr="00664614">
        <w:rPr>
          <w:rFonts w:ascii="Times New Roman" w:hAnsi="Times New Roman" w:cs="Times New Roman"/>
          <w:sz w:val="24"/>
          <w:szCs w:val="24"/>
        </w:rPr>
        <w:t>a contag</w:t>
      </w:r>
      <w:r w:rsidR="004E5889">
        <w:rPr>
          <w:rFonts w:ascii="Times New Roman" w:hAnsi="Times New Roman" w:cs="Times New Roman"/>
          <w:sz w:val="24"/>
          <w:szCs w:val="24"/>
        </w:rPr>
        <w:t>em de prazo só se fará em dias ú</w:t>
      </w:r>
      <w:r w:rsidR="004E5889" w:rsidRPr="00664614">
        <w:rPr>
          <w:rFonts w:ascii="Times New Roman" w:hAnsi="Times New Roman" w:cs="Times New Roman"/>
          <w:sz w:val="24"/>
          <w:szCs w:val="24"/>
        </w:rPr>
        <w:t>teis</w:t>
      </w:r>
      <w:r w:rsidR="004E5889">
        <w:rPr>
          <w:rFonts w:ascii="Times New Roman" w:hAnsi="Times New Roman" w:cs="Times New Roman"/>
          <w:sz w:val="24"/>
          <w:szCs w:val="24"/>
        </w:rPr>
        <w:t xml:space="preserve">” (BRASIL, 2015). </w:t>
      </w:r>
      <w:r w:rsidR="004E5889" w:rsidRPr="00664614">
        <w:rPr>
          <w:rFonts w:ascii="Times New Roman" w:hAnsi="Times New Roman" w:cs="Times New Roman"/>
          <w:sz w:val="24"/>
          <w:szCs w:val="24"/>
        </w:rPr>
        <w:t>Portanto o prazo para interposição da Apelação Cível será até</w:t>
      </w:r>
      <w:r w:rsidR="004E5889">
        <w:rPr>
          <w:rFonts w:ascii="Times New Roman" w:hAnsi="Times New Roman" w:cs="Times New Roman"/>
          <w:sz w:val="24"/>
          <w:szCs w:val="24"/>
        </w:rPr>
        <w:t xml:space="preserve"> o</w:t>
      </w:r>
      <w:r w:rsidR="004E5889" w:rsidRPr="00664614">
        <w:rPr>
          <w:rFonts w:ascii="Times New Roman" w:hAnsi="Times New Roman" w:cs="Times New Roman"/>
          <w:sz w:val="24"/>
          <w:szCs w:val="24"/>
        </w:rPr>
        <w:t xml:space="preserve"> dia 14/04/2016.</w:t>
      </w:r>
    </w:p>
    <w:p w:rsidR="004E5889" w:rsidRDefault="004E5889" w:rsidP="004E5889">
      <w:pPr>
        <w:spacing w:after="0" w:line="360" w:lineRule="auto"/>
        <w:jc w:val="both"/>
        <w:rPr>
          <w:rFonts w:ascii="Times New Roman" w:hAnsi="Times New Roman" w:cs="Times New Roman"/>
          <w:sz w:val="24"/>
          <w:szCs w:val="24"/>
        </w:rPr>
      </w:pPr>
    </w:p>
    <w:p w:rsidR="00591F8D" w:rsidRPr="00B26106" w:rsidRDefault="0013108E" w:rsidP="004E5889">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b) Pode a Câmara Cível reconhecer a inconstitucionalidade da regra do Edital e dar provimento à Apelação Cível? Explique</w:t>
      </w:r>
      <w:r w:rsidR="00DA7DB9" w:rsidRPr="00B26106">
        <w:rPr>
          <w:rFonts w:ascii="Times New Roman" w:hAnsi="Times New Roman" w:cs="Times New Roman"/>
          <w:sz w:val="24"/>
          <w:szCs w:val="24"/>
        </w:rPr>
        <w:t xml:space="preserve">. </w:t>
      </w:r>
    </w:p>
    <w:p w:rsidR="00F41DB4" w:rsidRPr="00B26106" w:rsidRDefault="00F41DB4" w:rsidP="00B26106">
      <w:pPr>
        <w:spacing w:after="0" w:line="360" w:lineRule="auto"/>
        <w:jc w:val="both"/>
        <w:rPr>
          <w:rFonts w:ascii="Times New Roman" w:hAnsi="Times New Roman" w:cs="Times New Roman"/>
          <w:sz w:val="24"/>
          <w:szCs w:val="24"/>
        </w:rPr>
      </w:pPr>
    </w:p>
    <w:p w:rsidR="004E5889" w:rsidRDefault="00386E5D" w:rsidP="004E5889">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Não. A</w:t>
      </w:r>
      <w:r w:rsidR="00DA7DB9" w:rsidRPr="00B26106">
        <w:rPr>
          <w:rFonts w:ascii="Times New Roman" w:hAnsi="Times New Roman" w:cs="Times New Roman"/>
          <w:sz w:val="24"/>
          <w:szCs w:val="24"/>
        </w:rPr>
        <w:t xml:space="preserve"> Câmara </w:t>
      </w:r>
      <w:r w:rsidRPr="00B26106">
        <w:rPr>
          <w:rFonts w:ascii="Times New Roman" w:hAnsi="Times New Roman" w:cs="Times New Roman"/>
          <w:sz w:val="24"/>
          <w:szCs w:val="24"/>
        </w:rPr>
        <w:t>só tem competência para</w:t>
      </w:r>
      <w:r w:rsidR="00DA7DB9" w:rsidRPr="00B26106">
        <w:rPr>
          <w:rFonts w:ascii="Times New Roman" w:hAnsi="Times New Roman" w:cs="Times New Roman"/>
          <w:sz w:val="24"/>
          <w:szCs w:val="24"/>
        </w:rPr>
        <w:t xml:space="preserve"> reconhecer a constitucionalidade. Só quem pode reconhec</w:t>
      </w:r>
      <w:r w:rsidR="004E5889">
        <w:rPr>
          <w:rFonts w:ascii="Times New Roman" w:hAnsi="Times New Roman" w:cs="Times New Roman"/>
          <w:sz w:val="24"/>
          <w:szCs w:val="24"/>
        </w:rPr>
        <w:t>er a inconstitucionalidade é o p</w:t>
      </w:r>
      <w:r w:rsidR="00DA7DB9" w:rsidRPr="00B26106">
        <w:rPr>
          <w:rFonts w:ascii="Times New Roman" w:hAnsi="Times New Roman" w:cs="Times New Roman"/>
          <w:sz w:val="24"/>
          <w:szCs w:val="24"/>
        </w:rPr>
        <w:t>leno.</w:t>
      </w:r>
      <w:r w:rsidR="0013108E" w:rsidRPr="00B26106">
        <w:rPr>
          <w:rFonts w:ascii="Times New Roman" w:hAnsi="Times New Roman" w:cs="Times New Roman"/>
          <w:sz w:val="24"/>
          <w:szCs w:val="24"/>
        </w:rPr>
        <w:t xml:space="preserve"> </w:t>
      </w:r>
      <w:r w:rsidR="00591F8D" w:rsidRPr="00B26106">
        <w:rPr>
          <w:rFonts w:ascii="Times New Roman" w:hAnsi="Times New Roman" w:cs="Times New Roman"/>
          <w:sz w:val="24"/>
          <w:szCs w:val="24"/>
        </w:rPr>
        <w:t xml:space="preserve">De acordo com o art. 97 da CF/88 </w:t>
      </w:r>
      <w:r w:rsidR="00591F8D" w:rsidRPr="004E5889">
        <w:rPr>
          <w:rFonts w:ascii="Times New Roman" w:hAnsi="Times New Roman" w:cs="Times New Roman"/>
          <w:sz w:val="24"/>
          <w:szCs w:val="24"/>
        </w:rPr>
        <w:t>(full bank):</w:t>
      </w:r>
      <w:r w:rsidR="004E5889">
        <w:rPr>
          <w:rFonts w:ascii="Times New Roman" w:hAnsi="Times New Roman" w:cs="Times New Roman"/>
          <w:sz w:val="24"/>
          <w:szCs w:val="24"/>
        </w:rPr>
        <w:t xml:space="preserve"> </w:t>
      </w:r>
      <w:r w:rsidR="00591F8D" w:rsidRPr="00B26106">
        <w:rPr>
          <w:rFonts w:ascii="Times New Roman" w:hAnsi="Times New Roman" w:cs="Times New Roman"/>
          <w:sz w:val="24"/>
          <w:szCs w:val="24"/>
        </w:rPr>
        <w:t>“</w:t>
      </w:r>
      <w:r w:rsidR="004E5889">
        <w:rPr>
          <w:rFonts w:ascii="Times New Roman" w:hAnsi="Times New Roman" w:cs="Times New Roman"/>
          <w:sz w:val="24"/>
          <w:szCs w:val="24"/>
        </w:rPr>
        <w:t>S</w:t>
      </w:r>
      <w:r w:rsidRPr="00B26106">
        <w:rPr>
          <w:rFonts w:ascii="Times New Roman" w:hAnsi="Times New Roman" w:cs="Times New Roman"/>
          <w:sz w:val="24"/>
          <w:szCs w:val="24"/>
        </w:rPr>
        <w:t>omente</w:t>
      </w:r>
      <w:r w:rsidR="00591F8D" w:rsidRPr="00B26106">
        <w:rPr>
          <w:rFonts w:ascii="Times New Roman" w:hAnsi="Times New Roman" w:cs="Times New Roman"/>
          <w:sz w:val="24"/>
          <w:szCs w:val="24"/>
        </w:rPr>
        <w:t xml:space="preserve"> pelo voto da maioria absoluta de seus membros do respectivo órgão especial poderão os tribunais declarar a inconstitucionalidade de lei ou ato normativo do Poder Público</w:t>
      </w:r>
      <w:r w:rsidR="001348DF" w:rsidRPr="00B26106">
        <w:rPr>
          <w:rFonts w:ascii="Times New Roman" w:hAnsi="Times New Roman" w:cs="Times New Roman"/>
          <w:sz w:val="24"/>
          <w:szCs w:val="24"/>
        </w:rPr>
        <w:t>”</w:t>
      </w:r>
      <w:r w:rsidR="00591F8D" w:rsidRPr="00B26106">
        <w:rPr>
          <w:rFonts w:ascii="Times New Roman" w:hAnsi="Times New Roman" w:cs="Times New Roman"/>
          <w:sz w:val="24"/>
          <w:szCs w:val="24"/>
        </w:rPr>
        <w:t>.</w:t>
      </w:r>
      <w:r w:rsidR="001348DF" w:rsidRPr="00B26106">
        <w:rPr>
          <w:rFonts w:ascii="Times New Roman" w:hAnsi="Times New Roman" w:cs="Times New Roman"/>
          <w:sz w:val="24"/>
          <w:szCs w:val="24"/>
        </w:rPr>
        <w:t xml:space="preserve"> (BRASIL, 1988).</w:t>
      </w:r>
    </w:p>
    <w:p w:rsidR="00386E5D" w:rsidRPr="00B26106" w:rsidRDefault="00386E5D" w:rsidP="004E5889">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Existe, porém, u</w:t>
      </w:r>
      <w:r w:rsidR="004E5889">
        <w:rPr>
          <w:rFonts w:ascii="Times New Roman" w:hAnsi="Times New Roman" w:cs="Times New Roman"/>
          <w:sz w:val="24"/>
          <w:szCs w:val="24"/>
        </w:rPr>
        <w:t>ma situação em que a Câmara Cível</w:t>
      </w:r>
      <w:r w:rsidRPr="00B26106">
        <w:rPr>
          <w:rFonts w:ascii="Times New Roman" w:hAnsi="Times New Roman" w:cs="Times New Roman"/>
          <w:sz w:val="24"/>
          <w:szCs w:val="24"/>
        </w:rPr>
        <w:t xml:space="preserve"> pode reconhecer a inconstitucionalidade da norma impugnada. Isso ocorre quando o pleno ou o órgão especial já tenha analisado o caso e decidido sobre o incidente. Quando isso ocorre, não há mais a necessidade de a Câmara novamente submeter a questão para o pleno, ela já pode aplicar o entendimento que já foi firmado.</w:t>
      </w:r>
    </w:p>
    <w:p w:rsidR="00A2054E" w:rsidRPr="004E5889" w:rsidRDefault="00A2054E" w:rsidP="004E5889">
      <w:pPr>
        <w:spacing w:after="0" w:line="360" w:lineRule="auto"/>
        <w:ind w:firstLine="1134"/>
        <w:jc w:val="both"/>
        <w:rPr>
          <w:rFonts w:ascii="Times New Roman" w:hAnsi="Times New Roman" w:cs="Times New Roman"/>
          <w:sz w:val="24"/>
          <w:szCs w:val="24"/>
        </w:rPr>
      </w:pPr>
      <w:r w:rsidRPr="004E5889">
        <w:rPr>
          <w:rFonts w:ascii="Times New Roman" w:hAnsi="Times New Roman" w:cs="Times New Roman"/>
          <w:sz w:val="24"/>
          <w:szCs w:val="24"/>
        </w:rPr>
        <w:t>Bem, já existe entendimento firmado pela constitucionalidade do edital.</w:t>
      </w:r>
      <w:r w:rsidR="004E5889" w:rsidRPr="004E5889">
        <w:rPr>
          <w:rFonts w:ascii="Times New Roman" w:hAnsi="Times New Roman" w:cs="Times New Roman"/>
          <w:sz w:val="24"/>
          <w:szCs w:val="24"/>
        </w:rPr>
        <w:t xml:space="preserve"> </w:t>
      </w:r>
      <w:r w:rsidRPr="004E5889">
        <w:rPr>
          <w:rFonts w:ascii="Times New Roman" w:hAnsi="Times New Roman" w:cs="Times New Roman"/>
          <w:sz w:val="24"/>
          <w:szCs w:val="24"/>
        </w:rPr>
        <w:t>Ademais, os 2 desembargadores que votaram pela inconstitucionalidade incorreram em erro de competência, pois apenas o pleno é competente para tanto.</w:t>
      </w:r>
    </w:p>
    <w:p w:rsidR="004E5889" w:rsidRDefault="004E5889" w:rsidP="00B26106">
      <w:pPr>
        <w:spacing w:after="0" w:line="360" w:lineRule="auto"/>
        <w:jc w:val="both"/>
        <w:rPr>
          <w:rFonts w:ascii="Times New Roman" w:hAnsi="Times New Roman" w:cs="Times New Roman"/>
          <w:b/>
          <w:sz w:val="24"/>
          <w:szCs w:val="24"/>
        </w:rPr>
      </w:pPr>
    </w:p>
    <w:p w:rsidR="001842AD"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 xml:space="preserve">c) Caso não seja possível, qual é o procedimento a ser adotado pelo órgão fracionário do Tribunal? </w:t>
      </w:r>
    </w:p>
    <w:p w:rsidR="002E0D0E" w:rsidRDefault="002E0D0E" w:rsidP="002E0D0E">
      <w:pPr>
        <w:spacing w:after="0" w:line="360" w:lineRule="auto"/>
        <w:jc w:val="both"/>
        <w:rPr>
          <w:rFonts w:ascii="Times New Roman" w:hAnsi="Times New Roman" w:cs="Times New Roman"/>
          <w:sz w:val="24"/>
          <w:szCs w:val="24"/>
        </w:rPr>
      </w:pPr>
    </w:p>
    <w:p w:rsidR="002E0D0E" w:rsidRPr="002B569F" w:rsidRDefault="002E0D0E" w:rsidP="002E0D0E">
      <w:pPr>
        <w:spacing w:after="0" w:line="360" w:lineRule="auto"/>
        <w:ind w:firstLine="1134"/>
        <w:jc w:val="both"/>
        <w:rPr>
          <w:rFonts w:ascii="Times New Roman" w:hAnsi="Times New Roman" w:cs="Times New Roman"/>
          <w:sz w:val="24"/>
          <w:szCs w:val="24"/>
        </w:rPr>
      </w:pPr>
      <w:r w:rsidRPr="002B569F">
        <w:rPr>
          <w:rFonts w:ascii="Times New Roman" w:hAnsi="Times New Roman" w:cs="Times New Roman"/>
          <w:sz w:val="24"/>
          <w:szCs w:val="24"/>
        </w:rPr>
        <w:t>De acord</w:t>
      </w:r>
      <w:r>
        <w:rPr>
          <w:rFonts w:ascii="Times New Roman" w:hAnsi="Times New Roman" w:cs="Times New Roman"/>
          <w:sz w:val="24"/>
          <w:szCs w:val="24"/>
        </w:rPr>
        <w:t xml:space="preserve">o com </w:t>
      </w:r>
      <w:r w:rsidRPr="002B569F">
        <w:rPr>
          <w:rFonts w:ascii="Times New Roman" w:hAnsi="Times New Roman" w:cs="Times New Roman"/>
          <w:sz w:val="24"/>
          <w:szCs w:val="24"/>
        </w:rPr>
        <w:t>Barroso (2012</w:t>
      </w:r>
      <w:r>
        <w:rPr>
          <w:rFonts w:ascii="Times New Roman" w:hAnsi="Times New Roman" w:cs="Times New Roman"/>
          <w:sz w:val="24"/>
          <w:szCs w:val="24"/>
        </w:rPr>
        <w:t>), havendo argui</w:t>
      </w:r>
      <w:r w:rsidRPr="002B569F">
        <w:rPr>
          <w:rFonts w:ascii="Times New Roman" w:hAnsi="Times New Roman" w:cs="Times New Roman"/>
          <w:sz w:val="24"/>
          <w:szCs w:val="24"/>
        </w:rPr>
        <w:t xml:space="preserve">ção de inconstitucionalidade e existindo prévia manifestação do plenário ou do órgão especial do próprio tribunal ou do Supremo Tribunal Federal acerca da questão incidental, o órgão </w:t>
      </w:r>
      <w:r>
        <w:rPr>
          <w:rFonts w:ascii="Times New Roman" w:hAnsi="Times New Roman" w:cs="Times New Roman"/>
          <w:sz w:val="24"/>
          <w:szCs w:val="24"/>
        </w:rPr>
        <w:t xml:space="preserve">fracionário, no caso em questão, a Câmara Cível, </w:t>
      </w:r>
      <w:r w:rsidRPr="002B569F">
        <w:rPr>
          <w:rFonts w:ascii="Times New Roman" w:hAnsi="Times New Roman" w:cs="Times New Roman"/>
          <w:sz w:val="24"/>
          <w:szCs w:val="24"/>
        </w:rPr>
        <w:t>não subme</w:t>
      </w:r>
      <w:r>
        <w:rPr>
          <w:rFonts w:ascii="Times New Roman" w:hAnsi="Times New Roman" w:cs="Times New Roman"/>
          <w:sz w:val="24"/>
          <w:szCs w:val="24"/>
        </w:rPr>
        <w:t>terá ao plenário a argu</w:t>
      </w:r>
      <w:r w:rsidRPr="002B569F">
        <w:rPr>
          <w:rFonts w:ascii="Times New Roman" w:hAnsi="Times New Roman" w:cs="Times New Roman"/>
          <w:sz w:val="24"/>
          <w:szCs w:val="24"/>
        </w:rPr>
        <w:t xml:space="preserve">ição de inconstitucionalidade, podendo declará-la desde logo. </w:t>
      </w:r>
    </w:p>
    <w:p w:rsidR="002E0D0E" w:rsidRPr="002B569F" w:rsidRDefault="002E0D0E" w:rsidP="002E0D0E">
      <w:pPr>
        <w:spacing w:after="0" w:line="360" w:lineRule="auto"/>
        <w:ind w:firstLine="1134"/>
        <w:jc w:val="both"/>
        <w:rPr>
          <w:rFonts w:ascii="Times New Roman" w:hAnsi="Times New Roman" w:cs="Times New Roman"/>
          <w:sz w:val="24"/>
          <w:szCs w:val="24"/>
        </w:rPr>
      </w:pPr>
      <w:r w:rsidRPr="002B569F">
        <w:rPr>
          <w:rFonts w:ascii="Times New Roman" w:hAnsi="Times New Roman" w:cs="Times New Roman"/>
          <w:sz w:val="24"/>
          <w:szCs w:val="24"/>
        </w:rPr>
        <w:t>Não havendo esta possibilidade, o procedimento adotado pelo órgão fracionário do Tribunal, segundo</w:t>
      </w:r>
      <w:r w:rsidR="00043F0D">
        <w:rPr>
          <w:rFonts w:ascii="Times New Roman" w:hAnsi="Times New Roman" w:cs="Times New Roman"/>
          <w:sz w:val="24"/>
          <w:szCs w:val="24"/>
        </w:rPr>
        <w:t xml:space="preserve"> o art.</w:t>
      </w:r>
      <w:r w:rsidRPr="002B569F">
        <w:rPr>
          <w:rFonts w:ascii="Times New Roman" w:hAnsi="Times New Roman" w:cs="Times New Roman"/>
          <w:sz w:val="24"/>
          <w:szCs w:val="24"/>
        </w:rPr>
        <w:t xml:space="preserve"> 949 do Cód</w:t>
      </w:r>
      <w:r>
        <w:rPr>
          <w:rFonts w:ascii="Times New Roman" w:hAnsi="Times New Roman" w:cs="Times New Roman"/>
          <w:sz w:val="24"/>
          <w:szCs w:val="24"/>
        </w:rPr>
        <w:t>igo de Processo Civil, se a argu</w:t>
      </w:r>
      <w:r w:rsidRPr="002B569F">
        <w:rPr>
          <w:rFonts w:ascii="Times New Roman" w:hAnsi="Times New Roman" w:cs="Times New Roman"/>
          <w:sz w:val="24"/>
          <w:szCs w:val="24"/>
        </w:rPr>
        <w:t xml:space="preserve">ição for rejeitada, dar-se-á prosseguimento ao julgamento. Porém, sendo acolhida, “a questão será submetida ao plenário do tribunal ou ao seu órgão especial”. (BRASIL, 2015). </w:t>
      </w:r>
    </w:p>
    <w:p w:rsidR="002E0D0E" w:rsidRDefault="002E0D0E" w:rsidP="002E0D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Verificado o acolhimento da argu</w:t>
      </w:r>
      <w:r w:rsidRPr="002B569F">
        <w:rPr>
          <w:rFonts w:ascii="Times New Roman" w:hAnsi="Times New Roman" w:cs="Times New Roman"/>
          <w:sz w:val="24"/>
          <w:szCs w:val="24"/>
        </w:rPr>
        <w:t>ição e o órgão fracionário submetendo a cópia do acórdão ao plenário, de acordo com Barroso (2012), o processo ficará suspenso na Câmara Cível aguardando a deliberação do pleno a respeito da questão constitucional.  Declarada ou não inconstitucionalidade, seguirá o julgamento do caso concreto no órgão fracionário, “tendo como premissa lógica, a decisão proferida pelo tribunal: se a norma tiver sido declarada inconstitucional, não será aplicada. Na hipótese contrária, incidirá regularmente sobre o c</w:t>
      </w:r>
      <w:r>
        <w:rPr>
          <w:rFonts w:ascii="Times New Roman" w:hAnsi="Times New Roman" w:cs="Times New Roman"/>
          <w:sz w:val="24"/>
          <w:szCs w:val="24"/>
        </w:rPr>
        <w:t>aso concreto”. (BARROSO, 2012. p</w:t>
      </w:r>
      <w:r w:rsidRPr="002B569F">
        <w:rPr>
          <w:rFonts w:ascii="Times New Roman" w:hAnsi="Times New Roman" w:cs="Times New Roman"/>
          <w:sz w:val="24"/>
          <w:szCs w:val="24"/>
        </w:rPr>
        <w:t xml:space="preserve">. 124). </w:t>
      </w:r>
    </w:p>
    <w:p w:rsidR="002E0D0E" w:rsidRDefault="002E0D0E" w:rsidP="00B26106">
      <w:pPr>
        <w:spacing w:after="0" w:line="360" w:lineRule="auto"/>
        <w:jc w:val="both"/>
        <w:rPr>
          <w:rFonts w:ascii="Times New Roman" w:hAnsi="Times New Roman" w:cs="Times New Roman"/>
          <w:sz w:val="24"/>
          <w:szCs w:val="24"/>
        </w:rPr>
      </w:pPr>
    </w:p>
    <w:p w:rsidR="0013108E" w:rsidRPr="00B26106" w:rsidRDefault="0013108E" w:rsidP="00B26106">
      <w:pPr>
        <w:spacing w:after="0" w:line="360" w:lineRule="auto"/>
        <w:jc w:val="both"/>
        <w:rPr>
          <w:rFonts w:ascii="Times New Roman" w:hAnsi="Times New Roman" w:cs="Times New Roman"/>
          <w:sz w:val="24"/>
          <w:szCs w:val="24"/>
        </w:rPr>
      </w:pPr>
      <w:r w:rsidRPr="00B26106">
        <w:rPr>
          <w:rFonts w:ascii="Times New Roman" w:hAnsi="Times New Roman" w:cs="Times New Roman"/>
          <w:sz w:val="24"/>
          <w:szCs w:val="24"/>
        </w:rPr>
        <w:t>d) Pode a Câmara Cível aumentar a nota do candidato na prova de redação? Explique</w:t>
      </w:r>
      <w:r w:rsidR="009F3437" w:rsidRPr="00B26106">
        <w:rPr>
          <w:rFonts w:ascii="Times New Roman" w:hAnsi="Times New Roman" w:cs="Times New Roman"/>
          <w:sz w:val="24"/>
          <w:szCs w:val="24"/>
        </w:rPr>
        <w:t>.</w:t>
      </w:r>
      <w:r w:rsidR="00F41DB4" w:rsidRPr="00B26106">
        <w:rPr>
          <w:rFonts w:ascii="Times New Roman" w:hAnsi="Times New Roman" w:cs="Times New Roman"/>
          <w:sz w:val="24"/>
          <w:szCs w:val="24"/>
        </w:rPr>
        <w:t xml:space="preserve"> </w:t>
      </w:r>
    </w:p>
    <w:p w:rsidR="00F41DB4" w:rsidRPr="00B26106" w:rsidRDefault="00F41DB4" w:rsidP="00B26106">
      <w:pPr>
        <w:spacing w:after="0" w:line="360" w:lineRule="auto"/>
        <w:jc w:val="both"/>
        <w:rPr>
          <w:rFonts w:ascii="Times New Roman" w:hAnsi="Times New Roman" w:cs="Times New Roman"/>
          <w:sz w:val="24"/>
          <w:szCs w:val="24"/>
        </w:rPr>
      </w:pPr>
    </w:p>
    <w:p w:rsidR="009F3437" w:rsidRPr="00B26106" w:rsidRDefault="009F3437" w:rsidP="00B26106">
      <w:pPr>
        <w:spacing w:after="0" w:line="360" w:lineRule="auto"/>
        <w:ind w:firstLine="1134"/>
        <w:jc w:val="both"/>
        <w:rPr>
          <w:rFonts w:ascii="Times New Roman" w:hAnsi="Times New Roman" w:cs="Times New Roman"/>
          <w:sz w:val="24"/>
          <w:szCs w:val="24"/>
        </w:rPr>
      </w:pPr>
      <w:r w:rsidRPr="00B26106">
        <w:rPr>
          <w:rFonts w:ascii="Times New Roman" w:hAnsi="Times New Roman" w:cs="Times New Roman"/>
          <w:sz w:val="24"/>
          <w:szCs w:val="24"/>
        </w:rPr>
        <w:t>Não. Já existe entendimento consolidado nos tribunais superiores negando essa competência.</w:t>
      </w:r>
    </w:p>
    <w:p w:rsidR="002E0D0E" w:rsidRDefault="00B27849" w:rsidP="002E0D0E">
      <w:pPr>
        <w:spacing w:after="0" w:line="240" w:lineRule="auto"/>
        <w:ind w:left="2268"/>
        <w:jc w:val="both"/>
        <w:rPr>
          <w:rFonts w:ascii="Times New Roman" w:hAnsi="Times New Roman" w:cs="Times New Roman"/>
          <w:bCs/>
          <w:sz w:val="20"/>
          <w:szCs w:val="20"/>
        </w:rPr>
      </w:pPr>
      <w:r w:rsidRPr="002E0D0E">
        <w:rPr>
          <w:rFonts w:ascii="Times New Roman" w:hAnsi="Times New Roman" w:cs="Times New Roman"/>
          <w:bCs/>
          <w:sz w:val="20"/>
          <w:szCs w:val="20"/>
        </w:rPr>
        <w:t>“Segundo o entendimento consolidado no âmbito do</w:t>
      </w:r>
      <w:r w:rsidRPr="002E0D0E">
        <w:rPr>
          <w:rFonts w:ascii="Times New Roman" w:hAnsi="Times New Roman" w:cs="Times New Roman"/>
          <w:sz w:val="20"/>
          <w:szCs w:val="20"/>
        </w:rPr>
        <w:t> </w:t>
      </w:r>
      <w:r w:rsidRPr="002E0D0E">
        <w:rPr>
          <w:rFonts w:ascii="Times New Roman" w:hAnsi="Times New Roman" w:cs="Times New Roman"/>
          <w:bCs/>
          <w:sz w:val="20"/>
          <w:szCs w:val="20"/>
        </w:rPr>
        <w:t>Superior Tribunal de Justiça, bem como no do Supremo</w:t>
      </w:r>
      <w:r w:rsidRPr="002E0D0E">
        <w:rPr>
          <w:rFonts w:ascii="Times New Roman" w:hAnsi="Times New Roman" w:cs="Times New Roman"/>
          <w:sz w:val="20"/>
          <w:szCs w:val="20"/>
        </w:rPr>
        <w:t> </w:t>
      </w:r>
      <w:r w:rsidRPr="002E0D0E">
        <w:rPr>
          <w:rFonts w:ascii="Times New Roman" w:hAnsi="Times New Roman" w:cs="Times New Roman"/>
          <w:bCs/>
          <w:sz w:val="20"/>
          <w:szCs w:val="20"/>
        </w:rPr>
        <w:t>Tribunal Federal, é vedado ao Poder Judiciário o reexame</w:t>
      </w:r>
      <w:r w:rsidRPr="002E0D0E">
        <w:rPr>
          <w:rFonts w:ascii="Times New Roman" w:hAnsi="Times New Roman" w:cs="Times New Roman"/>
          <w:sz w:val="20"/>
          <w:szCs w:val="20"/>
        </w:rPr>
        <w:t> </w:t>
      </w:r>
      <w:r w:rsidRPr="002E0D0E">
        <w:rPr>
          <w:rFonts w:ascii="Times New Roman" w:hAnsi="Times New Roman" w:cs="Times New Roman"/>
          <w:bCs/>
          <w:sz w:val="20"/>
          <w:szCs w:val="20"/>
        </w:rPr>
        <w:t>dos critérios usados pela banca examinadora na elaboração,</w:t>
      </w:r>
      <w:r w:rsidRPr="002E0D0E">
        <w:rPr>
          <w:rFonts w:ascii="Times New Roman" w:hAnsi="Times New Roman" w:cs="Times New Roman"/>
          <w:sz w:val="20"/>
          <w:szCs w:val="20"/>
        </w:rPr>
        <w:t> </w:t>
      </w:r>
      <w:r w:rsidRPr="002E0D0E">
        <w:rPr>
          <w:rFonts w:ascii="Times New Roman" w:hAnsi="Times New Roman" w:cs="Times New Roman"/>
          <w:bCs/>
          <w:sz w:val="20"/>
          <w:szCs w:val="20"/>
        </w:rPr>
        <w:t>correção e atribuição de notas em provas de concursos</w:t>
      </w:r>
      <w:r w:rsidRPr="002E0D0E">
        <w:rPr>
          <w:rFonts w:ascii="Times New Roman" w:hAnsi="Times New Roman" w:cs="Times New Roman"/>
          <w:sz w:val="20"/>
          <w:szCs w:val="20"/>
        </w:rPr>
        <w:t> </w:t>
      </w:r>
      <w:r w:rsidRPr="002E0D0E">
        <w:rPr>
          <w:rFonts w:ascii="Times New Roman" w:hAnsi="Times New Roman" w:cs="Times New Roman"/>
          <w:bCs/>
          <w:sz w:val="20"/>
          <w:szCs w:val="20"/>
        </w:rPr>
        <w:t>públicos, devendo limitar-se ao exame da legalidade do</w:t>
      </w:r>
      <w:r w:rsidRPr="002E0D0E">
        <w:rPr>
          <w:rFonts w:ascii="Times New Roman" w:hAnsi="Times New Roman" w:cs="Times New Roman"/>
          <w:sz w:val="20"/>
          <w:szCs w:val="20"/>
        </w:rPr>
        <w:t> </w:t>
      </w:r>
      <w:r w:rsidRPr="002E0D0E">
        <w:rPr>
          <w:rFonts w:ascii="Times New Roman" w:hAnsi="Times New Roman" w:cs="Times New Roman"/>
          <w:bCs/>
          <w:sz w:val="20"/>
          <w:szCs w:val="20"/>
        </w:rPr>
        <w:t>procedimento administrativo e da observância das regras</w:t>
      </w:r>
      <w:r w:rsidRPr="002E0D0E">
        <w:rPr>
          <w:rFonts w:ascii="Times New Roman" w:hAnsi="Times New Roman" w:cs="Times New Roman"/>
          <w:sz w:val="20"/>
          <w:szCs w:val="20"/>
        </w:rPr>
        <w:t> </w:t>
      </w:r>
      <w:r w:rsidRPr="002E0D0E">
        <w:rPr>
          <w:rFonts w:ascii="Times New Roman" w:hAnsi="Times New Roman" w:cs="Times New Roman"/>
          <w:bCs/>
          <w:sz w:val="20"/>
          <w:szCs w:val="20"/>
        </w:rPr>
        <w:t>contidas no respectivo edital. Precedentes (...)”.</w:t>
      </w:r>
      <w:r w:rsidR="00F41DB4" w:rsidRPr="002E0D0E">
        <w:rPr>
          <w:rFonts w:ascii="Times New Roman" w:hAnsi="Times New Roman" w:cs="Times New Roman"/>
          <w:bCs/>
          <w:sz w:val="20"/>
          <w:szCs w:val="20"/>
        </w:rPr>
        <w:t xml:space="preserve"> </w:t>
      </w:r>
      <w:r w:rsidRPr="002E0D0E">
        <w:rPr>
          <w:rFonts w:ascii="Times New Roman" w:hAnsi="Times New Roman" w:cs="Times New Roman"/>
          <w:bCs/>
          <w:sz w:val="20"/>
          <w:szCs w:val="20"/>
        </w:rPr>
        <w:t>(STJ, RMS</w:t>
      </w:r>
      <w:r w:rsidRPr="002E0D0E">
        <w:rPr>
          <w:rFonts w:ascii="Times New Roman" w:hAnsi="Times New Roman" w:cs="Times New Roman"/>
          <w:sz w:val="20"/>
          <w:szCs w:val="20"/>
        </w:rPr>
        <w:t> </w:t>
      </w:r>
      <w:r w:rsidRPr="002E0D0E">
        <w:rPr>
          <w:rFonts w:ascii="Times New Roman" w:hAnsi="Times New Roman" w:cs="Times New Roman"/>
          <w:bCs/>
          <w:sz w:val="20"/>
          <w:szCs w:val="20"/>
        </w:rPr>
        <w:t xml:space="preserve">20984/RS, </w:t>
      </w:r>
      <w:proofErr w:type="spellStart"/>
      <w:proofErr w:type="gramStart"/>
      <w:r w:rsidRPr="002E0D0E">
        <w:rPr>
          <w:rFonts w:ascii="Times New Roman" w:hAnsi="Times New Roman" w:cs="Times New Roman"/>
          <w:bCs/>
          <w:sz w:val="20"/>
          <w:szCs w:val="20"/>
        </w:rPr>
        <w:t>DJe</w:t>
      </w:r>
      <w:proofErr w:type="spellEnd"/>
      <w:proofErr w:type="gramEnd"/>
      <w:r w:rsidRPr="002E0D0E">
        <w:rPr>
          <w:rFonts w:ascii="Times New Roman" w:hAnsi="Times New Roman" w:cs="Times New Roman"/>
          <w:bCs/>
          <w:sz w:val="20"/>
          <w:szCs w:val="20"/>
        </w:rPr>
        <w:t xml:space="preserve"> 12/11/2009)</w:t>
      </w:r>
      <w:r w:rsidR="009F3437" w:rsidRPr="002E0D0E">
        <w:rPr>
          <w:rFonts w:ascii="Times New Roman" w:hAnsi="Times New Roman" w:cs="Times New Roman"/>
          <w:bCs/>
          <w:sz w:val="20"/>
          <w:szCs w:val="20"/>
        </w:rPr>
        <w:t>. (TJ-PR, 2011).</w:t>
      </w:r>
    </w:p>
    <w:p w:rsidR="002E0D0E" w:rsidRDefault="002E0D0E" w:rsidP="002E0D0E">
      <w:pPr>
        <w:spacing w:after="0" w:line="240" w:lineRule="auto"/>
        <w:ind w:left="2268"/>
        <w:jc w:val="both"/>
        <w:rPr>
          <w:rFonts w:ascii="Times New Roman" w:hAnsi="Times New Roman" w:cs="Times New Roman"/>
          <w:bCs/>
          <w:sz w:val="20"/>
          <w:szCs w:val="20"/>
        </w:rPr>
      </w:pPr>
    </w:p>
    <w:p w:rsidR="002E0D0E" w:rsidRPr="002E0D0E" w:rsidRDefault="00B27849" w:rsidP="002E0D0E">
      <w:pPr>
        <w:spacing w:after="0" w:line="360" w:lineRule="auto"/>
        <w:ind w:firstLine="1134"/>
        <w:jc w:val="both"/>
        <w:rPr>
          <w:rFonts w:ascii="Times New Roman" w:hAnsi="Times New Roman" w:cs="Times New Roman"/>
          <w:bCs/>
          <w:sz w:val="24"/>
          <w:szCs w:val="24"/>
        </w:rPr>
      </w:pPr>
      <w:r w:rsidRPr="002E0D0E">
        <w:rPr>
          <w:rFonts w:ascii="Times New Roman" w:hAnsi="Times New Roman" w:cs="Times New Roman"/>
          <w:sz w:val="24"/>
          <w:szCs w:val="24"/>
        </w:rPr>
        <w:t>O exame das questões da prova, a pretexto de rever a sua adequação ao conteúdo</w:t>
      </w:r>
      <w:r w:rsidR="009F3437" w:rsidRPr="002E0D0E">
        <w:rPr>
          <w:rFonts w:ascii="Times New Roman" w:hAnsi="Times New Roman" w:cs="Times New Roman"/>
          <w:sz w:val="24"/>
          <w:szCs w:val="24"/>
        </w:rPr>
        <w:t xml:space="preserve"> </w:t>
      </w:r>
      <w:r w:rsidRPr="002E0D0E">
        <w:rPr>
          <w:rFonts w:ascii="Times New Roman" w:hAnsi="Times New Roman" w:cs="Times New Roman"/>
          <w:sz w:val="24"/>
          <w:szCs w:val="24"/>
        </w:rPr>
        <w:t>programático, é vedado ao Poder Judiciário, pena de incursão no mérito</w:t>
      </w:r>
      <w:r w:rsidR="009F3437" w:rsidRPr="002E0D0E">
        <w:rPr>
          <w:rFonts w:ascii="Times New Roman" w:hAnsi="Times New Roman" w:cs="Times New Roman"/>
          <w:sz w:val="24"/>
          <w:szCs w:val="24"/>
        </w:rPr>
        <w:t xml:space="preserve"> </w:t>
      </w:r>
      <w:r w:rsidRPr="002E0D0E">
        <w:rPr>
          <w:rFonts w:ascii="Times New Roman" w:hAnsi="Times New Roman" w:cs="Times New Roman"/>
          <w:sz w:val="24"/>
          <w:szCs w:val="24"/>
        </w:rPr>
        <w:t>administrativo, podendo, ainda, demandar dilação probatória, tendo em vista a</w:t>
      </w:r>
      <w:r w:rsidR="009F3437" w:rsidRPr="002E0D0E">
        <w:rPr>
          <w:rFonts w:ascii="Times New Roman" w:hAnsi="Times New Roman" w:cs="Times New Roman"/>
          <w:sz w:val="24"/>
          <w:szCs w:val="24"/>
        </w:rPr>
        <w:t xml:space="preserve"> </w:t>
      </w:r>
      <w:r w:rsidRPr="002E0D0E">
        <w:rPr>
          <w:rFonts w:ascii="Times New Roman" w:hAnsi="Times New Roman" w:cs="Times New Roman"/>
          <w:sz w:val="24"/>
          <w:szCs w:val="24"/>
        </w:rPr>
        <w:t>especificidade técnica ou científica do conteúdo programático e da questão em</w:t>
      </w:r>
      <w:r w:rsidR="009F3437" w:rsidRPr="002E0D0E">
        <w:rPr>
          <w:rFonts w:ascii="Times New Roman" w:hAnsi="Times New Roman" w:cs="Times New Roman"/>
          <w:sz w:val="24"/>
          <w:szCs w:val="24"/>
        </w:rPr>
        <w:t xml:space="preserve"> </w:t>
      </w:r>
      <w:r w:rsidRPr="002E0D0E">
        <w:rPr>
          <w:rFonts w:ascii="Times New Roman" w:hAnsi="Times New Roman" w:cs="Times New Roman"/>
          <w:sz w:val="24"/>
          <w:szCs w:val="24"/>
        </w:rPr>
        <w:t>discussão.</w:t>
      </w:r>
    </w:p>
    <w:p w:rsidR="00B27849" w:rsidRPr="002E0D0E" w:rsidRDefault="00B27849" w:rsidP="002E0D0E">
      <w:pPr>
        <w:spacing w:after="0" w:line="360" w:lineRule="auto"/>
        <w:ind w:firstLine="1134"/>
        <w:jc w:val="both"/>
        <w:rPr>
          <w:rFonts w:ascii="Times New Roman" w:hAnsi="Times New Roman" w:cs="Times New Roman"/>
          <w:bCs/>
          <w:sz w:val="24"/>
          <w:szCs w:val="24"/>
        </w:rPr>
      </w:pPr>
      <w:r w:rsidRPr="002E0D0E">
        <w:rPr>
          <w:rFonts w:ascii="Times New Roman" w:hAnsi="Times New Roman" w:cs="Times New Roman"/>
          <w:sz w:val="24"/>
          <w:szCs w:val="24"/>
        </w:rPr>
        <w:t>A regra é idêntica para os que se encontram na mesma situação. Não há quebra da</w:t>
      </w:r>
      <w:r w:rsidR="009F3437" w:rsidRPr="002E0D0E">
        <w:rPr>
          <w:rFonts w:ascii="Times New Roman" w:hAnsi="Times New Roman" w:cs="Times New Roman"/>
          <w:sz w:val="24"/>
          <w:szCs w:val="24"/>
        </w:rPr>
        <w:t xml:space="preserve"> </w:t>
      </w:r>
      <w:r w:rsidRPr="002E0D0E">
        <w:rPr>
          <w:rFonts w:ascii="Times New Roman" w:hAnsi="Times New Roman" w:cs="Times New Roman"/>
          <w:sz w:val="24"/>
          <w:szCs w:val="24"/>
        </w:rPr>
        <w:t>paridade. Onde existe a mesma regra, existe idênti</w:t>
      </w:r>
      <w:r w:rsidR="00F41DB4" w:rsidRPr="002E0D0E">
        <w:rPr>
          <w:rFonts w:ascii="Times New Roman" w:hAnsi="Times New Roman" w:cs="Times New Roman"/>
          <w:sz w:val="24"/>
          <w:szCs w:val="24"/>
        </w:rPr>
        <w:t xml:space="preserve">ca razão. É o brocardo latino: </w:t>
      </w:r>
      <w:r w:rsidR="00F41DB4" w:rsidRPr="002E0D0E">
        <w:rPr>
          <w:rFonts w:ascii="Times New Roman" w:hAnsi="Times New Roman" w:cs="Times New Roman"/>
          <w:i/>
          <w:sz w:val="24"/>
          <w:szCs w:val="24"/>
        </w:rPr>
        <w:t>“</w:t>
      </w:r>
      <w:proofErr w:type="spellStart"/>
      <w:r w:rsidRPr="002E0D0E">
        <w:rPr>
          <w:rFonts w:ascii="Times New Roman" w:hAnsi="Times New Roman" w:cs="Times New Roman"/>
          <w:i/>
          <w:sz w:val="24"/>
          <w:szCs w:val="24"/>
        </w:rPr>
        <w:t>ubi</w:t>
      </w:r>
      <w:proofErr w:type="spellEnd"/>
      <w:r w:rsidR="009F3437" w:rsidRPr="002E0D0E">
        <w:rPr>
          <w:rFonts w:ascii="Times New Roman" w:hAnsi="Times New Roman" w:cs="Times New Roman"/>
          <w:i/>
          <w:sz w:val="24"/>
          <w:szCs w:val="24"/>
        </w:rPr>
        <w:t xml:space="preserve"> </w:t>
      </w:r>
      <w:proofErr w:type="spellStart"/>
      <w:r w:rsidRPr="002E0D0E">
        <w:rPr>
          <w:rFonts w:ascii="Times New Roman" w:hAnsi="Times New Roman" w:cs="Times New Roman"/>
          <w:i/>
          <w:sz w:val="24"/>
          <w:szCs w:val="24"/>
        </w:rPr>
        <w:t>eadem</w:t>
      </w:r>
      <w:proofErr w:type="spellEnd"/>
      <w:r w:rsidRPr="002E0D0E">
        <w:rPr>
          <w:rFonts w:ascii="Times New Roman" w:hAnsi="Times New Roman" w:cs="Times New Roman"/>
          <w:i/>
          <w:sz w:val="24"/>
          <w:szCs w:val="24"/>
        </w:rPr>
        <w:t xml:space="preserve"> </w:t>
      </w:r>
      <w:proofErr w:type="spellStart"/>
      <w:r w:rsidRPr="002E0D0E">
        <w:rPr>
          <w:rFonts w:ascii="Times New Roman" w:hAnsi="Times New Roman" w:cs="Times New Roman"/>
          <w:i/>
          <w:sz w:val="24"/>
          <w:szCs w:val="24"/>
        </w:rPr>
        <w:t>ra</w:t>
      </w:r>
      <w:r w:rsidR="00F41DB4" w:rsidRPr="002E0D0E">
        <w:rPr>
          <w:rFonts w:ascii="Times New Roman" w:hAnsi="Times New Roman" w:cs="Times New Roman"/>
          <w:i/>
          <w:sz w:val="24"/>
          <w:szCs w:val="24"/>
        </w:rPr>
        <w:t>tio</w:t>
      </w:r>
      <w:proofErr w:type="spellEnd"/>
      <w:r w:rsidR="00F41DB4" w:rsidRPr="002E0D0E">
        <w:rPr>
          <w:rFonts w:ascii="Times New Roman" w:hAnsi="Times New Roman" w:cs="Times New Roman"/>
          <w:i/>
          <w:sz w:val="24"/>
          <w:szCs w:val="24"/>
        </w:rPr>
        <w:t xml:space="preserve">, </w:t>
      </w:r>
      <w:proofErr w:type="spellStart"/>
      <w:r w:rsidR="00F41DB4" w:rsidRPr="002E0D0E">
        <w:rPr>
          <w:rFonts w:ascii="Times New Roman" w:hAnsi="Times New Roman" w:cs="Times New Roman"/>
          <w:i/>
          <w:sz w:val="24"/>
          <w:szCs w:val="24"/>
        </w:rPr>
        <w:t>ibi</w:t>
      </w:r>
      <w:proofErr w:type="spellEnd"/>
      <w:r w:rsidR="00F41DB4" w:rsidRPr="002E0D0E">
        <w:rPr>
          <w:rFonts w:ascii="Times New Roman" w:hAnsi="Times New Roman" w:cs="Times New Roman"/>
          <w:i/>
          <w:sz w:val="24"/>
          <w:szCs w:val="24"/>
        </w:rPr>
        <w:t xml:space="preserve"> </w:t>
      </w:r>
      <w:proofErr w:type="spellStart"/>
      <w:r w:rsidR="00F41DB4" w:rsidRPr="002E0D0E">
        <w:rPr>
          <w:rFonts w:ascii="Times New Roman" w:hAnsi="Times New Roman" w:cs="Times New Roman"/>
          <w:i/>
          <w:sz w:val="24"/>
          <w:szCs w:val="24"/>
        </w:rPr>
        <w:t>eadem</w:t>
      </w:r>
      <w:proofErr w:type="spellEnd"/>
      <w:r w:rsidR="00F41DB4" w:rsidRPr="002E0D0E">
        <w:rPr>
          <w:rFonts w:ascii="Times New Roman" w:hAnsi="Times New Roman" w:cs="Times New Roman"/>
          <w:i/>
          <w:sz w:val="24"/>
          <w:szCs w:val="24"/>
        </w:rPr>
        <w:t xml:space="preserve"> legis dispositivo”</w:t>
      </w:r>
      <w:r w:rsidR="002E0D0E" w:rsidRPr="002E0D0E">
        <w:rPr>
          <w:rFonts w:ascii="Times New Roman" w:hAnsi="Times New Roman" w:cs="Times New Roman"/>
          <w:sz w:val="24"/>
          <w:szCs w:val="24"/>
        </w:rPr>
        <w:t xml:space="preserve">. </w:t>
      </w:r>
    </w:p>
    <w:p w:rsidR="0013108E" w:rsidRDefault="00B27849" w:rsidP="002E0D0E">
      <w:pPr>
        <w:spacing w:after="0" w:line="240" w:lineRule="auto"/>
        <w:ind w:left="2268"/>
        <w:jc w:val="both"/>
        <w:rPr>
          <w:rFonts w:ascii="Times New Roman" w:hAnsi="Times New Roman" w:cs="Times New Roman"/>
          <w:sz w:val="20"/>
          <w:szCs w:val="20"/>
        </w:rPr>
      </w:pPr>
      <w:r w:rsidRPr="002E0D0E">
        <w:rPr>
          <w:rFonts w:ascii="Times New Roman" w:hAnsi="Times New Roman" w:cs="Times New Roman"/>
          <w:sz w:val="20"/>
          <w:szCs w:val="20"/>
        </w:rPr>
        <w:t>Não cabe ao Poder Judiciário, no controle jurisdicional da legalidade do concurso</w:t>
      </w:r>
      <w:r w:rsidR="009F3437" w:rsidRPr="002E0D0E">
        <w:rPr>
          <w:rFonts w:ascii="Times New Roman" w:hAnsi="Times New Roman" w:cs="Times New Roman"/>
          <w:sz w:val="20"/>
          <w:szCs w:val="20"/>
        </w:rPr>
        <w:t xml:space="preserve"> </w:t>
      </w:r>
      <w:r w:rsidRPr="002E0D0E">
        <w:rPr>
          <w:rFonts w:ascii="Times New Roman" w:hAnsi="Times New Roman" w:cs="Times New Roman"/>
          <w:sz w:val="20"/>
          <w:szCs w:val="20"/>
        </w:rPr>
        <w:t>público, tomar o lugar da banca examinadora, nos critérios de correção de provas e</w:t>
      </w:r>
      <w:r w:rsidR="009F3437" w:rsidRPr="002E0D0E">
        <w:rPr>
          <w:rFonts w:ascii="Times New Roman" w:hAnsi="Times New Roman" w:cs="Times New Roman"/>
          <w:sz w:val="20"/>
          <w:szCs w:val="20"/>
        </w:rPr>
        <w:t xml:space="preserve"> </w:t>
      </w:r>
      <w:r w:rsidRPr="002E0D0E">
        <w:rPr>
          <w:rFonts w:ascii="Times New Roman" w:hAnsi="Times New Roman" w:cs="Times New Roman"/>
          <w:sz w:val="20"/>
          <w:szCs w:val="20"/>
        </w:rPr>
        <w:t>de atribuição de notas a ela, quando tais critérios forem exigidos, imparcialmente, de</w:t>
      </w:r>
      <w:r w:rsidR="009F3437" w:rsidRPr="002E0D0E">
        <w:rPr>
          <w:rFonts w:ascii="Times New Roman" w:hAnsi="Times New Roman" w:cs="Times New Roman"/>
          <w:sz w:val="20"/>
          <w:szCs w:val="20"/>
        </w:rPr>
        <w:t xml:space="preserve"> </w:t>
      </w:r>
      <w:r w:rsidRPr="002E0D0E">
        <w:rPr>
          <w:rFonts w:ascii="Times New Roman" w:hAnsi="Times New Roman" w:cs="Times New Roman"/>
          <w:sz w:val="20"/>
          <w:szCs w:val="20"/>
        </w:rPr>
        <w:t>todos os candidatos. Recurso ordinário improvido. </w:t>
      </w:r>
      <w:hyperlink r:id="rId10" w:tooltip="RECURSO ORDINARIO EM MANDADO DE SEGURANCA" w:history="1">
        <w:r w:rsidRPr="002E0D0E">
          <w:rPr>
            <w:rStyle w:val="Hyperlink"/>
            <w:rFonts w:ascii="Times New Roman" w:hAnsi="Times New Roman" w:cs="Times New Roman"/>
            <w:color w:val="auto"/>
            <w:sz w:val="20"/>
            <w:szCs w:val="20"/>
            <w:u w:val="none"/>
          </w:rPr>
          <w:t>(RMS 26.735/MG </w:t>
        </w:r>
      </w:hyperlink>
      <w:r w:rsidRPr="002E0D0E">
        <w:rPr>
          <w:rFonts w:ascii="Times New Roman" w:hAnsi="Times New Roman" w:cs="Times New Roman"/>
          <w:sz w:val="20"/>
          <w:szCs w:val="20"/>
        </w:rPr>
        <w:t>, Rel. Ministro</w:t>
      </w:r>
      <w:r w:rsidR="009F3437" w:rsidRPr="002E0D0E">
        <w:rPr>
          <w:rFonts w:ascii="Times New Roman" w:hAnsi="Times New Roman" w:cs="Times New Roman"/>
          <w:sz w:val="20"/>
          <w:szCs w:val="20"/>
        </w:rPr>
        <w:t xml:space="preserve"> </w:t>
      </w:r>
      <w:r w:rsidRPr="002E0D0E">
        <w:rPr>
          <w:rFonts w:ascii="Times New Roman" w:hAnsi="Times New Roman" w:cs="Times New Roman"/>
          <w:sz w:val="20"/>
          <w:szCs w:val="20"/>
        </w:rPr>
        <w:t xml:space="preserve">Humberto Martins, Segunda Turma, julgado em 10/6/2008, </w:t>
      </w:r>
      <w:proofErr w:type="gramStart"/>
      <w:r w:rsidRPr="002E0D0E">
        <w:rPr>
          <w:rFonts w:ascii="Times New Roman" w:hAnsi="Times New Roman" w:cs="Times New Roman"/>
          <w:sz w:val="20"/>
          <w:szCs w:val="20"/>
        </w:rPr>
        <w:t>DJe</w:t>
      </w:r>
      <w:proofErr w:type="gramEnd"/>
      <w:r w:rsidRPr="002E0D0E">
        <w:rPr>
          <w:rFonts w:ascii="Times New Roman" w:hAnsi="Times New Roman" w:cs="Times New Roman"/>
          <w:sz w:val="20"/>
          <w:szCs w:val="20"/>
        </w:rPr>
        <w:t xml:space="preserve"> 19/6/2008).</w:t>
      </w:r>
      <w:r w:rsidR="009F3437" w:rsidRPr="002E0D0E">
        <w:rPr>
          <w:rFonts w:ascii="Times New Roman" w:hAnsi="Times New Roman" w:cs="Times New Roman"/>
          <w:sz w:val="20"/>
          <w:szCs w:val="20"/>
        </w:rPr>
        <w:t xml:space="preserve"> (STJ, 2010).</w:t>
      </w:r>
    </w:p>
    <w:p w:rsidR="00E042CA" w:rsidRPr="002E0D0E" w:rsidRDefault="00E042CA" w:rsidP="002E0D0E">
      <w:pPr>
        <w:spacing w:after="0" w:line="240" w:lineRule="auto"/>
        <w:ind w:left="2268"/>
        <w:jc w:val="both"/>
        <w:rPr>
          <w:rFonts w:ascii="Times New Roman" w:hAnsi="Times New Roman" w:cs="Times New Roman"/>
          <w:sz w:val="20"/>
          <w:szCs w:val="20"/>
        </w:rPr>
      </w:pPr>
    </w:p>
    <w:p w:rsidR="00E042CA" w:rsidRPr="00E042CA" w:rsidRDefault="00E042CA" w:rsidP="00E042CA">
      <w:pPr>
        <w:spacing w:after="0" w:line="360" w:lineRule="auto"/>
        <w:ind w:firstLine="1134"/>
        <w:rPr>
          <w:rFonts w:ascii="Times New Roman" w:hAnsi="Times New Roman" w:cs="Times New Roman"/>
          <w:sz w:val="24"/>
          <w:szCs w:val="24"/>
        </w:rPr>
      </w:pPr>
      <w:r w:rsidRPr="00E042CA">
        <w:rPr>
          <w:rFonts w:ascii="Times New Roman" w:hAnsi="Times New Roman" w:cs="Times New Roman"/>
          <w:sz w:val="24"/>
          <w:szCs w:val="24"/>
        </w:rPr>
        <w:t xml:space="preserve">Este é o fundamento. </w:t>
      </w:r>
    </w:p>
    <w:p w:rsidR="00E042CA" w:rsidRDefault="00E042CA" w:rsidP="002E0D0E">
      <w:pPr>
        <w:spacing w:after="0" w:line="360" w:lineRule="auto"/>
        <w:rPr>
          <w:rFonts w:ascii="Times New Roman" w:hAnsi="Times New Roman" w:cs="Times New Roman"/>
          <w:b/>
          <w:sz w:val="24"/>
          <w:szCs w:val="24"/>
        </w:rPr>
      </w:pPr>
    </w:p>
    <w:p w:rsidR="00E042CA" w:rsidRDefault="00E042CA" w:rsidP="002E0D0E">
      <w:pPr>
        <w:spacing w:after="0" w:line="360" w:lineRule="auto"/>
        <w:rPr>
          <w:rFonts w:ascii="Times New Roman" w:hAnsi="Times New Roman" w:cs="Times New Roman"/>
          <w:b/>
          <w:sz w:val="24"/>
          <w:szCs w:val="24"/>
        </w:rPr>
      </w:pPr>
      <w:bookmarkStart w:id="0" w:name="_GoBack"/>
      <w:bookmarkEnd w:id="0"/>
    </w:p>
    <w:p w:rsidR="0013108E" w:rsidRPr="002E0D0E" w:rsidRDefault="0013108E" w:rsidP="00043F0D">
      <w:pPr>
        <w:spacing w:after="0" w:line="240" w:lineRule="auto"/>
        <w:jc w:val="center"/>
        <w:rPr>
          <w:rFonts w:ascii="Times New Roman" w:hAnsi="Times New Roman" w:cs="Times New Roman"/>
          <w:b/>
          <w:sz w:val="24"/>
          <w:szCs w:val="24"/>
        </w:rPr>
      </w:pPr>
      <w:r w:rsidRPr="002E0D0E">
        <w:rPr>
          <w:rFonts w:ascii="Times New Roman" w:hAnsi="Times New Roman" w:cs="Times New Roman"/>
          <w:b/>
          <w:sz w:val="24"/>
          <w:szCs w:val="24"/>
        </w:rPr>
        <w:t>REFERÊNCIAS</w:t>
      </w:r>
    </w:p>
    <w:p w:rsidR="002E0D0E" w:rsidRPr="002E0D0E" w:rsidRDefault="002E0D0E" w:rsidP="002E0D0E">
      <w:pPr>
        <w:spacing w:after="0" w:line="240" w:lineRule="auto"/>
        <w:rPr>
          <w:rFonts w:ascii="Times New Roman" w:hAnsi="Times New Roman" w:cs="Times New Roman"/>
          <w:b/>
          <w:sz w:val="24"/>
          <w:szCs w:val="24"/>
        </w:rPr>
      </w:pPr>
    </w:p>
    <w:p w:rsidR="002E0D0E" w:rsidRPr="002E0D0E" w:rsidRDefault="002E0D0E" w:rsidP="002E0D0E">
      <w:pPr>
        <w:spacing w:after="0" w:line="240" w:lineRule="auto"/>
        <w:rPr>
          <w:rFonts w:ascii="Times New Roman" w:hAnsi="Times New Roman" w:cs="Times New Roman"/>
          <w:sz w:val="24"/>
          <w:szCs w:val="24"/>
        </w:rPr>
      </w:pPr>
      <w:r w:rsidRPr="002E0D0E">
        <w:rPr>
          <w:rFonts w:ascii="Times New Roman" w:hAnsi="Times New Roman" w:cs="Times New Roman"/>
          <w:sz w:val="24"/>
          <w:szCs w:val="24"/>
        </w:rPr>
        <w:t xml:space="preserve">BARROSO, Luís Roberto. </w:t>
      </w:r>
      <w:r w:rsidRPr="002E0D0E">
        <w:rPr>
          <w:rFonts w:ascii="Times New Roman" w:hAnsi="Times New Roman" w:cs="Times New Roman"/>
          <w:b/>
          <w:sz w:val="24"/>
          <w:szCs w:val="24"/>
        </w:rPr>
        <w:t>O controle de constitucionalidade no direito brasileiro:</w:t>
      </w:r>
      <w:r w:rsidRPr="002E0D0E">
        <w:rPr>
          <w:rFonts w:ascii="Times New Roman" w:hAnsi="Times New Roman" w:cs="Times New Roman"/>
          <w:sz w:val="24"/>
          <w:szCs w:val="24"/>
        </w:rPr>
        <w:t xml:space="preserve"> exposição sistemática da doutrina e análise crítica da jurisprudência. 6. ed. rev. e atual. São Paulo: Saraiva, 2012. </w:t>
      </w:r>
    </w:p>
    <w:p w:rsidR="002E0D0E" w:rsidRPr="002E0D0E" w:rsidRDefault="002E0D0E" w:rsidP="002E0D0E">
      <w:pPr>
        <w:spacing w:after="0" w:line="240" w:lineRule="auto"/>
        <w:rPr>
          <w:rFonts w:ascii="Times New Roman" w:hAnsi="Times New Roman" w:cs="Times New Roman"/>
          <w:b/>
          <w:sz w:val="24"/>
          <w:szCs w:val="24"/>
        </w:rPr>
      </w:pPr>
    </w:p>
    <w:p w:rsidR="008D23A8" w:rsidRPr="002E0D0E" w:rsidRDefault="008D23A8" w:rsidP="002E0D0E">
      <w:pPr>
        <w:spacing w:after="0" w:line="240" w:lineRule="auto"/>
        <w:rPr>
          <w:rFonts w:ascii="Times New Roman" w:hAnsi="Times New Roman" w:cs="Times New Roman"/>
          <w:sz w:val="24"/>
          <w:szCs w:val="24"/>
        </w:rPr>
      </w:pPr>
      <w:r w:rsidRPr="002E0D0E">
        <w:rPr>
          <w:rFonts w:ascii="Times New Roman" w:hAnsi="Times New Roman" w:cs="Times New Roman"/>
          <w:sz w:val="24"/>
          <w:szCs w:val="24"/>
        </w:rPr>
        <w:t xml:space="preserve">BRASIL. </w:t>
      </w:r>
      <w:r w:rsidRPr="002E0D0E">
        <w:rPr>
          <w:rFonts w:ascii="Times New Roman" w:hAnsi="Times New Roman" w:cs="Times New Roman"/>
          <w:b/>
          <w:bCs/>
          <w:sz w:val="24"/>
          <w:szCs w:val="24"/>
        </w:rPr>
        <w:t>Constituição da República Federativa do Brasil de 1988</w:t>
      </w:r>
      <w:r w:rsidRPr="002E0D0E">
        <w:rPr>
          <w:rFonts w:ascii="Times New Roman" w:hAnsi="Times New Roman" w:cs="Times New Roman"/>
          <w:sz w:val="24"/>
          <w:szCs w:val="24"/>
        </w:rPr>
        <w:t xml:space="preserve">. Disponível em: </w:t>
      </w:r>
      <w:r w:rsidR="00F41DB4" w:rsidRPr="002E0D0E">
        <w:rPr>
          <w:rFonts w:ascii="Times New Roman" w:hAnsi="Times New Roman" w:cs="Times New Roman"/>
          <w:sz w:val="24"/>
          <w:szCs w:val="24"/>
        </w:rPr>
        <w:t>&lt;</w:t>
      </w:r>
      <w:r w:rsidRPr="002E0D0E">
        <w:rPr>
          <w:rFonts w:ascii="Times New Roman" w:hAnsi="Times New Roman" w:cs="Times New Roman"/>
          <w:sz w:val="24"/>
          <w:szCs w:val="24"/>
        </w:rPr>
        <w:t>http://www.planalto.gov.br/ccivil_03/constituicao/ConstituicaoCompilado.htm.</w:t>
      </w:r>
      <w:r w:rsidR="00F41DB4" w:rsidRPr="002E0D0E">
        <w:rPr>
          <w:rFonts w:ascii="Times New Roman" w:hAnsi="Times New Roman" w:cs="Times New Roman"/>
          <w:sz w:val="24"/>
          <w:szCs w:val="24"/>
        </w:rPr>
        <w:t>&gt;.</w:t>
      </w:r>
      <w:r w:rsidRPr="002E0D0E">
        <w:rPr>
          <w:rFonts w:ascii="Times New Roman" w:hAnsi="Times New Roman" w:cs="Times New Roman"/>
          <w:sz w:val="24"/>
          <w:szCs w:val="24"/>
        </w:rPr>
        <w:t xml:space="preserve"> Acesso em: 24 mar</w:t>
      </w:r>
      <w:r w:rsidR="00F41DB4" w:rsidRPr="002E0D0E">
        <w:rPr>
          <w:rFonts w:ascii="Times New Roman" w:hAnsi="Times New Roman" w:cs="Times New Roman"/>
          <w:sz w:val="24"/>
          <w:szCs w:val="24"/>
        </w:rPr>
        <w:t>.</w:t>
      </w:r>
      <w:r w:rsidRPr="002E0D0E">
        <w:rPr>
          <w:rFonts w:ascii="Times New Roman" w:hAnsi="Times New Roman" w:cs="Times New Roman"/>
          <w:sz w:val="24"/>
          <w:szCs w:val="24"/>
        </w:rPr>
        <w:t xml:space="preserve"> 2016.</w:t>
      </w:r>
    </w:p>
    <w:p w:rsidR="00F41DB4" w:rsidRPr="002E0D0E" w:rsidRDefault="00F41DB4" w:rsidP="002E0D0E">
      <w:pPr>
        <w:spacing w:after="0" w:line="240" w:lineRule="auto"/>
        <w:rPr>
          <w:rFonts w:ascii="Times New Roman" w:hAnsi="Times New Roman" w:cs="Times New Roman"/>
          <w:sz w:val="24"/>
          <w:szCs w:val="24"/>
        </w:rPr>
      </w:pPr>
    </w:p>
    <w:p w:rsidR="00F41DB4" w:rsidRPr="002E0D0E" w:rsidRDefault="00F41DB4" w:rsidP="002E0D0E">
      <w:pPr>
        <w:spacing w:after="0" w:line="240" w:lineRule="auto"/>
        <w:rPr>
          <w:rFonts w:ascii="Times New Roman" w:hAnsi="Times New Roman" w:cs="Times New Roman"/>
          <w:bCs/>
          <w:sz w:val="24"/>
          <w:szCs w:val="24"/>
        </w:rPr>
      </w:pPr>
      <w:r w:rsidRPr="002E0D0E">
        <w:rPr>
          <w:rFonts w:ascii="Times New Roman" w:hAnsi="Times New Roman" w:cs="Times New Roman"/>
          <w:sz w:val="24"/>
          <w:szCs w:val="24"/>
        </w:rPr>
        <w:t xml:space="preserve">BRASIL. </w:t>
      </w:r>
      <w:r w:rsidRPr="002E0D0E">
        <w:rPr>
          <w:rFonts w:ascii="Times New Roman" w:hAnsi="Times New Roman" w:cs="Times New Roman"/>
          <w:bCs/>
          <w:sz w:val="24"/>
          <w:szCs w:val="24"/>
        </w:rPr>
        <w:t>Lei nº 13.105, de 16 de março de 201</w:t>
      </w:r>
      <w:r w:rsidRPr="00043F0D">
        <w:rPr>
          <w:rFonts w:ascii="Times New Roman" w:hAnsi="Times New Roman" w:cs="Times New Roman"/>
          <w:bCs/>
          <w:sz w:val="24"/>
          <w:szCs w:val="24"/>
        </w:rPr>
        <w:t>5.</w:t>
      </w:r>
      <w:r w:rsidRPr="002E0D0E">
        <w:rPr>
          <w:rFonts w:ascii="Times New Roman" w:hAnsi="Times New Roman" w:cs="Times New Roman"/>
          <w:b/>
          <w:bCs/>
          <w:sz w:val="24"/>
          <w:szCs w:val="24"/>
        </w:rPr>
        <w:t xml:space="preserve"> Código de Processo Civil</w:t>
      </w:r>
      <w:r w:rsidRPr="00043F0D">
        <w:rPr>
          <w:rFonts w:ascii="Times New Roman" w:hAnsi="Times New Roman" w:cs="Times New Roman"/>
          <w:bCs/>
          <w:sz w:val="24"/>
          <w:szCs w:val="24"/>
        </w:rPr>
        <w:t xml:space="preserve">. </w:t>
      </w:r>
      <w:r w:rsidRPr="002E0D0E">
        <w:rPr>
          <w:rFonts w:ascii="Times New Roman" w:hAnsi="Times New Roman" w:cs="Times New Roman"/>
          <w:bCs/>
          <w:sz w:val="24"/>
          <w:szCs w:val="24"/>
        </w:rPr>
        <w:t>Disponível em: &lt;http://www.planalto.gov.br/ccivil_03/_ato2015-2018/2015/lei/l13105.htm.&gt;. Acesso em: 26 mar. 2016.</w:t>
      </w:r>
    </w:p>
    <w:p w:rsidR="00F41DB4" w:rsidRPr="002E0D0E" w:rsidRDefault="00F41DB4" w:rsidP="002E0D0E">
      <w:pPr>
        <w:spacing w:after="0" w:line="240" w:lineRule="auto"/>
        <w:rPr>
          <w:rFonts w:ascii="Times New Roman" w:hAnsi="Times New Roman" w:cs="Times New Roman"/>
          <w:sz w:val="24"/>
          <w:szCs w:val="24"/>
        </w:rPr>
      </w:pPr>
    </w:p>
    <w:p w:rsidR="009F3437" w:rsidRPr="002E0D0E" w:rsidRDefault="009F3437" w:rsidP="002E0D0E">
      <w:pPr>
        <w:spacing w:after="0" w:line="240" w:lineRule="auto"/>
        <w:rPr>
          <w:rFonts w:ascii="Times New Roman" w:hAnsi="Times New Roman" w:cs="Times New Roman"/>
          <w:bCs/>
          <w:sz w:val="24"/>
          <w:szCs w:val="24"/>
        </w:rPr>
      </w:pPr>
      <w:r w:rsidRPr="002E0D0E">
        <w:rPr>
          <w:rFonts w:ascii="Times New Roman" w:hAnsi="Times New Roman" w:cs="Times New Roman"/>
          <w:sz w:val="24"/>
          <w:szCs w:val="24"/>
        </w:rPr>
        <w:lastRenderedPageBreak/>
        <w:t xml:space="preserve">SUPERIOR TRIBUNAL DE JUSTIÇA. </w:t>
      </w:r>
      <w:r w:rsidRPr="002E0D0E">
        <w:rPr>
          <w:rFonts w:ascii="Times New Roman" w:hAnsi="Times New Roman" w:cs="Times New Roman"/>
          <w:b/>
          <w:bCs/>
          <w:sz w:val="24"/>
          <w:szCs w:val="24"/>
        </w:rPr>
        <w:t>Recurso or</w:t>
      </w:r>
      <w:r w:rsidR="00F41DB4" w:rsidRPr="002E0D0E">
        <w:rPr>
          <w:rFonts w:ascii="Times New Roman" w:hAnsi="Times New Roman" w:cs="Times New Roman"/>
          <w:b/>
          <w:bCs/>
          <w:sz w:val="24"/>
          <w:szCs w:val="24"/>
        </w:rPr>
        <w:t>dinário em mandado de segurança</w:t>
      </w:r>
      <w:r w:rsidRPr="00043F0D">
        <w:rPr>
          <w:rFonts w:ascii="Times New Roman" w:hAnsi="Times New Roman" w:cs="Times New Roman"/>
          <w:bCs/>
          <w:sz w:val="24"/>
          <w:szCs w:val="24"/>
        </w:rPr>
        <w:t xml:space="preserve">: </w:t>
      </w:r>
      <w:r w:rsidR="00043F0D">
        <w:rPr>
          <w:rFonts w:ascii="Times New Roman" w:hAnsi="Times New Roman" w:cs="Times New Roman"/>
          <w:bCs/>
          <w:sz w:val="24"/>
          <w:szCs w:val="24"/>
        </w:rPr>
        <w:t>RMS</w:t>
      </w:r>
      <w:r w:rsidRPr="00043F0D">
        <w:rPr>
          <w:rFonts w:ascii="Times New Roman" w:hAnsi="Times New Roman" w:cs="Times New Roman"/>
          <w:bCs/>
          <w:sz w:val="24"/>
          <w:szCs w:val="24"/>
        </w:rPr>
        <w:t xml:space="preserve"> 20984 </w:t>
      </w:r>
      <w:r w:rsidR="00043F0D">
        <w:rPr>
          <w:rFonts w:ascii="Times New Roman" w:hAnsi="Times New Roman" w:cs="Times New Roman"/>
          <w:bCs/>
          <w:sz w:val="24"/>
          <w:szCs w:val="24"/>
        </w:rPr>
        <w:t>RS</w:t>
      </w:r>
      <w:r w:rsidRPr="00043F0D">
        <w:rPr>
          <w:rFonts w:ascii="Times New Roman" w:hAnsi="Times New Roman" w:cs="Times New Roman"/>
          <w:bCs/>
          <w:sz w:val="24"/>
          <w:szCs w:val="24"/>
        </w:rPr>
        <w:t xml:space="preserve"> 2005/0192939-0, </w:t>
      </w:r>
      <w:r w:rsidRPr="002E0D0E">
        <w:rPr>
          <w:rFonts w:ascii="Times New Roman" w:hAnsi="Times New Roman" w:cs="Times New Roman"/>
          <w:bCs/>
          <w:sz w:val="24"/>
          <w:szCs w:val="24"/>
        </w:rPr>
        <w:t xml:space="preserve">2010. Disponível em: </w:t>
      </w:r>
      <w:r w:rsidR="00F41DB4" w:rsidRPr="002E0D0E">
        <w:rPr>
          <w:rFonts w:ascii="Times New Roman" w:hAnsi="Times New Roman" w:cs="Times New Roman"/>
          <w:bCs/>
          <w:sz w:val="24"/>
          <w:szCs w:val="24"/>
        </w:rPr>
        <w:t>&lt;</w:t>
      </w:r>
      <w:r w:rsidRPr="002E0D0E">
        <w:rPr>
          <w:rFonts w:ascii="Times New Roman" w:hAnsi="Times New Roman" w:cs="Times New Roman"/>
          <w:bCs/>
          <w:sz w:val="24"/>
          <w:szCs w:val="24"/>
        </w:rPr>
        <w:t>http://stj.jusbrasil.com.br/jurisprudencia/5720956/recurso-ordinario-em-mandado-de-seguranca-rms-20984-rs-2005-0192939-0/relatorio-e-voto-11882602.</w:t>
      </w:r>
      <w:r w:rsidR="00F41DB4" w:rsidRPr="002E0D0E">
        <w:rPr>
          <w:rFonts w:ascii="Times New Roman" w:hAnsi="Times New Roman" w:cs="Times New Roman"/>
          <w:bCs/>
          <w:sz w:val="24"/>
          <w:szCs w:val="24"/>
        </w:rPr>
        <w:t>&gt;.</w:t>
      </w:r>
      <w:r w:rsidRPr="002E0D0E">
        <w:rPr>
          <w:rFonts w:ascii="Times New Roman" w:hAnsi="Times New Roman" w:cs="Times New Roman"/>
          <w:bCs/>
          <w:sz w:val="24"/>
          <w:szCs w:val="24"/>
        </w:rPr>
        <w:t xml:space="preserve"> Acesso em: 26 mar</w:t>
      </w:r>
      <w:r w:rsidR="00F41DB4" w:rsidRPr="002E0D0E">
        <w:rPr>
          <w:rFonts w:ascii="Times New Roman" w:hAnsi="Times New Roman" w:cs="Times New Roman"/>
          <w:bCs/>
          <w:sz w:val="24"/>
          <w:szCs w:val="24"/>
        </w:rPr>
        <w:t>.</w:t>
      </w:r>
      <w:r w:rsidRPr="002E0D0E">
        <w:rPr>
          <w:rFonts w:ascii="Times New Roman" w:hAnsi="Times New Roman" w:cs="Times New Roman"/>
          <w:bCs/>
          <w:sz w:val="24"/>
          <w:szCs w:val="24"/>
        </w:rPr>
        <w:t xml:space="preserve"> 2016.</w:t>
      </w:r>
    </w:p>
    <w:p w:rsidR="00F41DB4" w:rsidRPr="002E0D0E" w:rsidRDefault="00F41DB4" w:rsidP="002E0D0E">
      <w:pPr>
        <w:spacing w:after="0" w:line="240" w:lineRule="auto"/>
        <w:rPr>
          <w:rFonts w:ascii="Times New Roman" w:hAnsi="Times New Roman" w:cs="Times New Roman"/>
          <w:sz w:val="24"/>
          <w:szCs w:val="24"/>
        </w:rPr>
      </w:pPr>
    </w:p>
    <w:p w:rsidR="005F68C6" w:rsidRPr="002E0D0E" w:rsidRDefault="005F68C6" w:rsidP="002E0D0E">
      <w:pPr>
        <w:spacing w:after="0" w:line="240" w:lineRule="auto"/>
        <w:rPr>
          <w:rFonts w:ascii="Times New Roman" w:hAnsi="Times New Roman" w:cs="Times New Roman"/>
          <w:sz w:val="24"/>
          <w:szCs w:val="24"/>
        </w:rPr>
      </w:pPr>
      <w:r w:rsidRPr="002E0D0E">
        <w:rPr>
          <w:rFonts w:ascii="Times New Roman" w:hAnsi="Times New Roman" w:cs="Times New Roman"/>
          <w:bCs/>
          <w:sz w:val="24"/>
          <w:szCs w:val="24"/>
        </w:rPr>
        <w:t xml:space="preserve">SUPREMO TRIBUNAL FEDERAL. </w:t>
      </w:r>
      <w:r w:rsidRPr="002E0D0E">
        <w:rPr>
          <w:rFonts w:ascii="Times New Roman" w:hAnsi="Times New Roman" w:cs="Times New Roman"/>
          <w:b/>
          <w:bCs/>
          <w:sz w:val="24"/>
          <w:szCs w:val="24"/>
        </w:rPr>
        <w:t>A Constituição e o Supremo</w:t>
      </w:r>
      <w:r w:rsidRPr="002E0D0E">
        <w:rPr>
          <w:rFonts w:ascii="Times New Roman" w:hAnsi="Times New Roman" w:cs="Times New Roman"/>
          <w:bCs/>
          <w:sz w:val="24"/>
          <w:szCs w:val="24"/>
        </w:rPr>
        <w:t>: TÍTULO II - Dos Direitos e Garantias Fundamentais. CAPÍTULO I - DOS DIREITOS E DEVERES INDIVIDUAIS E COLETIVOS, 2014.</w:t>
      </w:r>
      <w:r w:rsidRPr="002E0D0E">
        <w:rPr>
          <w:rFonts w:ascii="Times New Roman" w:hAnsi="Times New Roman" w:cs="Times New Roman"/>
          <w:b/>
          <w:bCs/>
          <w:sz w:val="24"/>
          <w:szCs w:val="24"/>
        </w:rPr>
        <w:t xml:space="preserve"> </w:t>
      </w:r>
      <w:r w:rsidRPr="002E0D0E">
        <w:rPr>
          <w:rFonts w:ascii="Times New Roman" w:hAnsi="Times New Roman" w:cs="Times New Roman"/>
          <w:bCs/>
          <w:sz w:val="24"/>
          <w:szCs w:val="24"/>
        </w:rPr>
        <w:t>Disponível em:</w:t>
      </w:r>
      <w:r w:rsidRPr="002E0D0E">
        <w:rPr>
          <w:rFonts w:ascii="Times New Roman" w:hAnsi="Times New Roman" w:cs="Times New Roman"/>
          <w:b/>
          <w:bCs/>
          <w:sz w:val="24"/>
          <w:szCs w:val="24"/>
        </w:rPr>
        <w:t xml:space="preserve"> </w:t>
      </w:r>
      <w:r w:rsidR="00F41DB4" w:rsidRPr="002E0D0E">
        <w:rPr>
          <w:rFonts w:ascii="Times New Roman" w:hAnsi="Times New Roman" w:cs="Times New Roman"/>
          <w:b/>
          <w:bCs/>
          <w:sz w:val="24"/>
          <w:szCs w:val="24"/>
        </w:rPr>
        <w:t>&lt;</w:t>
      </w:r>
      <w:r w:rsidRPr="002E0D0E">
        <w:rPr>
          <w:rFonts w:ascii="Times New Roman" w:hAnsi="Times New Roman" w:cs="Times New Roman"/>
          <w:sz w:val="24"/>
          <w:szCs w:val="24"/>
        </w:rPr>
        <w:t>http://www.stf.jus.br/portal/constituicao/artigoBd.asp?</w:t>
      </w:r>
      <w:proofErr w:type="gramStart"/>
      <w:r w:rsidRPr="002E0D0E">
        <w:rPr>
          <w:rFonts w:ascii="Times New Roman" w:hAnsi="Times New Roman" w:cs="Times New Roman"/>
          <w:sz w:val="24"/>
          <w:szCs w:val="24"/>
        </w:rPr>
        <w:t>item</w:t>
      </w:r>
      <w:proofErr w:type="gramEnd"/>
      <w:r w:rsidRPr="002E0D0E">
        <w:rPr>
          <w:rFonts w:ascii="Times New Roman" w:hAnsi="Times New Roman" w:cs="Times New Roman"/>
          <w:sz w:val="24"/>
          <w:szCs w:val="24"/>
        </w:rPr>
        <w:t>=31.</w:t>
      </w:r>
      <w:r w:rsidR="00F41DB4" w:rsidRPr="002E0D0E">
        <w:rPr>
          <w:rFonts w:ascii="Times New Roman" w:hAnsi="Times New Roman" w:cs="Times New Roman"/>
          <w:sz w:val="24"/>
          <w:szCs w:val="24"/>
        </w:rPr>
        <w:t>&gt;.</w:t>
      </w:r>
      <w:r w:rsidRPr="002E0D0E">
        <w:rPr>
          <w:rFonts w:ascii="Times New Roman" w:hAnsi="Times New Roman" w:cs="Times New Roman"/>
          <w:sz w:val="24"/>
          <w:szCs w:val="24"/>
        </w:rPr>
        <w:t xml:space="preserve"> Acesso em: 26 mar</w:t>
      </w:r>
      <w:r w:rsidR="00F41DB4" w:rsidRPr="002E0D0E">
        <w:rPr>
          <w:rFonts w:ascii="Times New Roman" w:hAnsi="Times New Roman" w:cs="Times New Roman"/>
          <w:sz w:val="24"/>
          <w:szCs w:val="24"/>
        </w:rPr>
        <w:t>.</w:t>
      </w:r>
      <w:r w:rsidRPr="002E0D0E">
        <w:rPr>
          <w:rFonts w:ascii="Times New Roman" w:hAnsi="Times New Roman" w:cs="Times New Roman"/>
          <w:sz w:val="24"/>
          <w:szCs w:val="24"/>
        </w:rPr>
        <w:t xml:space="preserve"> 2016.</w:t>
      </w:r>
    </w:p>
    <w:p w:rsidR="00F41DB4" w:rsidRPr="002E0D0E" w:rsidRDefault="00F41DB4" w:rsidP="002E0D0E">
      <w:pPr>
        <w:spacing w:after="0" w:line="240" w:lineRule="auto"/>
        <w:rPr>
          <w:rFonts w:ascii="Times New Roman" w:hAnsi="Times New Roman" w:cs="Times New Roman"/>
          <w:sz w:val="24"/>
          <w:szCs w:val="24"/>
        </w:rPr>
      </w:pPr>
    </w:p>
    <w:p w:rsidR="00F41DB4" w:rsidRPr="00043F0D" w:rsidRDefault="00F41DB4" w:rsidP="002E0D0E">
      <w:pPr>
        <w:spacing w:after="0" w:line="240" w:lineRule="auto"/>
        <w:rPr>
          <w:rFonts w:ascii="Times New Roman" w:hAnsi="Times New Roman" w:cs="Times New Roman"/>
          <w:bCs/>
          <w:sz w:val="24"/>
          <w:szCs w:val="24"/>
        </w:rPr>
      </w:pPr>
      <w:r w:rsidRPr="002E0D0E">
        <w:rPr>
          <w:rFonts w:ascii="Times New Roman" w:hAnsi="Times New Roman" w:cs="Times New Roman"/>
          <w:sz w:val="24"/>
          <w:szCs w:val="24"/>
        </w:rPr>
        <w:t>TRIBUNAL DE JUSTIÇA DO PARANÁ.</w:t>
      </w:r>
      <w:r w:rsidRPr="002E0D0E">
        <w:rPr>
          <w:rFonts w:ascii="Times New Roman" w:hAnsi="Times New Roman" w:cs="Times New Roman"/>
          <w:b/>
          <w:bCs/>
          <w:sz w:val="24"/>
          <w:szCs w:val="24"/>
        </w:rPr>
        <w:t xml:space="preserve"> Mandado de Segurança: </w:t>
      </w:r>
      <w:r w:rsidRPr="00043F0D">
        <w:rPr>
          <w:rFonts w:ascii="Times New Roman" w:hAnsi="Times New Roman" w:cs="Times New Roman"/>
          <w:bCs/>
          <w:sz w:val="24"/>
          <w:szCs w:val="24"/>
        </w:rPr>
        <w:t xml:space="preserve">MS 6732447 PR 0673244-7, 2011. Disponível em: </w:t>
      </w:r>
    </w:p>
    <w:p w:rsidR="00F41DB4" w:rsidRPr="002E0D0E" w:rsidRDefault="00F41DB4" w:rsidP="002E0D0E">
      <w:pPr>
        <w:spacing w:after="0" w:line="240" w:lineRule="auto"/>
        <w:rPr>
          <w:rFonts w:ascii="Times New Roman" w:hAnsi="Times New Roman" w:cs="Times New Roman"/>
          <w:bCs/>
          <w:sz w:val="24"/>
          <w:szCs w:val="24"/>
        </w:rPr>
      </w:pPr>
      <w:r w:rsidRPr="00043F0D">
        <w:rPr>
          <w:rFonts w:ascii="Times New Roman" w:hAnsi="Times New Roman" w:cs="Times New Roman"/>
          <w:bCs/>
          <w:sz w:val="24"/>
          <w:szCs w:val="24"/>
        </w:rPr>
        <w:t>&lt;http://tj-pr.</w:t>
      </w:r>
      <w:r w:rsidRPr="002E0D0E">
        <w:rPr>
          <w:rFonts w:ascii="Times New Roman" w:hAnsi="Times New Roman" w:cs="Times New Roman"/>
          <w:bCs/>
          <w:sz w:val="24"/>
          <w:szCs w:val="24"/>
        </w:rPr>
        <w:t>jusbrasil.com.br/jurisprudencia/19565425/mandado-de-seguranca-ms-6732447-pr-0673244-7/inteiro-teor-104390265.&gt;. Acesso em: 26 mar. 2016.</w:t>
      </w:r>
    </w:p>
    <w:p w:rsidR="00F41DB4" w:rsidRPr="00B26106" w:rsidRDefault="00F41DB4" w:rsidP="00B26106">
      <w:pPr>
        <w:spacing w:after="0" w:line="360" w:lineRule="auto"/>
        <w:rPr>
          <w:rFonts w:ascii="Times New Roman" w:hAnsi="Times New Roman" w:cs="Times New Roman"/>
          <w:bCs/>
          <w:sz w:val="24"/>
          <w:szCs w:val="24"/>
        </w:rPr>
      </w:pPr>
    </w:p>
    <w:sectPr w:rsidR="00F41DB4" w:rsidRPr="00B26106" w:rsidSect="00F56654">
      <w:headerReference w:type="default" r:id="rId11"/>
      <w:headerReference w:type="firs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D8" w:rsidRDefault="00B930D8" w:rsidP="00B26106">
      <w:pPr>
        <w:spacing w:after="0" w:line="240" w:lineRule="auto"/>
      </w:pPr>
      <w:r>
        <w:separator/>
      </w:r>
    </w:p>
  </w:endnote>
  <w:endnote w:type="continuationSeparator" w:id="0">
    <w:p w:rsidR="00B930D8" w:rsidRDefault="00B930D8" w:rsidP="00B2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D8" w:rsidRDefault="00B930D8" w:rsidP="00B26106">
      <w:pPr>
        <w:spacing w:after="0" w:line="240" w:lineRule="auto"/>
      </w:pPr>
      <w:r>
        <w:separator/>
      </w:r>
    </w:p>
  </w:footnote>
  <w:footnote w:type="continuationSeparator" w:id="0">
    <w:p w:rsidR="00B930D8" w:rsidRDefault="00B930D8" w:rsidP="00B26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670202"/>
      <w:docPartObj>
        <w:docPartGallery w:val="Page Numbers (Top of Page)"/>
        <w:docPartUnique/>
      </w:docPartObj>
    </w:sdtPr>
    <w:sdtEndPr>
      <w:rPr>
        <w:rFonts w:ascii="Times New Roman" w:hAnsi="Times New Roman" w:cs="Times New Roman"/>
        <w:sz w:val="20"/>
        <w:szCs w:val="20"/>
      </w:rPr>
    </w:sdtEndPr>
    <w:sdtContent>
      <w:p w:rsidR="00F56654" w:rsidRPr="00F56654" w:rsidRDefault="00F56654">
        <w:pPr>
          <w:pStyle w:val="Cabealho"/>
          <w:jc w:val="right"/>
          <w:rPr>
            <w:rFonts w:ascii="Times New Roman" w:hAnsi="Times New Roman" w:cs="Times New Roman"/>
            <w:sz w:val="20"/>
            <w:szCs w:val="20"/>
          </w:rPr>
        </w:pPr>
        <w:r w:rsidRPr="00F56654">
          <w:rPr>
            <w:rFonts w:ascii="Times New Roman" w:hAnsi="Times New Roman" w:cs="Times New Roman"/>
            <w:sz w:val="20"/>
            <w:szCs w:val="20"/>
          </w:rPr>
          <w:fldChar w:fldCharType="begin"/>
        </w:r>
        <w:r w:rsidRPr="00F56654">
          <w:rPr>
            <w:rFonts w:ascii="Times New Roman" w:hAnsi="Times New Roman" w:cs="Times New Roman"/>
            <w:sz w:val="20"/>
            <w:szCs w:val="20"/>
          </w:rPr>
          <w:instrText>PAGE   \* MERGEFORMAT</w:instrText>
        </w:r>
        <w:r w:rsidRPr="00F56654">
          <w:rPr>
            <w:rFonts w:ascii="Times New Roman" w:hAnsi="Times New Roman" w:cs="Times New Roman"/>
            <w:sz w:val="20"/>
            <w:szCs w:val="20"/>
          </w:rPr>
          <w:fldChar w:fldCharType="separate"/>
        </w:r>
        <w:r w:rsidR="00E042CA">
          <w:rPr>
            <w:rFonts w:ascii="Times New Roman" w:hAnsi="Times New Roman" w:cs="Times New Roman"/>
            <w:noProof/>
            <w:sz w:val="20"/>
            <w:szCs w:val="20"/>
          </w:rPr>
          <w:t>2</w:t>
        </w:r>
        <w:r w:rsidRPr="00F56654">
          <w:rPr>
            <w:rFonts w:ascii="Times New Roman" w:hAnsi="Times New Roman" w:cs="Times New Roman"/>
            <w:sz w:val="20"/>
            <w:szCs w:val="20"/>
          </w:rPr>
          <w:fldChar w:fldCharType="end"/>
        </w:r>
      </w:p>
    </w:sdtContent>
  </w:sdt>
  <w:p w:rsidR="00F56654" w:rsidRDefault="00F56654" w:rsidP="00F56654">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654" w:rsidRDefault="00F56654" w:rsidP="00F56654">
    <w:pPr>
      <w:pStyle w:val="Cabealho"/>
      <w:jc w:val="center"/>
    </w:pPr>
    <w:r w:rsidRPr="00C968C2">
      <w:rPr>
        <w:noProof/>
        <w:lang w:eastAsia="pt-BR"/>
      </w:rPr>
      <w:drawing>
        <wp:inline distT="0" distB="0" distL="0" distR="0" wp14:anchorId="1D9AEF2B" wp14:editId="5BD60CC7">
          <wp:extent cx="1657350" cy="410671"/>
          <wp:effectExtent l="0" t="0" r="0" b="8890"/>
          <wp:docPr id="3" name="Imagem 1" descr="C:\Users\Lívia\Desktop\logo_un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ívia\Desktop\logo_undb.png"/>
                  <pic:cNvPicPr>
                    <a:picLocks noChangeAspect="1" noChangeArrowheads="1"/>
                  </pic:cNvPicPr>
                </pic:nvPicPr>
                <pic:blipFill>
                  <a:blip r:embed="rId1"/>
                  <a:srcRect/>
                  <a:stretch>
                    <a:fillRect/>
                  </a:stretch>
                </pic:blipFill>
                <pic:spPr bwMode="auto">
                  <a:xfrm>
                    <a:off x="0" y="0"/>
                    <a:ext cx="1668352" cy="41339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30809"/>
    <w:multiLevelType w:val="multilevel"/>
    <w:tmpl w:val="C308B56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8E"/>
    <w:rsid w:val="00043F0D"/>
    <w:rsid w:val="00094A0E"/>
    <w:rsid w:val="00107C19"/>
    <w:rsid w:val="0013108E"/>
    <w:rsid w:val="001348DF"/>
    <w:rsid w:val="001842AD"/>
    <w:rsid w:val="002D34B4"/>
    <w:rsid w:val="002E0D0E"/>
    <w:rsid w:val="00386E5D"/>
    <w:rsid w:val="003A18EB"/>
    <w:rsid w:val="003F65BD"/>
    <w:rsid w:val="00437A61"/>
    <w:rsid w:val="004A27C5"/>
    <w:rsid w:val="004E5889"/>
    <w:rsid w:val="00591F8D"/>
    <w:rsid w:val="005F68C6"/>
    <w:rsid w:val="006913BD"/>
    <w:rsid w:val="007173C3"/>
    <w:rsid w:val="007374C7"/>
    <w:rsid w:val="007F6E67"/>
    <w:rsid w:val="00856A2A"/>
    <w:rsid w:val="008716D8"/>
    <w:rsid w:val="008D23A8"/>
    <w:rsid w:val="009F3437"/>
    <w:rsid w:val="00A2054E"/>
    <w:rsid w:val="00A33DEE"/>
    <w:rsid w:val="00AD24AC"/>
    <w:rsid w:val="00AE469C"/>
    <w:rsid w:val="00B26106"/>
    <w:rsid w:val="00B27849"/>
    <w:rsid w:val="00B651A9"/>
    <w:rsid w:val="00B930D8"/>
    <w:rsid w:val="00B9372C"/>
    <w:rsid w:val="00C544DB"/>
    <w:rsid w:val="00D33354"/>
    <w:rsid w:val="00DA7DB9"/>
    <w:rsid w:val="00DC26E0"/>
    <w:rsid w:val="00E042CA"/>
    <w:rsid w:val="00E17BE1"/>
    <w:rsid w:val="00EF3C91"/>
    <w:rsid w:val="00F03FBA"/>
    <w:rsid w:val="00F10E52"/>
    <w:rsid w:val="00F41DB4"/>
    <w:rsid w:val="00F56654"/>
    <w:rsid w:val="00FD3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8E"/>
  </w:style>
  <w:style w:type="paragraph" w:styleId="Ttulo1">
    <w:name w:val="heading 1"/>
    <w:basedOn w:val="Normal"/>
    <w:next w:val="Normal"/>
    <w:link w:val="Ttulo1Char"/>
    <w:uiPriority w:val="9"/>
    <w:qFormat/>
    <w:rsid w:val="009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108E"/>
    <w:pPr>
      <w:ind w:left="720"/>
      <w:contextualSpacing/>
    </w:pPr>
  </w:style>
  <w:style w:type="character" w:styleId="Hyperlink">
    <w:name w:val="Hyperlink"/>
    <w:basedOn w:val="Fontepargpadro"/>
    <w:uiPriority w:val="99"/>
    <w:unhideWhenUsed/>
    <w:rsid w:val="0013108E"/>
    <w:rPr>
      <w:color w:val="0000FF" w:themeColor="hyperlink"/>
      <w:u w:val="single"/>
    </w:rPr>
  </w:style>
  <w:style w:type="paragraph" w:styleId="Textodebalo">
    <w:name w:val="Balloon Text"/>
    <w:basedOn w:val="Normal"/>
    <w:link w:val="TextodebaloChar"/>
    <w:uiPriority w:val="99"/>
    <w:semiHidden/>
    <w:unhideWhenUsed/>
    <w:rsid w:val="001310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108E"/>
    <w:rPr>
      <w:rFonts w:ascii="Tahoma" w:hAnsi="Tahoma" w:cs="Tahoma"/>
      <w:sz w:val="16"/>
      <w:szCs w:val="16"/>
    </w:rPr>
  </w:style>
  <w:style w:type="character" w:customStyle="1" w:styleId="Ttulo1Char">
    <w:name w:val="Título 1 Char"/>
    <w:basedOn w:val="Fontepargpadro"/>
    <w:link w:val="Ttulo1"/>
    <w:uiPriority w:val="9"/>
    <w:rsid w:val="009F3437"/>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B261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6106"/>
    <w:rPr>
      <w:sz w:val="20"/>
      <w:szCs w:val="20"/>
    </w:rPr>
  </w:style>
  <w:style w:type="character" w:styleId="Refdenotaderodap">
    <w:name w:val="footnote reference"/>
    <w:basedOn w:val="Fontepargpadro"/>
    <w:uiPriority w:val="99"/>
    <w:semiHidden/>
    <w:unhideWhenUsed/>
    <w:rsid w:val="00B26106"/>
    <w:rPr>
      <w:vertAlign w:val="superscript"/>
    </w:rPr>
  </w:style>
  <w:style w:type="paragraph" w:styleId="Cabealho">
    <w:name w:val="header"/>
    <w:basedOn w:val="Normal"/>
    <w:link w:val="CabealhoChar"/>
    <w:uiPriority w:val="99"/>
    <w:unhideWhenUsed/>
    <w:rsid w:val="00F566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6654"/>
  </w:style>
  <w:style w:type="paragraph" w:styleId="Rodap">
    <w:name w:val="footer"/>
    <w:basedOn w:val="Normal"/>
    <w:link w:val="RodapChar"/>
    <w:uiPriority w:val="99"/>
    <w:unhideWhenUsed/>
    <w:rsid w:val="00F56654"/>
    <w:pPr>
      <w:tabs>
        <w:tab w:val="center" w:pos="4252"/>
        <w:tab w:val="right" w:pos="8504"/>
      </w:tabs>
      <w:spacing w:after="0" w:line="240" w:lineRule="auto"/>
    </w:pPr>
  </w:style>
  <w:style w:type="character" w:customStyle="1" w:styleId="RodapChar">
    <w:name w:val="Rodapé Char"/>
    <w:basedOn w:val="Fontepargpadro"/>
    <w:link w:val="Rodap"/>
    <w:uiPriority w:val="99"/>
    <w:rsid w:val="00F56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8E"/>
  </w:style>
  <w:style w:type="paragraph" w:styleId="Ttulo1">
    <w:name w:val="heading 1"/>
    <w:basedOn w:val="Normal"/>
    <w:next w:val="Normal"/>
    <w:link w:val="Ttulo1Char"/>
    <w:uiPriority w:val="9"/>
    <w:qFormat/>
    <w:rsid w:val="009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108E"/>
    <w:pPr>
      <w:ind w:left="720"/>
      <w:contextualSpacing/>
    </w:pPr>
  </w:style>
  <w:style w:type="character" w:styleId="Hyperlink">
    <w:name w:val="Hyperlink"/>
    <w:basedOn w:val="Fontepargpadro"/>
    <w:uiPriority w:val="99"/>
    <w:unhideWhenUsed/>
    <w:rsid w:val="0013108E"/>
    <w:rPr>
      <w:color w:val="0000FF" w:themeColor="hyperlink"/>
      <w:u w:val="single"/>
    </w:rPr>
  </w:style>
  <w:style w:type="paragraph" w:styleId="Textodebalo">
    <w:name w:val="Balloon Text"/>
    <w:basedOn w:val="Normal"/>
    <w:link w:val="TextodebaloChar"/>
    <w:uiPriority w:val="99"/>
    <w:semiHidden/>
    <w:unhideWhenUsed/>
    <w:rsid w:val="001310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108E"/>
    <w:rPr>
      <w:rFonts w:ascii="Tahoma" w:hAnsi="Tahoma" w:cs="Tahoma"/>
      <w:sz w:val="16"/>
      <w:szCs w:val="16"/>
    </w:rPr>
  </w:style>
  <w:style w:type="character" w:customStyle="1" w:styleId="Ttulo1Char">
    <w:name w:val="Título 1 Char"/>
    <w:basedOn w:val="Fontepargpadro"/>
    <w:link w:val="Ttulo1"/>
    <w:uiPriority w:val="9"/>
    <w:rsid w:val="009F3437"/>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B261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6106"/>
    <w:rPr>
      <w:sz w:val="20"/>
      <w:szCs w:val="20"/>
    </w:rPr>
  </w:style>
  <w:style w:type="character" w:styleId="Refdenotaderodap">
    <w:name w:val="footnote reference"/>
    <w:basedOn w:val="Fontepargpadro"/>
    <w:uiPriority w:val="99"/>
    <w:semiHidden/>
    <w:unhideWhenUsed/>
    <w:rsid w:val="00B26106"/>
    <w:rPr>
      <w:vertAlign w:val="superscript"/>
    </w:rPr>
  </w:style>
  <w:style w:type="paragraph" w:styleId="Cabealho">
    <w:name w:val="header"/>
    <w:basedOn w:val="Normal"/>
    <w:link w:val="CabealhoChar"/>
    <w:uiPriority w:val="99"/>
    <w:unhideWhenUsed/>
    <w:rsid w:val="00F566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6654"/>
  </w:style>
  <w:style w:type="paragraph" w:styleId="Rodap">
    <w:name w:val="footer"/>
    <w:basedOn w:val="Normal"/>
    <w:link w:val="RodapChar"/>
    <w:uiPriority w:val="99"/>
    <w:unhideWhenUsed/>
    <w:rsid w:val="00F56654"/>
    <w:pPr>
      <w:tabs>
        <w:tab w:val="center" w:pos="4252"/>
        <w:tab w:val="right" w:pos="8504"/>
      </w:tabs>
      <w:spacing w:after="0" w:line="240" w:lineRule="auto"/>
    </w:pPr>
  </w:style>
  <w:style w:type="character" w:customStyle="1" w:styleId="RodapChar">
    <w:name w:val="Rodapé Char"/>
    <w:basedOn w:val="Fontepargpadro"/>
    <w:link w:val="Rodap"/>
    <w:uiPriority w:val="99"/>
    <w:rsid w:val="00F5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3050">
      <w:bodyDiv w:val="1"/>
      <w:marLeft w:val="0"/>
      <w:marRight w:val="0"/>
      <w:marTop w:val="0"/>
      <w:marBottom w:val="0"/>
      <w:divBdr>
        <w:top w:val="none" w:sz="0" w:space="0" w:color="auto"/>
        <w:left w:val="none" w:sz="0" w:space="0" w:color="auto"/>
        <w:bottom w:val="none" w:sz="0" w:space="0" w:color="auto"/>
        <w:right w:val="none" w:sz="0" w:space="0" w:color="auto"/>
      </w:divBdr>
      <w:divsChild>
        <w:div w:id="836312286">
          <w:marLeft w:val="0"/>
          <w:marRight w:val="0"/>
          <w:marTop w:val="0"/>
          <w:marBottom w:val="150"/>
          <w:divBdr>
            <w:top w:val="none" w:sz="0" w:space="0" w:color="auto"/>
            <w:left w:val="none" w:sz="0" w:space="0" w:color="auto"/>
            <w:bottom w:val="none" w:sz="0" w:space="0" w:color="auto"/>
            <w:right w:val="none" w:sz="0" w:space="0" w:color="auto"/>
          </w:divBdr>
        </w:div>
      </w:divsChild>
    </w:div>
    <w:div w:id="433794552">
      <w:bodyDiv w:val="1"/>
      <w:marLeft w:val="0"/>
      <w:marRight w:val="0"/>
      <w:marTop w:val="0"/>
      <w:marBottom w:val="0"/>
      <w:divBdr>
        <w:top w:val="none" w:sz="0" w:space="0" w:color="auto"/>
        <w:left w:val="none" w:sz="0" w:space="0" w:color="auto"/>
        <w:bottom w:val="none" w:sz="0" w:space="0" w:color="auto"/>
        <w:right w:val="none" w:sz="0" w:space="0" w:color="auto"/>
      </w:divBdr>
      <w:divsChild>
        <w:div w:id="1759714649">
          <w:marLeft w:val="0"/>
          <w:marRight w:val="0"/>
          <w:marTop w:val="0"/>
          <w:marBottom w:val="0"/>
          <w:divBdr>
            <w:top w:val="none" w:sz="0" w:space="0" w:color="auto"/>
            <w:left w:val="none" w:sz="0" w:space="0" w:color="auto"/>
            <w:bottom w:val="none" w:sz="0" w:space="0" w:color="auto"/>
            <w:right w:val="none" w:sz="0" w:space="0" w:color="auto"/>
          </w:divBdr>
        </w:div>
        <w:div w:id="20517046">
          <w:marLeft w:val="0"/>
          <w:marRight w:val="0"/>
          <w:marTop w:val="0"/>
          <w:marBottom w:val="0"/>
          <w:divBdr>
            <w:top w:val="none" w:sz="0" w:space="0" w:color="auto"/>
            <w:left w:val="none" w:sz="0" w:space="0" w:color="auto"/>
            <w:bottom w:val="none" w:sz="0" w:space="0" w:color="auto"/>
            <w:right w:val="none" w:sz="0" w:space="0" w:color="auto"/>
          </w:divBdr>
        </w:div>
      </w:divsChild>
    </w:div>
    <w:div w:id="731467932">
      <w:bodyDiv w:val="1"/>
      <w:marLeft w:val="0"/>
      <w:marRight w:val="0"/>
      <w:marTop w:val="0"/>
      <w:marBottom w:val="0"/>
      <w:divBdr>
        <w:top w:val="none" w:sz="0" w:space="0" w:color="auto"/>
        <w:left w:val="none" w:sz="0" w:space="0" w:color="auto"/>
        <w:bottom w:val="none" w:sz="0" w:space="0" w:color="auto"/>
        <w:right w:val="none" w:sz="0" w:space="0" w:color="auto"/>
      </w:divBdr>
    </w:div>
    <w:div w:id="843478250">
      <w:bodyDiv w:val="1"/>
      <w:marLeft w:val="0"/>
      <w:marRight w:val="0"/>
      <w:marTop w:val="0"/>
      <w:marBottom w:val="0"/>
      <w:divBdr>
        <w:top w:val="none" w:sz="0" w:space="0" w:color="auto"/>
        <w:left w:val="none" w:sz="0" w:space="0" w:color="auto"/>
        <w:bottom w:val="none" w:sz="0" w:space="0" w:color="auto"/>
        <w:right w:val="none" w:sz="0" w:space="0" w:color="auto"/>
      </w:divBdr>
      <w:divsChild>
        <w:div w:id="563495294">
          <w:marLeft w:val="0"/>
          <w:marRight w:val="0"/>
          <w:marTop w:val="0"/>
          <w:marBottom w:val="0"/>
          <w:divBdr>
            <w:top w:val="none" w:sz="0" w:space="0" w:color="auto"/>
            <w:left w:val="none" w:sz="0" w:space="0" w:color="auto"/>
            <w:bottom w:val="none" w:sz="0" w:space="0" w:color="auto"/>
            <w:right w:val="none" w:sz="0" w:space="0" w:color="auto"/>
          </w:divBdr>
        </w:div>
        <w:div w:id="325481208">
          <w:marLeft w:val="0"/>
          <w:marRight w:val="0"/>
          <w:marTop w:val="0"/>
          <w:marBottom w:val="0"/>
          <w:divBdr>
            <w:top w:val="none" w:sz="0" w:space="0" w:color="auto"/>
            <w:left w:val="none" w:sz="0" w:space="0" w:color="auto"/>
            <w:bottom w:val="none" w:sz="0" w:space="0" w:color="auto"/>
            <w:right w:val="none" w:sz="0" w:space="0" w:color="auto"/>
          </w:divBdr>
        </w:div>
      </w:divsChild>
    </w:div>
    <w:div w:id="882792099">
      <w:bodyDiv w:val="1"/>
      <w:marLeft w:val="0"/>
      <w:marRight w:val="0"/>
      <w:marTop w:val="0"/>
      <w:marBottom w:val="0"/>
      <w:divBdr>
        <w:top w:val="none" w:sz="0" w:space="0" w:color="auto"/>
        <w:left w:val="none" w:sz="0" w:space="0" w:color="auto"/>
        <w:bottom w:val="none" w:sz="0" w:space="0" w:color="auto"/>
        <w:right w:val="none" w:sz="0" w:space="0" w:color="auto"/>
      </w:divBdr>
    </w:div>
    <w:div w:id="886183408">
      <w:bodyDiv w:val="1"/>
      <w:marLeft w:val="0"/>
      <w:marRight w:val="0"/>
      <w:marTop w:val="0"/>
      <w:marBottom w:val="0"/>
      <w:divBdr>
        <w:top w:val="none" w:sz="0" w:space="0" w:color="auto"/>
        <w:left w:val="none" w:sz="0" w:space="0" w:color="auto"/>
        <w:bottom w:val="none" w:sz="0" w:space="0" w:color="auto"/>
        <w:right w:val="none" w:sz="0" w:space="0" w:color="auto"/>
      </w:divBdr>
    </w:div>
    <w:div w:id="1355964417">
      <w:bodyDiv w:val="1"/>
      <w:marLeft w:val="0"/>
      <w:marRight w:val="0"/>
      <w:marTop w:val="0"/>
      <w:marBottom w:val="0"/>
      <w:divBdr>
        <w:top w:val="none" w:sz="0" w:space="0" w:color="auto"/>
        <w:left w:val="none" w:sz="0" w:space="0" w:color="auto"/>
        <w:bottom w:val="none" w:sz="0" w:space="0" w:color="auto"/>
        <w:right w:val="none" w:sz="0" w:space="0" w:color="auto"/>
      </w:divBdr>
    </w:div>
    <w:div w:id="1708749002">
      <w:bodyDiv w:val="1"/>
      <w:marLeft w:val="0"/>
      <w:marRight w:val="0"/>
      <w:marTop w:val="0"/>
      <w:marBottom w:val="0"/>
      <w:divBdr>
        <w:top w:val="none" w:sz="0" w:space="0" w:color="auto"/>
        <w:left w:val="none" w:sz="0" w:space="0" w:color="auto"/>
        <w:bottom w:val="none" w:sz="0" w:space="0" w:color="auto"/>
        <w:right w:val="none" w:sz="0" w:space="0" w:color="auto"/>
      </w:divBdr>
      <w:divsChild>
        <w:div w:id="9613081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usbrasil.com.br/busca?s=jurisprudencia&amp;q=titulo:RMS%2026.735/MG" TargetMode="External"/><Relationship Id="rId4" Type="http://schemas.microsoft.com/office/2007/relationships/stylesWithEffects" Target="stylesWithEffects.xml"/><Relationship Id="rId9" Type="http://schemas.openxmlformats.org/officeDocument/2006/relationships/hyperlink" Target="http://www.jusbrasil.com.br/busca?s=jurisprudencia&amp;q=titulo:RMS%2026.735/M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51ED-059F-4E1A-8A4D-E67F26C3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11129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Thiara Pereira</dc:creator>
  <cp:lastModifiedBy>Lucas</cp:lastModifiedBy>
  <cp:revision>2</cp:revision>
  <dcterms:created xsi:type="dcterms:W3CDTF">2018-06-20T15:54:00Z</dcterms:created>
  <dcterms:modified xsi:type="dcterms:W3CDTF">2018-06-20T15:54:00Z</dcterms:modified>
</cp:coreProperties>
</file>