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93A" w:rsidRDefault="006B45D9" w:rsidP="0070393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ARTIGO</w:t>
      </w:r>
      <w:r w:rsidR="0070393A" w:rsidRPr="00BF46A8">
        <w:rPr>
          <w:rFonts w:ascii="Times New Roman" w:hAnsi="Times New Roman" w:cs="Times New Roman"/>
          <w:b/>
          <w:sz w:val="24"/>
          <w:szCs w:val="24"/>
        </w:rPr>
        <w:t>:</w:t>
      </w:r>
      <w:r w:rsidR="007039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098F">
        <w:rPr>
          <w:rFonts w:ascii="Times New Roman" w:hAnsi="Times New Roman" w:cs="Times New Roman"/>
          <w:sz w:val="24"/>
          <w:szCs w:val="24"/>
        </w:rPr>
        <w:t>Execução por quantia certa fundada em título executivo extrajudicial</w:t>
      </w:r>
    </w:p>
    <w:p w:rsidR="0070393A" w:rsidRDefault="007773D2" w:rsidP="006B45D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Lucas Brito Ferreira Sousa</w:t>
      </w:r>
    </w:p>
    <w:p w:rsidR="006B45D9" w:rsidRDefault="006B45D9" w:rsidP="006B45D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4055D" w:rsidRDefault="0044055D" w:rsidP="0044055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95F94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495F94">
        <w:rPr>
          <w:rFonts w:ascii="Times New Roman" w:hAnsi="Times New Roman" w:cs="Times New Roman"/>
          <w:b/>
          <w:sz w:val="24"/>
          <w:szCs w:val="24"/>
        </w:rPr>
        <w:t xml:space="preserve"> DESCRIÇÃO DO CASO </w:t>
      </w:r>
    </w:p>
    <w:p w:rsidR="00DD348D" w:rsidRDefault="00DD348D" w:rsidP="0044055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1767" w:rsidRPr="00791C0E" w:rsidRDefault="00585497" w:rsidP="00791C0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9B1767" w:rsidRPr="00791C0E">
        <w:rPr>
          <w:rFonts w:ascii="Times New Roman" w:hAnsi="Times New Roman" w:cs="Times New Roman"/>
          <w:sz w:val="24"/>
          <w:szCs w:val="24"/>
        </w:rPr>
        <w:t>Moabe</w:t>
      </w:r>
      <w:proofErr w:type="spellEnd"/>
      <w:r w:rsidR="009B1767" w:rsidRPr="00791C0E">
        <w:rPr>
          <w:rFonts w:ascii="Times New Roman" w:hAnsi="Times New Roman" w:cs="Times New Roman"/>
          <w:sz w:val="24"/>
          <w:szCs w:val="24"/>
        </w:rPr>
        <w:t xml:space="preserve"> tornou-se detentor de 100% das quotas do capital social da empresa </w:t>
      </w:r>
      <w:proofErr w:type="spellStart"/>
      <w:r w:rsidR="009B1767" w:rsidRPr="00791C0E">
        <w:rPr>
          <w:rFonts w:ascii="Times New Roman" w:hAnsi="Times New Roman" w:cs="Times New Roman"/>
          <w:sz w:val="24"/>
          <w:szCs w:val="24"/>
        </w:rPr>
        <w:t>Betsaida</w:t>
      </w:r>
      <w:proofErr w:type="spellEnd"/>
      <w:r w:rsidR="009B1767" w:rsidRPr="00791C0E">
        <w:rPr>
          <w:rFonts w:ascii="Times New Roman" w:hAnsi="Times New Roman" w:cs="Times New Roman"/>
          <w:sz w:val="24"/>
          <w:szCs w:val="24"/>
        </w:rPr>
        <w:t xml:space="preserve"> Veículos LTDA., atuante no comércio de automóveis. E com a finalidade de captar recursos financeiros e impulsionar as atividades da empresa, </w:t>
      </w:r>
      <w:proofErr w:type="spellStart"/>
      <w:r w:rsidR="009B1767" w:rsidRPr="00791C0E">
        <w:rPr>
          <w:rFonts w:ascii="Times New Roman" w:hAnsi="Times New Roman" w:cs="Times New Roman"/>
          <w:sz w:val="24"/>
          <w:szCs w:val="24"/>
        </w:rPr>
        <w:t>Moabe</w:t>
      </w:r>
      <w:proofErr w:type="spellEnd"/>
      <w:r w:rsidR="009B1767" w:rsidRPr="00791C0E">
        <w:rPr>
          <w:rFonts w:ascii="Times New Roman" w:hAnsi="Times New Roman" w:cs="Times New Roman"/>
          <w:sz w:val="24"/>
          <w:szCs w:val="24"/>
        </w:rPr>
        <w:t xml:space="preserve"> buscou investidores para adquirir quotas da tal empresa.</w:t>
      </w:r>
    </w:p>
    <w:p w:rsidR="009B1767" w:rsidRPr="00791C0E" w:rsidRDefault="009B1767" w:rsidP="00791C0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91C0E">
        <w:rPr>
          <w:rFonts w:ascii="Times New Roman" w:hAnsi="Times New Roman" w:cs="Times New Roman"/>
          <w:sz w:val="24"/>
          <w:szCs w:val="24"/>
        </w:rPr>
        <w:t xml:space="preserve">Calebe assinou em fevereiro de 2010 um protocolo de </w:t>
      </w:r>
      <w:r w:rsidR="00791C0E" w:rsidRPr="00791C0E">
        <w:rPr>
          <w:rFonts w:ascii="Times New Roman" w:hAnsi="Times New Roman" w:cs="Times New Roman"/>
          <w:sz w:val="24"/>
          <w:szCs w:val="24"/>
        </w:rPr>
        <w:t>intenções</w:t>
      </w:r>
      <w:r w:rsidRPr="00791C0E">
        <w:rPr>
          <w:rFonts w:ascii="Times New Roman" w:hAnsi="Times New Roman" w:cs="Times New Roman"/>
          <w:sz w:val="24"/>
          <w:szCs w:val="24"/>
        </w:rPr>
        <w:t xml:space="preserve"> juntamente com duas testemunhas. Instrumento esse que foi firmado por </w:t>
      </w:r>
      <w:proofErr w:type="spellStart"/>
      <w:r w:rsidRPr="00791C0E">
        <w:rPr>
          <w:rFonts w:ascii="Times New Roman" w:hAnsi="Times New Roman" w:cs="Times New Roman"/>
          <w:sz w:val="24"/>
          <w:szCs w:val="24"/>
        </w:rPr>
        <w:t>Raabe</w:t>
      </w:r>
      <w:proofErr w:type="spellEnd"/>
      <w:r w:rsidRPr="00791C0E">
        <w:rPr>
          <w:rFonts w:ascii="Times New Roman" w:hAnsi="Times New Roman" w:cs="Times New Roman"/>
          <w:sz w:val="24"/>
          <w:szCs w:val="24"/>
        </w:rPr>
        <w:t xml:space="preserve">, sua esposa. Logo, o mesmo manifestou sua intenção de adquirir 50% do capital social da empresa </w:t>
      </w:r>
      <w:proofErr w:type="spellStart"/>
      <w:r w:rsidRPr="00791C0E">
        <w:rPr>
          <w:rFonts w:ascii="Times New Roman" w:hAnsi="Times New Roman" w:cs="Times New Roman"/>
          <w:sz w:val="24"/>
          <w:szCs w:val="24"/>
        </w:rPr>
        <w:t>Betsaida</w:t>
      </w:r>
      <w:proofErr w:type="spellEnd"/>
      <w:r w:rsidRPr="00791C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91C0E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791C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91C0E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791C0E">
        <w:rPr>
          <w:rFonts w:ascii="Times New Roman" w:hAnsi="Times New Roman" w:cs="Times New Roman"/>
          <w:sz w:val="24"/>
          <w:szCs w:val="24"/>
        </w:rPr>
        <w:t xml:space="preserve"> mesmo deveria </w:t>
      </w:r>
      <w:r w:rsidR="00791C0E" w:rsidRPr="00791C0E">
        <w:rPr>
          <w:rFonts w:ascii="Times New Roman" w:hAnsi="Times New Roman" w:cs="Times New Roman"/>
          <w:sz w:val="24"/>
          <w:szCs w:val="24"/>
        </w:rPr>
        <w:t>desembolsar</w:t>
      </w:r>
      <w:r w:rsidRPr="00791C0E">
        <w:rPr>
          <w:rFonts w:ascii="Times New Roman" w:hAnsi="Times New Roman" w:cs="Times New Roman"/>
          <w:sz w:val="24"/>
          <w:szCs w:val="24"/>
        </w:rPr>
        <w:t xml:space="preserve"> 1 milhão de reais para que varejista de </w:t>
      </w:r>
      <w:r w:rsidR="00791C0E" w:rsidRPr="00791C0E">
        <w:rPr>
          <w:rFonts w:ascii="Times New Roman" w:hAnsi="Times New Roman" w:cs="Times New Roman"/>
          <w:sz w:val="24"/>
          <w:szCs w:val="24"/>
        </w:rPr>
        <w:t>veículos</w:t>
      </w:r>
      <w:r w:rsidRPr="00791C0E">
        <w:rPr>
          <w:rFonts w:ascii="Times New Roman" w:hAnsi="Times New Roman" w:cs="Times New Roman"/>
          <w:sz w:val="24"/>
          <w:szCs w:val="24"/>
        </w:rPr>
        <w:t xml:space="preserve"> realizasse a quitação de dividas. Porem, em seguida Calebe desistiu.</w:t>
      </w:r>
    </w:p>
    <w:p w:rsidR="00CF24FF" w:rsidRDefault="00791C0E" w:rsidP="00791C0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91C0E">
        <w:rPr>
          <w:rFonts w:ascii="Times New Roman" w:hAnsi="Times New Roman" w:cs="Times New Roman"/>
          <w:sz w:val="24"/>
          <w:szCs w:val="24"/>
        </w:rPr>
        <w:t>Inconformados</w:t>
      </w:r>
      <w:r w:rsidR="009B1767" w:rsidRPr="00791C0E">
        <w:rPr>
          <w:rFonts w:ascii="Times New Roman" w:hAnsi="Times New Roman" w:cs="Times New Roman"/>
          <w:sz w:val="24"/>
          <w:szCs w:val="24"/>
        </w:rPr>
        <w:t xml:space="preserve"> com a </w:t>
      </w:r>
      <w:r w:rsidRPr="00791C0E">
        <w:rPr>
          <w:rFonts w:ascii="Times New Roman" w:hAnsi="Times New Roman" w:cs="Times New Roman"/>
          <w:sz w:val="24"/>
          <w:szCs w:val="24"/>
        </w:rPr>
        <w:t>desistência</w:t>
      </w:r>
      <w:r w:rsidR="009B1767" w:rsidRPr="00791C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1767" w:rsidRPr="00791C0E">
        <w:rPr>
          <w:rFonts w:ascii="Times New Roman" w:hAnsi="Times New Roman" w:cs="Times New Roman"/>
          <w:sz w:val="24"/>
          <w:szCs w:val="24"/>
        </w:rPr>
        <w:t>Moabe</w:t>
      </w:r>
      <w:proofErr w:type="spellEnd"/>
      <w:r w:rsidR="009B1767" w:rsidRPr="00791C0E">
        <w:rPr>
          <w:rFonts w:ascii="Times New Roman" w:hAnsi="Times New Roman" w:cs="Times New Roman"/>
          <w:sz w:val="24"/>
          <w:szCs w:val="24"/>
        </w:rPr>
        <w:t xml:space="preserve"> e a empresa </w:t>
      </w:r>
      <w:proofErr w:type="spellStart"/>
      <w:r w:rsidR="009B1767" w:rsidRPr="00791C0E">
        <w:rPr>
          <w:rFonts w:ascii="Times New Roman" w:hAnsi="Times New Roman" w:cs="Times New Roman"/>
          <w:sz w:val="24"/>
          <w:szCs w:val="24"/>
        </w:rPr>
        <w:t>Betsaida</w:t>
      </w:r>
      <w:proofErr w:type="spellEnd"/>
      <w:r w:rsidR="009B1767" w:rsidRPr="00791C0E">
        <w:rPr>
          <w:rFonts w:ascii="Times New Roman" w:hAnsi="Times New Roman" w:cs="Times New Roman"/>
          <w:sz w:val="24"/>
          <w:szCs w:val="24"/>
        </w:rPr>
        <w:t xml:space="preserve">, </w:t>
      </w:r>
      <w:r w:rsidRPr="00791C0E">
        <w:rPr>
          <w:rFonts w:ascii="Times New Roman" w:hAnsi="Times New Roman" w:cs="Times New Roman"/>
          <w:sz w:val="24"/>
          <w:szCs w:val="24"/>
        </w:rPr>
        <w:t>conjuntamente</w:t>
      </w:r>
      <w:r w:rsidR="009B1767" w:rsidRPr="00791C0E">
        <w:rPr>
          <w:rFonts w:ascii="Times New Roman" w:hAnsi="Times New Roman" w:cs="Times New Roman"/>
          <w:sz w:val="24"/>
          <w:szCs w:val="24"/>
        </w:rPr>
        <w:t xml:space="preserve"> ajuizaram ação de execução em março de 2016. Cobrando o valor de R$ 800 mil referente </w:t>
      </w:r>
      <w:proofErr w:type="gramStart"/>
      <w:r w:rsidR="009B1767" w:rsidRPr="00791C0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B1767" w:rsidRPr="00791C0E">
        <w:rPr>
          <w:rFonts w:ascii="Times New Roman" w:hAnsi="Times New Roman" w:cs="Times New Roman"/>
          <w:sz w:val="24"/>
          <w:szCs w:val="24"/>
        </w:rPr>
        <w:t xml:space="preserve"> diferença que não foi repassada a montadora.</w:t>
      </w:r>
      <w:r>
        <w:rPr>
          <w:rFonts w:ascii="Times New Roman" w:hAnsi="Times New Roman" w:cs="Times New Roman"/>
          <w:sz w:val="24"/>
          <w:szCs w:val="24"/>
        </w:rPr>
        <w:t xml:space="preserve"> Após ser frustrada a penhora online, os exequentes requereram a penhora dos direitos do devedor sobre </w:t>
      </w: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ônibus de alienação fiduciária perante um Banco. </w:t>
      </w:r>
    </w:p>
    <w:p w:rsidR="00791C0E" w:rsidRDefault="00791C0E" w:rsidP="00791C0E">
      <w:pPr>
        <w:spacing w:after="0" w:line="360" w:lineRule="auto"/>
        <w:ind w:firstLine="1134"/>
        <w:jc w:val="both"/>
      </w:pPr>
      <w:r>
        <w:t>O Juízo competente, de plano, indeferiu o pedido de penhora, sob o argumento de que CALEBE não seria proprietário dos ônibus, e sim o Banco financiador (credor no contrato de alienação fiduciária). E, logo após a apresentação dos Embargos do Devedor por CALEBE e sua esposa, o Magistrado, de ofício, determinou a suspensão da execução. Por fim, após a resposta aos Embargos por parte de MOABE e BETSAIDA, o Juiz proferiu sentença de extinção do feito executivo, sob o fundamento de que:</w:t>
      </w:r>
    </w:p>
    <w:p w:rsidR="00791C0E" w:rsidRDefault="00791C0E" w:rsidP="00791C0E">
      <w:pPr>
        <w:spacing w:after="0" w:line="360" w:lineRule="auto"/>
        <w:ind w:firstLine="1134"/>
        <w:jc w:val="both"/>
      </w:pPr>
      <w:r>
        <w:t>a) o Protocolo de Intenções não teria natureza de título executivo e, mesmo que o fosse, estaria prescrito;</w:t>
      </w:r>
    </w:p>
    <w:p w:rsidR="00791C0E" w:rsidRDefault="00791C0E" w:rsidP="00791C0E">
      <w:pPr>
        <w:spacing w:after="0" w:line="360" w:lineRule="auto"/>
        <w:ind w:firstLine="1134"/>
        <w:jc w:val="both"/>
      </w:pPr>
      <w:r>
        <w:t xml:space="preserve">b) BETSAIDA e RAABE não teriam legitimidade para figurarem no </w:t>
      </w:r>
      <w:proofErr w:type="spellStart"/>
      <w:r>
        <w:t>pólo</w:t>
      </w:r>
      <w:proofErr w:type="spellEnd"/>
      <w:r>
        <w:t xml:space="preserve"> ativo e passivo, respectivamente, da execução.</w:t>
      </w:r>
    </w:p>
    <w:p w:rsidR="006B45D9" w:rsidRPr="00791C0E" w:rsidRDefault="006B45D9" w:rsidP="00791C0E">
      <w:pPr>
        <w:spacing w:after="0" w:line="360" w:lineRule="auto"/>
        <w:ind w:firstLine="1134"/>
        <w:jc w:val="both"/>
      </w:pPr>
    </w:p>
    <w:p w:rsidR="00DE05A4" w:rsidRPr="00DB42EE" w:rsidRDefault="00CF24FF" w:rsidP="00DB42EE">
      <w:pPr>
        <w:pStyle w:val="Cabealh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F24FF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CF24FF">
        <w:rPr>
          <w:rFonts w:ascii="Times New Roman" w:hAnsi="Times New Roman" w:cs="Times New Roman"/>
          <w:b/>
          <w:sz w:val="24"/>
          <w:szCs w:val="24"/>
        </w:rPr>
        <w:t xml:space="preserve"> QUESTÃO PRINCIPAL</w:t>
      </w:r>
      <w:r w:rsidR="00DB42E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B42EE" w:rsidRPr="00DB42EE">
        <w:rPr>
          <w:rFonts w:ascii="Times New Roman" w:hAnsi="Times New Roman" w:cs="Times New Roman"/>
          <w:sz w:val="24"/>
          <w:szCs w:val="24"/>
        </w:rPr>
        <w:t>O título apontado na inicial de execução é líquido, certo e exigível?</w:t>
      </w:r>
    </w:p>
    <w:p w:rsidR="00DB42EE" w:rsidRPr="00DB42EE" w:rsidRDefault="00511627" w:rsidP="00DB42EE">
      <w:pPr>
        <w:pStyle w:val="Cabealh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“Para fins de tutela executiva, a palavra título está estreitamente vinculada à noção de documento que representa um direito liquido, certo e exigível” (ABELHA, 2016, p. 133). </w:t>
      </w:r>
      <w:r w:rsidRPr="00511627">
        <w:rPr>
          <w:rFonts w:ascii="Times New Roman" w:hAnsi="Times New Roman" w:cs="Times New Roman"/>
          <w:sz w:val="24"/>
          <w:szCs w:val="24"/>
        </w:rPr>
        <w:t>Ainda como argumento para reforçar o exposto, o próprio Código</w:t>
      </w:r>
      <w:r>
        <w:rPr>
          <w:rFonts w:ascii="Times New Roman" w:hAnsi="Times New Roman" w:cs="Times New Roman"/>
          <w:sz w:val="24"/>
          <w:szCs w:val="24"/>
        </w:rPr>
        <w:t xml:space="preserve"> de Processo Civil evidenci</w:t>
      </w:r>
      <w:r w:rsidRPr="00511627">
        <w:rPr>
          <w:rFonts w:ascii="Times New Roman" w:hAnsi="Times New Roman" w:cs="Times New Roman"/>
          <w:sz w:val="24"/>
          <w:szCs w:val="24"/>
        </w:rPr>
        <w:t>a no seu Art.783 como requisitos necessários para realiza</w:t>
      </w:r>
      <w:r>
        <w:rPr>
          <w:rFonts w:ascii="Times New Roman" w:hAnsi="Times New Roman" w:cs="Times New Roman"/>
          <w:sz w:val="24"/>
          <w:szCs w:val="24"/>
        </w:rPr>
        <w:t>r qualquer execução: "Art. 783.</w:t>
      </w:r>
      <w:r w:rsidRPr="00511627">
        <w:rPr>
          <w:rFonts w:ascii="Times New Roman" w:hAnsi="Times New Roman" w:cs="Times New Roman"/>
          <w:sz w:val="24"/>
          <w:szCs w:val="24"/>
        </w:rPr>
        <w:t xml:space="preserve"> A execução para cobrança de crédito fundar-se-á sempre em título de obrigação certa, líquida e exigível." (BRASIL, 2015</w:t>
      </w:r>
      <w:r>
        <w:rPr>
          <w:rFonts w:ascii="Times New Roman" w:hAnsi="Times New Roman" w:cs="Times New Roman"/>
          <w:sz w:val="24"/>
          <w:szCs w:val="24"/>
        </w:rPr>
        <w:t>)</w:t>
      </w:r>
      <w:r w:rsidR="00DB42EE">
        <w:rPr>
          <w:rFonts w:ascii="Times New Roman" w:hAnsi="Times New Roman" w:cs="Times New Roman"/>
          <w:sz w:val="24"/>
          <w:szCs w:val="24"/>
        </w:rPr>
        <w:t>.</w:t>
      </w:r>
    </w:p>
    <w:p w:rsidR="00DB42EE" w:rsidRDefault="00DB42EE" w:rsidP="00DB42EE">
      <w:pPr>
        <w:pStyle w:val="Cabealh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B42EE">
        <w:rPr>
          <w:rFonts w:ascii="Times New Roman" w:hAnsi="Times New Roman" w:cs="Times New Roman"/>
          <w:sz w:val="24"/>
          <w:szCs w:val="24"/>
        </w:rPr>
        <w:t>A assinatura do protocolo de intenções realizada por Calebe juntamente com duas testemunha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B42EE">
        <w:rPr>
          <w:rFonts w:ascii="Times New Roman" w:hAnsi="Times New Roman" w:cs="Times New Roman"/>
          <w:sz w:val="24"/>
          <w:szCs w:val="24"/>
        </w:rPr>
        <w:t xml:space="preserve"> enquadra-se como titulo extrajudicial. Como é exposto pelo Art. 748, inc. III do CPC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" </w:t>
      </w:r>
      <w:proofErr w:type="gramEnd"/>
      <w:r w:rsidRPr="00DB42EE">
        <w:rPr>
          <w:rFonts w:ascii="Times New Roman" w:hAnsi="Times New Roman" w:cs="Times New Roman"/>
          <w:sz w:val="24"/>
          <w:szCs w:val="24"/>
        </w:rPr>
        <w:t>São títulos executivos extrajudiciais: III - o documento particular assinado pelo devedor e por 2 (duas) testemunhas"</w:t>
      </w:r>
      <w:r>
        <w:rPr>
          <w:rFonts w:ascii="Times New Roman" w:hAnsi="Times New Roman" w:cs="Times New Roman"/>
          <w:sz w:val="24"/>
          <w:szCs w:val="24"/>
        </w:rPr>
        <w:t xml:space="preserve"> (BRASIL, 2015)</w:t>
      </w:r>
    </w:p>
    <w:p w:rsidR="00DB42EE" w:rsidRPr="00DB42EE" w:rsidRDefault="00DB42EE" w:rsidP="00DB42EE">
      <w:pPr>
        <w:pStyle w:val="Cabealh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B42EE">
        <w:rPr>
          <w:rFonts w:ascii="Times New Roman" w:hAnsi="Times New Roman" w:cs="Times New Roman"/>
          <w:sz w:val="24"/>
          <w:szCs w:val="24"/>
        </w:rPr>
        <w:t xml:space="preserve">Conforme </w:t>
      </w:r>
      <w:proofErr w:type="spellStart"/>
      <w:r w:rsidRPr="00DB42EE">
        <w:rPr>
          <w:rFonts w:ascii="Times New Roman" w:hAnsi="Times New Roman" w:cs="Times New Roman"/>
          <w:sz w:val="24"/>
          <w:szCs w:val="24"/>
        </w:rPr>
        <w:t>Marinoni</w:t>
      </w:r>
      <w:proofErr w:type="spellEnd"/>
      <w:r w:rsidRPr="00DB42EE">
        <w:rPr>
          <w:rFonts w:ascii="Times New Roman" w:hAnsi="Times New Roman" w:cs="Times New Roman"/>
          <w:sz w:val="24"/>
          <w:szCs w:val="24"/>
        </w:rPr>
        <w:t xml:space="preserve"> (2008) a liquidez refere-se </w:t>
      </w:r>
      <w:proofErr w:type="gramStart"/>
      <w:r w:rsidRPr="00DB42E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B42EE">
        <w:rPr>
          <w:rFonts w:ascii="Times New Roman" w:hAnsi="Times New Roman" w:cs="Times New Roman"/>
          <w:sz w:val="24"/>
          <w:szCs w:val="24"/>
        </w:rPr>
        <w:t xml:space="preserve"> determinação do objeto de prestação, não havendo possibilidade de se exigir de uma pessoa a prestação de algo que não se sabe o que é. Logo, a liquidez refere-se </w:t>
      </w:r>
      <w:proofErr w:type="gramStart"/>
      <w:r w:rsidRPr="00DB42E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B42EE">
        <w:rPr>
          <w:rFonts w:ascii="Times New Roman" w:hAnsi="Times New Roman" w:cs="Times New Roman"/>
          <w:sz w:val="24"/>
          <w:szCs w:val="24"/>
        </w:rPr>
        <w:t xml:space="preserve"> definição do que é devido e sua quantidade. </w:t>
      </w:r>
    </w:p>
    <w:p w:rsidR="00DB42EE" w:rsidRDefault="00DB42EE" w:rsidP="00DB42EE">
      <w:pPr>
        <w:pStyle w:val="Cabealh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B42EE">
        <w:rPr>
          <w:rFonts w:ascii="Times New Roman" w:hAnsi="Times New Roman" w:cs="Times New Roman"/>
          <w:sz w:val="24"/>
          <w:szCs w:val="24"/>
        </w:rPr>
        <w:t xml:space="preserve">Ao observar a inicial, percebe-se que há uma obrigação exata de R$ 800.000,00 referente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B42EE">
        <w:rPr>
          <w:rFonts w:ascii="Times New Roman" w:hAnsi="Times New Roman" w:cs="Times New Roman"/>
          <w:sz w:val="24"/>
          <w:szCs w:val="24"/>
        </w:rPr>
        <w:t xml:space="preserve"> diferença não repassada e mais acréscimos legais. Logo, o titulo é certo e liquido, porém há uma perda de exigibilidade devido à prescrição.</w:t>
      </w:r>
    </w:p>
    <w:p w:rsidR="00CF24FF" w:rsidRDefault="00A5627C" w:rsidP="00A5627C">
      <w:pPr>
        <w:pStyle w:val="Cabealh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627C" w:rsidRDefault="00A5627C" w:rsidP="00A5627C">
      <w:pPr>
        <w:pStyle w:val="Cabealh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62EAC" w:rsidRDefault="00862EAC" w:rsidP="00862EAC">
      <w:pPr>
        <w:pStyle w:val="Cabealh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EAC">
        <w:rPr>
          <w:rFonts w:ascii="Times New Roman" w:hAnsi="Times New Roman" w:cs="Times New Roman"/>
          <w:b/>
          <w:sz w:val="24"/>
          <w:szCs w:val="24"/>
        </w:rPr>
        <w:t xml:space="preserve">2 QUESTÕES SECUNDÁRIAS </w:t>
      </w:r>
    </w:p>
    <w:p w:rsidR="001D0683" w:rsidRDefault="00DB42EE" w:rsidP="001D0683">
      <w:pPr>
        <w:pStyle w:val="Cabealh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DB42EE">
        <w:rPr>
          <w:rFonts w:ascii="Times New Roman" w:hAnsi="Times New Roman" w:cs="Times New Roman"/>
          <w:b/>
          <w:sz w:val="24"/>
          <w:szCs w:val="24"/>
        </w:rPr>
        <w:t>1. O princípio do devido processo legal foi observado no feito?</w:t>
      </w:r>
    </w:p>
    <w:p w:rsidR="00A65F55" w:rsidRDefault="001D0683" w:rsidP="00A65F55">
      <w:pPr>
        <w:pStyle w:val="Cabealh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Não. </w:t>
      </w:r>
      <w:r w:rsidR="00A65F55" w:rsidRPr="00A65F55">
        <w:rPr>
          <w:rFonts w:ascii="Times New Roman" w:hAnsi="Times New Roman" w:cs="Times New Roman"/>
          <w:sz w:val="24"/>
          <w:szCs w:val="24"/>
        </w:rPr>
        <w:t xml:space="preserve">De acordo com Alexandre Freitas Câmara (2014) o devido processo legal deve ser entendido como um processo justo, devendo ser assegurado um tratamento igualitário, com um contraditório equilibrado e verificação de </w:t>
      </w:r>
      <w:proofErr w:type="gramStart"/>
      <w:r w:rsidR="00A65F55" w:rsidRPr="00A65F55">
        <w:rPr>
          <w:rFonts w:ascii="Times New Roman" w:hAnsi="Times New Roman" w:cs="Times New Roman"/>
          <w:sz w:val="24"/>
          <w:szCs w:val="24"/>
        </w:rPr>
        <w:t>todas</w:t>
      </w:r>
      <w:proofErr w:type="gramEnd"/>
      <w:r w:rsidR="00A65F55" w:rsidRPr="00A65F55">
        <w:rPr>
          <w:rFonts w:ascii="Times New Roman" w:hAnsi="Times New Roman" w:cs="Times New Roman"/>
          <w:sz w:val="24"/>
          <w:szCs w:val="24"/>
        </w:rPr>
        <w:t xml:space="preserve"> etapas e garantias previstas em lei.</w:t>
      </w:r>
    </w:p>
    <w:p w:rsidR="00FF6BE4" w:rsidRPr="00FF6BE4" w:rsidRDefault="001D0683" w:rsidP="00A65F55">
      <w:pPr>
        <w:pStyle w:val="Cabealh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Pois h</w:t>
      </w:r>
      <w:r w:rsidRPr="001D0683">
        <w:rPr>
          <w:rFonts w:ascii="Times New Roman" w:hAnsi="Times New Roman" w:cs="Times New Roman"/>
          <w:sz w:val="24"/>
          <w:szCs w:val="24"/>
        </w:rPr>
        <w:t xml:space="preserve">á que se observar que ocorreu a penhora online de dinheiro dos devedores sem antes proceder a citação do executado para pagar a dívida em </w:t>
      </w:r>
      <w:proofErr w:type="gramStart"/>
      <w:r w:rsidRPr="001D0683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1D0683">
        <w:rPr>
          <w:rFonts w:ascii="Times New Roman" w:hAnsi="Times New Roman" w:cs="Times New Roman"/>
          <w:sz w:val="24"/>
          <w:szCs w:val="24"/>
        </w:rPr>
        <w:t xml:space="preserve"> dias. Dessa forma, há uma violação ao princípio do devido processo legal, tendo em vista que o </w:t>
      </w:r>
      <w:r w:rsidR="00FF6BE4" w:rsidRPr="001D0683">
        <w:rPr>
          <w:rFonts w:ascii="Times New Roman" w:hAnsi="Times New Roman" w:cs="Times New Roman"/>
          <w:sz w:val="24"/>
          <w:szCs w:val="24"/>
        </w:rPr>
        <w:t>Código</w:t>
      </w:r>
      <w:r w:rsidRPr="001D0683">
        <w:rPr>
          <w:rFonts w:ascii="Times New Roman" w:hAnsi="Times New Roman" w:cs="Times New Roman"/>
          <w:sz w:val="24"/>
          <w:szCs w:val="24"/>
        </w:rPr>
        <w:t xml:space="preserve"> de Processo Civil ordena a realização de determinados ato processuais e perante o Artigo 829 do referido </w:t>
      </w:r>
      <w:r w:rsidR="00FF6BE4" w:rsidRPr="001D0683">
        <w:rPr>
          <w:rFonts w:ascii="Times New Roman" w:hAnsi="Times New Roman" w:cs="Times New Roman"/>
          <w:sz w:val="24"/>
          <w:szCs w:val="24"/>
        </w:rPr>
        <w:t>Código</w:t>
      </w:r>
      <w:r w:rsidRPr="001D0683">
        <w:rPr>
          <w:rFonts w:ascii="Times New Roman" w:hAnsi="Times New Roman" w:cs="Times New Roman"/>
          <w:sz w:val="24"/>
          <w:szCs w:val="24"/>
        </w:rPr>
        <w:t xml:space="preserve">, </w:t>
      </w:r>
      <w:r w:rsidR="00FF6BE4">
        <w:rPr>
          <w:rFonts w:ascii="Times New Roman" w:hAnsi="Times New Roman" w:cs="Times New Roman"/>
          <w:sz w:val="24"/>
          <w:szCs w:val="24"/>
        </w:rPr>
        <w:t xml:space="preserve">esclarece tal violação: </w:t>
      </w:r>
      <w:r w:rsidRPr="001D0683">
        <w:rPr>
          <w:rFonts w:ascii="Times New Roman" w:hAnsi="Times New Roman" w:cs="Times New Roman"/>
          <w:sz w:val="24"/>
          <w:szCs w:val="24"/>
        </w:rPr>
        <w:t xml:space="preserve">"O executado será citado para pagar a dívida no prazo de </w:t>
      </w:r>
      <w:proofErr w:type="gramStart"/>
      <w:r w:rsidRPr="001D0683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1D0683">
        <w:rPr>
          <w:rFonts w:ascii="Times New Roman" w:hAnsi="Times New Roman" w:cs="Times New Roman"/>
          <w:sz w:val="24"/>
          <w:szCs w:val="24"/>
        </w:rPr>
        <w:t xml:space="preserve"> (três) dias, contado da citação." (BRASIL, 2015)</w:t>
      </w:r>
      <w:r w:rsidR="00FF6BE4">
        <w:rPr>
          <w:rFonts w:ascii="Times New Roman" w:hAnsi="Times New Roman" w:cs="Times New Roman"/>
          <w:sz w:val="24"/>
          <w:szCs w:val="24"/>
        </w:rPr>
        <w:t>.</w:t>
      </w:r>
    </w:p>
    <w:p w:rsidR="00A65F55" w:rsidRPr="00A65F55" w:rsidRDefault="00A65F55" w:rsidP="00A65F55">
      <w:pPr>
        <w:pStyle w:val="Cabealh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“Art. 919</w:t>
      </w:r>
      <w:r w:rsidR="00FF6BE4" w:rsidRPr="00FF6BE4">
        <w:rPr>
          <w:rFonts w:ascii="Times New Roman" w:hAnsi="Times New Roman" w:cs="Times New Roman"/>
          <w:sz w:val="24"/>
          <w:szCs w:val="24"/>
        </w:rPr>
        <w:t xml:space="preserve">: § 1o O juiz poderá, a requerimento do embargante, atribuir efeito suspensivo aos embargos quando verificados os requisitos para a concessão da tutela </w:t>
      </w:r>
      <w:r w:rsidR="00FF6BE4" w:rsidRPr="00FF6BE4">
        <w:rPr>
          <w:rFonts w:ascii="Times New Roman" w:hAnsi="Times New Roman" w:cs="Times New Roman"/>
          <w:sz w:val="24"/>
          <w:szCs w:val="24"/>
        </w:rPr>
        <w:lastRenderedPageBreak/>
        <w:t xml:space="preserve">provisória e desde que a execução já esteja garantida por penhora, depósito ou caução </w:t>
      </w:r>
      <w:proofErr w:type="gramStart"/>
      <w:r w:rsidR="00FF6BE4" w:rsidRPr="00FF6BE4">
        <w:rPr>
          <w:rFonts w:ascii="Times New Roman" w:hAnsi="Times New Roman" w:cs="Times New Roman"/>
          <w:sz w:val="24"/>
          <w:szCs w:val="24"/>
        </w:rPr>
        <w:t>suficientes</w:t>
      </w:r>
      <w:proofErr w:type="gramEnd"/>
      <w:r w:rsidR="00FF6BE4" w:rsidRPr="00FF6B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 (BRASIL, 2015)</w:t>
      </w:r>
    </w:p>
    <w:p w:rsidR="00A65F55" w:rsidRDefault="00A65F55" w:rsidP="00A65F55">
      <w:pPr>
        <w:pStyle w:val="Cabealh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65F55">
        <w:rPr>
          <w:rFonts w:ascii="Times New Roman" w:hAnsi="Times New Roman" w:cs="Times New Roman"/>
          <w:sz w:val="24"/>
          <w:szCs w:val="24"/>
        </w:rPr>
        <w:t xml:space="preserve">Não há evidencias que comprovem o requerimento do efeito suspensivo por parte do embargante (Calebe). Logo, é manifesta nova violação ao principio em questão devido à realização </w:t>
      </w:r>
      <w:r>
        <w:rPr>
          <w:rFonts w:ascii="Times New Roman" w:hAnsi="Times New Roman" w:cs="Times New Roman"/>
          <w:sz w:val="24"/>
          <w:szCs w:val="24"/>
        </w:rPr>
        <w:t xml:space="preserve">da suspenção </w:t>
      </w:r>
      <w:r w:rsidRPr="00A65F55">
        <w:rPr>
          <w:rFonts w:ascii="Times New Roman" w:hAnsi="Times New Roman" w:cs="Times New Roman"/>
          <w:sz w:val="24"/>
          <w:szCs w:val="24"/>
        </w:rPr>
        <w:t>de oficio por parte do Juiz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5F55" w:rsidRPr="001D0683" w:rsidRDefault="00A65F55" w:rsidP="00A65F55">
      <w:pPr>
        <w:pStyle w:val="Cabealh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11746" w:rsidRPr="00811746" w:rsidRDefault="00811746" w:rsidP="00811746">
      <w:pPr>
        <w:pStyle w:val="Cabealh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811746">
        <w:rPr>
          <w:rFonts w:ascii="Times New Roman" w:hAnsi="Times New Roman" w:cs="Times New Roman"/>
          <w:b/>
          <w:sz w:val="24"/>
          <w:szCs w:val="24"/>
        </w:rPr>
        <w:t>2. Seria possível a penhora de direitos do devedor sobre bem financiado via contrato de alienação fiduciária? Caso positivo, qual a medida cabível em face da decisão de indeferimento da penhora?</w:t>
      </w:r>
    </w:p>
    <w:p w:rsidR="005E4B21" w:rsidRPr="005E4B21" w:rsidRDefault="005E4B21" w:rsidP="005E4B21">
      <w:pPr>
        <w:pStyle w:val="Cabealh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E4B21">
        <w:rPr>
          <w:rFonts w:ascii="Times New Roman" w:hAnsi="Times New Roman" w:cs="Times New Roman"/>
          <w:sz w:val="24"/>
          <w:szCs w:val="24"/>
        </w:rPr>
        <w:t xml:space="preserve">Sim, é totalmente plausível a penhora de direitos derivados de contrato de alienação fiduciária. O CPC na subseção I que versa </w:t>
      </w:r>
      <w:r w:rsidR="0057530C" w:rsidRPr="005E4B21">
        <w:rPr>
          <w:rFonts w:ascii="Times New Roman" w:hAnsi="Times New Roman" w:cs="Times New Roman"/>
          <w:sz w:val="24"/>
          <w:szCs w:val="24"/>
        </w:rPr>
        <w:t>sobre</w:t>
      </w:r>
      <w:r w:rsidRPr="005E4B21">
        <w:rPr>
          <w:rFonts w:ascii="Times New Roman" w:hAnsi="Times New Roman" w:cs="Times New Roman"/>
          <w:sz w:val="24"/>
          <w:szCs w:val="24"/>
        </w:rPr>
        <w:t xml:space="preserve"> objeto da penhora, reafirma essa </w:t>
      </w:r>
      <w:r w:rsidR="0057530C" w:rsidRPr="005E4B21">
        <w:rPr>
          <w:rFonts w:ascii="Times New Roman" w:hAnsi="Times New Roman" w:cs="Times New Roman"/>
          <w:sz w:val="24"/>
          <w:szCs w:val="24"/>
        </w:rPr>
        <w:t>possibilidade</w:t>
      </w:r>
      <w:r w:rsidRPr="005E4B21">
        <w:rPr>
          <w:rFonts w:ascii="Times New Roman" w:hAnsi="Times New Roman" w:cs="Times New Roman"/>
          <w:sz w:val="24"/>
          <w:szCs w:val="24"/>
        </w:rPr>
        <w:t xml:space="preserve"> ao elencar a ordem de penhora no seu Art. 835: "A penhora observará, preferencialmente, a seguinte ordem: XII - direitos aquisitivos derivados de promessa de compra e venda e de alienação fiduciária em garantia;" (BRASIL, 2015</w:t>
      </w:r>
      <w:proofErr w:type="gramStart"/>
      <w:r w:rsidRPr="005E4B21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5E4B21" w:rsidRDefault="005E4B21" w:rsidP="005E4B21">
      <w:pPr>
        <w:pStyle w:val="Cabealh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E4B21">
        <w:rPr>
          <w:rFonts w:ascii="Times New Roman" w:hAnsi="Times New Roman" w:cs="Times New Roman"/>
          <w:sz w:val="24"/>
          <w:szCs w:val="24"/>
        </w:rPr>
        <w:t>Ora, se esse tipo de direito adquirido esta elencado na ordem de preferencia da penhora, está claro que pode haver sim a sua penhora.</w:t>
      </w:r>
    </w:p>
    <w:p w:rsidR="005E4B21" w:rsidRPr="005E4B21" w:rsidRDefault="005E4B21" w:rsidP="005E4B21">
      <w:pPr>
        <w:pStyle w:val="Cabealh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5E4B21">
        <w:rPr>
          <w:rFonts w:ascii="Times New Roman" w:hAnsi="Times New Roman" w:cs="Times New Roman"/>
          <w:sz w:val="20"/>
          <w:szCs w:val="20"/>
        </w:rPr>
        <w:t>GRAVO DE INSTRUMENTO. CONTRATOS BANCÁRIOS. CUMPRIMENTO DE SENTENÇA. IMPUGNAÇÃO. AUSÊNCIA DE INDICAÇÃO DO VALOR QUE ENTENDE CORRETO. REJEIÇÃO LIMINAR. INDICAÇÃO DE BENS À PENHORA.</w:t>
      </w:r>
    </w:p>
    <w:p w:rsidR="00811746" w:rsidRDefault="005E4B21" w:rsidP="005E4B21">
      <w:pPr>
        <w:pStyle w:val="Cabealh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5E4B21">
        <w:rPr>
          <w:rFonts w:ascii="Times New Roman" w:hAnsi="Times New Roman" w:cs="Times New Roman"/>
          <w:sz w:val="20"/>
          <w:szCs w:val="20"/>
        </w:rPr>
        <w:t xml:space="preserve">[...] Embora não seja possível a penhora sobre bens garantidos por alienação fiduciária, tendo em vista que sua propriedade é do próprio agente financeiro e não do devedor, é possível, isto sim, que a penhora recaia sobre o direito que o devedor tem sobre os valores já quitados, em caso de excussão por parte do credor (art. 655, XI, do CPC). (TRF-4. 4ª Turma. AG 2009.04.00.030935-0. Rel. Valdemar </w:t>
      </w:r>
      <w:proofErr w:type="spellStart"/>
      <w:r w:rsidRPr="005E4B21">
        <w:rPr>
          <w:rFonts w:ascii="Times New Roman" w:hAnsi="Times New Roman" w:cs="Times New Roman"/>
          <w:sz w:val="20"/>
          <w:szCs w:val="20"/>
        </w:rPr>
        <w:t>Capeletti</w:t>
      </w:r>
      <w:proofErr w:type="spellEnd"/>
      <w:r w:rsidRPr="005E4B21">
        <w:rPr>
          <w:rFonts w:ascii="Times New Roman" w:hAnsi="Times New Roman" w:cs="Times New Roman"/>
          <w:sz w:val="20"/>
          <w:szCs w:val="20"/>
        </w:rPr>
        <w:t>. Publicado no DJ de 16/11/2009 – grifou-se).</w:t>
      </w:r>
    </w:p>
    <w:p w:rsidR="0057530C" w:rsidRPr="005E4B21" w:rsidRDefault="0057530C" w:rsidP="005E4B21">
      <w:pPr>
        <w:pStyle w:val="Cabealh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DF738D" w:rsidRPr="00DF738D" w:rsidRDefault="0057530C" w:rsidP="00DF738D">
      <w:pPr>
        <w:pStyle w:val="Cabealh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Ademais,</w:t>
      </w:r>
      <w:r w:rsidRPr="0057530C">
        <w:rPr>
          <w:rFonts w:ascii="Times New Roman" w:hAnsi="Times New Roman" w:cs="Times New Roman"/>
          <w:sz w:val="24"/>
          <w:szCs w:val="24"/>
        </w:rPr>
        <w:t xml:space="preserve"> diante de tal julgado do </w:t>
      </w:r>
      <w:proofErr w:type="spellStart"/>
      <w:r w:rsidRPr="0057530C">
        <w:rPr>
          <w:rFonts w:ascii="Times New Roman" w:hAnsi="Times New Roman" w:cs="Times New Roman"/>
          <w:sz w:val="24"/>
          <w:szCs w:val="24"/>
        </w:rPr>
        <w:t>Trinunal</w:t>
      </w:r>
      <w:proofErr w:type="spellEnd"/>
      <w:r w:rsidRPr="0057530C">
        <w:rPr>
          <w:rFonts w:ascii="Times New Roman" w:hAnsi="Times New Roman" w:cs="Times New Roman"/>
          <w:sz w:val="24"/>
          <w:szCs w:val="24"/>
        </w:rPr>
        <w:t xml:space="preserve"> Regional </w:t>
      </w:r>
      <w:proofErr w:type="gramStart"/>
      <w:r w:rsidRPr="0057530C">
        <w:rPr>
          <w:rFonts w:ascii="Times New Roman" w:hAnsi="Times New Roman" w:cs="Times New Roman"/>
          <w:sz w:val="24"/>
          <w:szCs w:val="24"/>
        </w:rPr>
        <w:t>da 4</w:t>
      </w:r>
      <w:proofErr w:type="gramEnd"/>
      <w:r w:rsidRPr="0057530C">
        <w:rPr>
          <w:rFonts w:ascii="Times New Roman" w:hAnsi="Times New Roman" w:cs="Times New Roman"/>
          <w:sz w:val="24"/>
          <w:szCs w:val="24"/>
        </w:rPr>
        <w:t xml:space="preserve"> ° Região, observa-se a confirmação da possibilidade da penhora sobre os valores já quitados.</w:t>
      </w:r>
    </w:p>
    <w:p w:rsidR="00DF738D" w:rsidRDefault="00DF738D" w:rsidP="00DF738D">
      <w:pPr>
        <w:pStyle w:val="Cabealh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F738D">
        <w:rPr>
          <w:rFonts w:ascii="Times New Roman" w:hAnsi="Times New Roman" w:cs="Times New Roman"/>
          <w:sz w:val="24"/>
          <w:szCs w:val="24"/>
        </w:rPr>
        <w:t xml:space="preserve">A decisão de indeferimento de penhora é uma decisão interlocutória, e contra as decisões interlocutórias é cabível </w:t>
      </w:r>
      <w:r w:rsidRPr="006A59E3">
        <w:rPr>
          <w:rFonts w:ascii="Times New Roman" w:hAnsi="Times New Roman" w:cs="Times New Roman"/>
          <w:i/>
          <w:sz w:val="24"/>
          <w:szCs w:val="24"/>
        </w:rPr>
        <w:t>agravo de instrumento</w:t>
      </w:r>
      <w:r>
        <w:rPr>
          <w:rFonts w:ascii="Times New Roman" w:hAnsi="Times New Roman" w:cs="Times New Roman"/>
          <w:sz w:val="24"/>
          <w:szCs w:val="24"/>
        </w:rPr>
        <w:t xml:space="preserve">. É valido explicitar </w:t>
      </w:r>
      <w:r w:rsidRPr="00DF738D">
        <w:rPr>
          <w:rFonts w:ascii="Times New Roman" w:hAnsi="Times New Roman" w:cs="Times New Roman"/>
          <w:sz w:val="24"/>
          <w:szCs w:val="24"/>
        </w:rPr>
        <w:t xml:space="preserve">que o CPC elenca as decisões que são passiveis de tal recurso e </w:t>
      </w:r>
      <w:r w:rsidR="006A59E3">
        <w:rPr>
          <w:rFonts w:ascii="Times New Roman" w:hAnsi="Times New Roman" w:cs="Times New Roman"/>
          <w:sz w:val="24"/>
          <w:szCs w:val="24"/>
        </w:rPr>
        <w:t xml:space="preserve">tal decisão </w:t>
      </w:r>
      <w:r w:rsidRPr="00DF738D">
        <w:rPr>
          <w:rFonts w:ascii="Times New Roman" w:hAnsi="Times New Roman" w:cs="Times New Roman"/>
          <w:sz w:val="24"/>
          <w:szCs w:val="24"/>
        </w:rPr>
        <w:t xml:space="preserve">é cabível diante o exposto no </w:t>
      </w:r>
      <w:r w:rsidR="006A59E3">
        <w:rPr>
          <w:rFonts w:ascii="Times New Roman" w:hAnsi="Times New Roman" w:cs="Times New Roman"/>
          <w:sz w:val="24"/>
          <w:szCs w:val="24"/>
        </w:rPr>
        <w:t>p</w:t>
      </w:r>
      <w:r w:rsidR="006A59E3" w:rsidRPr="00DF738D">
        <w:rPr>
          <w:rFonts w:ascii="Times New Roman" w:hAnsi="Times New Roman" w:cs="Times New Roman"/>
          <w:sz w:val="24"/>
          <w:szCs w:val="24"/>
        </w:rPr>
        <w:t>aragrafo</w:t>
      </w:r>
      <w:r w:rsidRPr="00DF738D">
        <w:rPr>
          <w:rFonts w:ascii="Times New Roman" w:hAnsi="Times New Roman" w:cs="Times New Roman"/>
          <w:sz w:val="24"/>
          <w:szCs w:val="24"/>
        </w:rPr>
        <w:t xml:space="preserve"> único do Art. 1015: "Também caberá agravo de instrumento contra decisões interlocutórias proferidas na fase de liquidação de sentença ou de cumprimento de sentença, no </w:t>
      </w:r>
      <w:r w:rsidRPr="006A59E3">
        <w:rPr>
          <w:rFonts w:ascii="Times New Roman" w:hAnsi="Times New Roman" w:cs="Times New Roman"/>
          <w:i/>
          <w:sz w:val="24"/>
          <w:szCs w:val="24"/>
        </w:rPr>
        <w:t>processo de execução</w:t>
      </w:r>
      <w:r w:rsidRPr="00DF738D">
        <w:rPr>
          <w:rFonts w:ascii="Times New Roman" w:hAnsi="Times New Roman" w:cs="Times New Roman"/>
          <w:sz w:val="24"/>
          <w:szCs w:val="24"/>
        </w:rPr>
        <w:t xml:space="preserve"> e no processo de inventário." (BRASIL, 2015)</w:t>
      </w:r>
      <w:r w:rsidR="009B1767">
        <w:rPr>
          <w:rFonts w:ascii="Times New Roman" w:hAnsi="Times New Roman" w:cs="Times New Roman"/>
          <w:sz w:val="24"/>
          <w:szCs w:val="24"/>
        </w:rPr>
        <w:t>.</w:t>
      </w:r>
    </w:p>
    <w:p w:rsidR="0057530C" w:rsidRDefault="0057530C" w:rsidP="00811746">
      <w:pPr>
        <w:pStyle w:val="Cabealh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11746" w:rsidRDefault="00811746" w:rsidP="00811746">
      <w:pPr>
        <w:pStyle w:val="Cabealh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811746">
        <w:rPr>
          <w:rFonts w:ascii="Times New Roman" w:hAnsi="Times New Roman" w:cs="Times New Roman"/>
          <w:b/>
          <w:sz w:val="24"/>
          <w:szCs w:val="24"/>
        </w:rPr>
        <w:t xml:space="preserve">3. Qual o(s) prazo(s) </w:t>
      </w:r>
      <w:proofErr w:type="gramStart"/>
      <w:r w:rsidRPr="00811746">
        <w:rPr>
          <w:rFonts w:ascii="Times New Roman" w:hAnsi="Times New Roman" w:cs="Times New Roman"/>
          <w:b/>
          <w:sz w:val="24"/>
          <w:szCs w:val="24"/>
        </w:rPr>
        <w:t>prescricional(</w:t>
      </w:r>
      <w:proofErr w:type="gramEnd"/>
      <w:r w:rsidRPr="00811746">
        <w:rPr>
          <w:rFonts w:ascii="Times New Roman" w:hAnsi="Times New Roman" w:cs="Times New Roman"/>
          <w:b/>
          <w:sz w:val="24"/>
          <w:szCs w:val="24"/>
        </w:rPr>
        <w:t>ais) aplicáveis?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1746" w:rsidRDefault="006A59E3" w:rsidP="0081174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A59E3">
        <w:rPr>
          <w:rFonts w:ascii="Times New Roman" w:hAnsi="Times New Roman" w:cs="Times New Roman"/>
          <w:sz w:val="24"/>
          <w:szCs w:val="24"/>
        </w:rPr>
        <w:lastRenderedPageBreak/>
        <w:t>"Art. 206. Prescreve: [...] § 5o Em cinco anos: I - a pretensão de cobrança de dívidas líquidas constantes de instrumento público ou particular" (BRASIL, 2002)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1746" w:rsidRDefault="00811746" w:rsidP="0081174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B1767" w:rsidRPr="009B1767" w:rsidRDefault="00811746" w:rsidP="009B176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811746">
        <w:rPr>
          <w:rFonts w:ascii="Times New Roman" w:hAnsi="Times New Roman" w:cs="Times New Roman"/>
          <w:b/>
          <w:sz w:val="24"/>
          <w:szCs w:val="24"/>
        </w:rPr>
        <w:t>4. Quais partes envolvidas possuem legitimidade ad causam para a execução e para os embargos?</w:t>
      </w:r>
    </w:p>
    <w:p w:rsidR="009B1767" w:rsidRDefault="009B1767" w:rsidP="009B176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B1767">
        <w:rPr>
          <w:rFonts w:ascii="Times New Roman" w:hAnsi="Times New Roman" w:cs="Times New Roman"/>
          <w:sz w:val="24"/>
          <w:szCs w:val="24"/>
        </w:rPr>
        <w:t xml:space="preserve">No que se refere </w:t>
      </w:r>
      <w:proofErr w:type="gramStart"/>
      <w:r w:rsidRPr="009B176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B1767">
        <w:rPr>
          <w:rFonts w:ascii="Times New Roman" w:hAnsi="Times New Roman" w:cs="Times New Roman"/>
          <w:sz w:val="24"/>
          <w:szCs w:val="24"/>
        </w:rPr>
        <w:t xml:space="preserve"> legitimidade para execução, a </w:t>
      </w:r>
      <w:proofErr w:type="spellStart"/>
      <w:r w:rsidRPr="009B1767">
        <w:rPr>
          <w:rFonts w:ascii="Times New Roman" w:hAnsi="Times New Roman" w:cs="Times New Roman"/>
          <w:sz w:val="24"/>
          <w:szCs w:val="24"/>
        </w:rPr>
        <w:t>Betsaida</w:t>
      </w:r>
      <w:proofErr w:type="spellEnd"/>
      <w:r w:rsidRPr="009B1767">
        <w:rPr>
          <w:rFonts w:ascii="Times New Roman" w:hAnsi="Times New Roman" w:cs="Times New Roman"/>
          <w:sz w:val="24"/>
          <w:szCs w:val="24"/>
        </w:rPr>
        <w:t xml:space="preserve"> Veículos LTDA. E </w:t>
      </w:r>
      <w:proofErr w:type="spellStart"/>
      <w:r w:rsidRPr="009B1767">
        <w:rPr>
          <w:rFonts w:ascii="Times New Roman" w:hAnsi="Times New Roman" w:cs="Times New Roman"/>
          <w:sz w:val="24"/>
          <w:szCs w:val="24"/>
        </w:rPr>
        <w:t>Moabe</w:t>
      </w:r>
      <w:proofErr w:type="spellEnd"/>
      <w:r w:rsidRPr="009B1767">
        <w:rPr>
          <w:rFonts w:ascii="Times New Roman" w:hAnsi="Times New Roman" w:cs="Times New Roman"/>
          <w:sz w:val="24"/>
          <w:szCs w:val="24"/>
        </w:rPr>
        <w:t xml:space="preserve"> configuram no polo ativo. A empresa é quem responderá pela divida contraída e </w:t>
      </w:r>
      <w:proofErr w:type="spellStart"/>
      <w:r w:rsidRPr="009B1767">
        <w:rPr>
          <w:rFonts w:ascii="Times New Roman" w:hAnsi="Times New Roman" w:cs="Times New Roman"/>
          <w:sz w:val="24"/>
          <w:szCs w:val="24"/>
        </w:rPr>
        <w:t>Moabe</w:t>
      </w:r>
      <w:proofErr w:type="spellEnd"/>
      <w:r w:rsidRPr="009B1767">
        <w:rPr>
          <w:rFonts w:ascii="Times New Roman" w:hAnsi="Times New Roman" w:cs="Times New Roman"/>
          <w:sz w:val="24"/>
          <w:szCs w:val="24"/>
        </w:rPr>
        <w:t xml:space="preserve"> por ser proprietário</w:t>
      </w:r>
      <w:r>
        <w:rPr>
          <w:rFonts w:ascii="Times New Roman" w:hAnsi="Times New Roman" w:cs="Times New Roman"/>
          <w:sz w:val="24"/>
          <w:szCs w:val="24"/>
        </w:rPr>
        <w:t xml:space="preserve"> de tal empresa. "Art. 778. </w:t>
      </w:r>
      <w:r w:rsidRPr="009B1767">
        <w:rPr>
          <w:rFonts w:ascii="Times New Roman" w:hAnsi="Times New Roman" w:cs="Times New Roman"/>
          <w:sz w:val="24"/>
          <w:szCs w:val="24"/>
        </w:rPr>
        <w:t>Pode promover a execução forçada o credor a quem a lei confere título executivo." (BRASIL, 2015)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1767" w:rsidRDefault="009B1767" w:rsidP="009B176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“Art. 914.</w:t>
      </w:r>
      <w:r w:rsidRPr="009B1767">
        <w:rPr>
          <w:rFonts w:ascii="Times New Roman" w:hAnsi="Times New Roman" w:cs="Times New Roman"/>
          <w:sz w:val="24"/>
          <w:szCs w:val="24"/>
        </w:rPr>
        <w:t xml:space="preserve"> O executado, independentemente de penhora, depósito ou caução, poderá se opor à execução por meio de embargos.</w:t>
      </w:r>
      <w:r>
        <w:rPr>
          <w:rFonts w:ascii="Times New Roman" w:hAnsi="Times New Roman" w:cs="Times New Roman"/>
          <w:sz w:val="24"/>
          <w:szCs w:val="24"/>
        </w:rPr>
        <w:t>” (BRASIL, 2015).</w:t>
      </w:r>
    </w:p>
    <w:p w:rsidR="009B1767" w:rsidRPr="009B1767" w:rsidRDefault="009B1767" w:rsidP="009B176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B1767">
        <w:rPr>
          <w:rFonts w:ascii="Times New Roman" w:hAnsi="Times New Roman" w:cs="Times New Roman"/>
          <w:sz w:val="24"/>
          <w:szCs w:val="24"/>
        </w:rPr>
        <w:t xml:space="preserve">Calebe possui </w:t>
      </w:r>
      <w:r>
        <w:rPr>
          <w:rFonts w:ascii="Times New Roman" w:hAnsi="Times New Roman" w:cs="Times New Roman"/>
          <w:sz w:val="24"/>
          <w:szCs w:val="24"/>
        </w:rPr>
        <w:t>legitimid</w:t>
      </w:r>
      <w:r w:rsidRPr="009B1767">
        <w:rPr>
          <w:rFonts w:ascii="Times New Roman" w:hAnsi="Times New Roman" w:cs="Times New Roman"/>
          <w:sz w:val="24"/>
          <w:szCs w:val="24"/>
        </w:rPr>
        <w:t xml:space="preserve">ade para propor os embargos à execução, assim como </w:t>
      </w:r>
      <w:proofErr w:type="spellStart"/>
      <w:r w:rsidRPr="009B1767">
        <w:rPr>
          <w:rFonts w:ascii="Times New Roman" w:hAnsi="Times New Roman" w:cs="Times New Roman"/>
          <w:sz w:val="24"/>
          <w:szCs w:val="24"/>
        </w:rPr>
        <w:t>Raabe</w:t>
      </w:r>
      <w:proofErr w:type="spellEnd"/>
      <w:r w:rsidRPr="009B1767">
        <w:rPr>
          <w:rFonts w:ascii="Times New Roman" w:hAnsi="Times New Roman" w:cs="Times New Roman"/>
          <w:sz w:val="24"/>
          <w:szCs w:val="24"/>
        </w:rPr>
        <w:t xml:space="preserve"> por ser esposa em regime que se faz </w:t>
      </w:r>
      <w:r>
        <w:rPr>
          <w:rFonts w:ascii="Times New Roman" w:hAnsi="Times New Roman" w:cs="Times New Roman"/>
          <w:sz w:val="24"/>
          <w:szCs w:val="24"/>
        </w:rPr>
        <w:t>necessária</w:t>
      </w:r>
      <w:r w:rsidRPr="009B1767">
        <w:rPr>
          <w:rFonts w:ascii="Times New Roman" w:hAnsi="Times New Roman" w:cs="Times New Roman"/>
          <w:sz w:val="24"/>
          <w:szCs w:val="24"/>
        </w:rPr>
        <w:t xml:space="preserve"> à outorga uxória, sendo realizada tal anuência no momento da assinatura do protocolo de intenções</w:t>
      </w:r>
    </w:p>
    <w:p w:rsidR="0057530C" w:rsidRDefault="0057530C" w:rsidP="0057530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73D2" w:rsidRDefault="007773D2" w:rsidP="0057530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73D2" w:rsidRDefault="007773D2" w:rsidP="005753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C0E" w:rsidRDefault="00791C0E" w:rsidP="00791C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791C0E" w:rsidRDefault="00791C0E" w:rsidP="00791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1C0E" w:rsidRDefault="00791C0E" w:rsidP="00791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ABELHA, Marcelo. </w:t>
      </w:r>
      <w:r w:rsidRPr="00991FE1">
        <w:rPr>
          <w:rFonts w:ascii="Times New Roman" w:hAnsi="Times New Roman" w:cs="Times New Roman"/>
          <w:b/>
          <w:sz w:val="24"/>
          <w:szCs w:val="24"/>
        </w:rPr>
        <w:t>Manual de execução civil</w:t>
      </w:r>
      <w:r>
        <w:rPr>
          <w:rFonts w:ascii="Times New Roman" w:hAnsi="Times New Roman" w:cs="Times New Roman"/>
          <w:sz w:val="24"/>
          <w:szCs w:val="24"/>
        </w:rPr>
        <w:t xml:space="preserve">. – 6ª ed. rev. e atual. – Rio de Janeiro: Forense, 2016. </w:t>
      </w:r>
    </w:p>
    <w:p w:rsidR="00791C0E" w:rsidRDefault="00791C0E" w:rsidP="00791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1C0E" w:rsidRDefault="00791C0E" w:rsidP="00791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BRASIL. </w:t>
      </w:r>
      <w:r>
        <w:rPr>
          <w:rFonts w:ascii="Times New Roman" w:hAnsi="Times New Roman" w:cs="Times New Roman"/>
          <w:b/>
          <w:sz w:val="24"/>
          <w:szCs w:val="24"/>
        </w:rPr>
        <w:t>Lei nº 13.105 de 16 de março de 2015</w:t>
      </w:r>
      <w:r>
        <w:rPr>
          <w:rFonts w:ascii="Times New Roman" w:hAnsi="Times New Roman" w:cs="Times New Roman"/>
          <w:sz w:val="24"/>
          <w:szCs w:val="24"/>
        </w:rPr>
        <w:t xml:space="preserve">. Institui o Código de Processo Civil. Disponível em: &lt;http://www.planalto.gov.br/ccivil_03/_ato2015-2018/2015/lei/l13105.htm&gt;. Acesso em: out. 2016. </w:t>
      </w:r>
    </w:p>
    <w:p w:rsidR="00791C0E" w:rsidRDefault="00791C0E" w:rsidP="00791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C0E" w:rsidRDefault="00791C0E" w:rsidP="00791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BRASIL. </w:t>
      </w:r>
      <w:r>
        <w:rPr>
          <w:rFonts w:ascii="Times New Roman" w:hAnsi="Times New Roman" w:cs="Times New Roman"/>
          <w:b/>
          <w:sz w:val="24"/>
          <w:szCs w:val="24"/>
        </w:rPr>
        <w:t>Lei nº 10.406 de 10 de janeiro de 2002</w:t>
      </w:r>
      <w:r>
        <w:rPr>
          <w:rFonts w:ascii="Times New Roman" w:hAnsi="Times New Roman" w:cs="Times New Roman"/>
          <w:sz w:val="24"/>
          <w:szCs w:val="24"/>
        </w:rPr>
        <w:t>. Institui o Código Civil. Disponível: &lt;http://www.planalto.gov.br/ccivil_03/leis/2002/L10406.htm&gt;. Acesso em: out. 2016.</w:t>
      </w:r>
    </w:p>
    <w:p w:rsidR="0026692A" w:rsidRDefault="0026692A" w:rsidP="00791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692A" w:rsidRDefault="0026692A" w:rsidP="00791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92A">
        <w:rPr>
          <w:rFonts w:ascii="Times New Roman" w:hAnsi="Times New Roman" w:cs="Times New Roman"/>
          <w:sz w:val="24"/>
          <w:szCs w:val="24"/>
        </w:rPr>
        <w:t xml:space="preserve">CÂMARA, Alexandre Freitas. </w:t>
      </w:r>
      <w:r w:rsidRPr="0026692A">
        <w:rPr>
          <w:rFonts w:ascii="Times New Roman" w:hAnsi="Times New Roman" w:cs="Times New Roman"/>
          <w:b/>
          <w:sz w:val="24"/>
          <w:szCs w:val="24"/>
        </w:rPr>
        <w:t>Lições de Direito Processual Civil: volume I</w:t>
      </w:r>
      <w:r w:rsidRPr="0026692A">
        <w:rPr>
          <w:rFonts w:ascii="Times New Roman" w:hAnsi="Times New Roman" w:cs="Times New Roman"/>
          <w:sz w:val="24"/>
          <w:szCs w:val="24"/>
        </w:rPr>
        <w:t xml:space="preserve"> - 25 ed. - São Paulo: Atlas, 2014.</w:t>
      </w:r>
    </w:p>
    <w:p w:rsidR="0026692A" w:rsidRDefault="0026692A" w:rsidP="00791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692A" w:rsidRDefault="0026692A" w:rsidP="00791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92A">
        <w:rPr>
          <w:rFonts w:ascii="Times New Roman" w:hAnsi="Times New Roman" w:cs="Times New Roman"/>
          <w:sz w:val="24"/>
          <w:szCs w:val="24"/>
        </w:rPr>
        <w:t xml:space="preserve">MARINONI, Luiz Guilherme. </w:t>
      </w:r>
      <w:r w:rsidRPr="0026692A">
        <w:rPr>
          <w:rFonts w:ascii="Times New Roman" w:hAnsi="Times New Roman" w:cs="Times New Roman"/>
          <w:b/>
          <w:sz w:val="24"/>
          <w:szCs w:val="24"/>
        </w:rPr>
        <w:t xml:space="preserve">Curso de Processo Civil, Volume </w:t>
      </w:r>
      <w:proofErr w:type="gramStart"/>
      <w:r w:rsidRPr="0026692A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 w:rsidRPr="0026692A">
        <w:rPr>
          <w:rFonts w:ascii="Times New Roman" w:hAnsi="Times New Roman" w:cs="Times New Roman"/>
          <w:b/>
          <w:sz w:val="24"/>
          <w:szCs w:val="24"/>
        </w:rPr>
        <w:t>: execução</w:t>
      </w:r>
      <w:r w:rsidRPr="0026692A">
        <w:rPr>
          <w:rFonts w:ascii="Times New Roman" w:hAnsi="Times New Roman" w:cs="Times New Roman"/>
          <w:sz w:val="24"/>
          <w:szCs w:val="24"/>
        </w:rPr>
        <w:t xml:space="preserve"> - 2 ed. rev. e atual. 2. </w:t>
      </w:r>
      <w:proofErr w:type="gramStart"/>
      <w:r w:rsidRPr="0026692A">
        <w:rPr>
          <w:rFonts w:ascii="Times New Roman" w:hAnsi="Times New Roman" w:cs="Times New Roman"/>
          <w:sz w:val="24"/>
          <w:szCs w:val="24"/>
        </w:rPr>
        <w:t>tir</w:t>
      </w:r>
      <w:proofErr w:type="gramEnd"/>
      <w:r w:rsidRPr="0026692A">
        <w:rPr>
          <w:rFonts w:ascii="Times New Roman" w:hAnsi="Times New Roman" w:cs="Times New Roman"/>
          <w:sz w:val="24"/>
          <w:szCs w:val="24"/>
        </w:rPr>
        <w:t>. - São Paulo</w:t>
      </w:r>
      <w:r>
        <w:rPr>
          <w:rFonts w:ascii="Times New Roman" w:hAnsi="Times New Roman" w:cs="Times New Roman"/>
          <w:sz w:val="24"/>
          <w:szCs w:val="24"/>
        </w:rPr>
        <w:t>: Editora Revista dos Tribunais</w:t>
      </w:r>
      <w:r w:rsidRPr="0026692A">
        <w:rPr>
          <w:rFonts w:ascii="Times New Roman" w:hAnsi="Times New Roman" w:cs="Times New Roman"/>
          <w:sz w:val="24"/>
          <w:szCs w:val="24"/>
        </w:rPr>
        <w:t>, 2008.</w:t>
      </w:r>
    </w:p>
    <w:p w:rsidR="00791C0E" w:rsidRDefault="00791C0E" w:rsidP="00791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530C" w:rsidRDefault="00791C0E" w:rsidP="005753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38D">
        <w:rPr>
          <w:rFonts w:ascii="Times New Roman" w:hAnsi="Times New Roman" w:cs="Times New Roman"/>
          <w:sz w:val="24"/>
          <w:szCs w:val="24"/>
        </w:rPr>
        <w:t xml:space="preserve">TRF-4. 4ª Turma. </w:t>
      </w:r>
      <w:r w:rsidRPr="00791C0E">
        <w:rPr>
          <w:rFonts w:ascii="Times New Roman" w:hAnsi="Times New Roman" w:cs="Times New Roman"/>
          <w:b/>
          <w:sz w:val="24"/>
          <w:szCs w:val="24"/>
        </w:rPr>
        <w:t>AG 2009.04.00.030935-0</w:t>
      </w:r>
      <w:r w:rsidRPr="00DF738D">
        <w:rPr>
          <w:rFonts w:ascii="Times New Roman" w:hAnsi="Times New Roman" w:cs="Times New Roman"/>
          <w:sz w:val="24"/>
          <w:szCs w:val="24"/>
        </w:rPr>
        <w:t xml:space="preserve">. Rel. Valdemar </w:t>
      </w:r>
      <w:proofErr w:type="spellStart"/>
      <w:r w:rsidRPr="00DF738D">
        <w:rPr>
          <w:rFonts w:ascii="Times New Roman" w:hAnsi="Times New Roman" w:cs="Times New Roman"/>
          <w:sz w:val="24"/>
          <w:szCs w:val="24"/>
        </w:rPr>
        <w:t>Capeletti</w:t>
      </w:r>
      <w:proofErr w:type="spellEnd"/>
      <w:r w:rsidRPr="00DF738D">
        <w:rPr>
          <w:rFonts w:ascii="Times New Roman" w:hAnsi="Times New Roman" w:cs="Times New Roman"/>
          <w:sz w:val="24"/>
          <w:szCs w:val="24"/>
        </w:rPr>
        <w:t>. Publicado no DJ de 16/11/2009</w:t>
      </w:r>
      <w:bookmarkEnd w:id="0"/>
    </w:p>
    <w:sectPr w:rsidR="0057530C" w:rsidSect="00943002"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85C" w:rsidRDefault="00ED285C" w:rsidP="0070393A">
      <w:pPr>
        <w:spacing w:after="0" w:line="240" w:lineRule="auto"/>
      </w:pPr>
      <w:r>
        <w:separator/>
      </w:r>
    </w:p>
  </w:endnote>
  <w:endnote w:type="continuationSeparator" w:id="0">
    <w:p w:rsidR="00ED285C" w:rsidRDefault="00ED285C" w:rsidP="0070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85C" w:rsidRDefault="00ED285C" w:rsidP="0070393A">
      <w:pPr>
        <w:spacing w:after="0" w:line="240" w:lineRule="auto"/>
      </w:pPr>
      <w:r>
        <w:separator/>
      </w:r>
    </w:p>
  </w:footnote>
  <w:footnote w:type="continuationSeparator" w:id="0">
    <w:p w:rsidR="00ED285C" w:rsidRDefault="00ED285C" w:rsidP="0070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57" w:rsidRDefault="00561557" w:rsidP="0070393A">
    <w:pPr>
      <w:pStyle w:val="Cabealho"/>
      <w:jc w:val="center"/>
    </w:pPr>
  </w:p>
  <w:p w:rsidR="00561557" w:rsidRDefault="00561557" w:rsidP="0070393A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002" w:rsidRDefault="00943002" w:rsidP="0094300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E2A89C8" wp14:editId="50F49C5D">
          <wp:extent cx="2504440" cy="654685"/>
          <wp:effectExtent l="0" t="0" r="0" b="0"/>
          <wp:docPr id="2" name="Imagem 2" descr="logo_nova_timbrad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_nova_timbrado.jp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4440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F0635"/>
    <w:multiLevelType w:val="hybridMultilevel"/>
    <w:tmpl w:val="907A0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93A"/>
    <w:rsid w:val="000A48AC"/>
    <w:rsid w:val="000B04F5"/>
    <w:rsid w:val="000B54E7"/>
    <w:rsid w:val="000B6F91"/>
    <w:rsid w:val="000E034F"/>
    <w:rsid w:val="000E3B69"/>
    <w:rsid w:val="000F0A26"/>
    <w:rsid w:val="000F6337"/>
    <w:rsid w:val="000F71F5"/>
    <w:rsid w:val="001301AE"/>
    <w:rsid w:val="00190007"/>
    <w:rsid w:val="001D0683"/>
    <w:rsid w:val="0026692A"/>
    <w:rsid w:val="00326205"/>
    <w:rsid w:val="0041098F"/>
    <w:rsid w:val="0044055D"/>
    <w:rsid w:val="004C6BAF"/>
    <w:rsid w:val="00511627"/>
    <w:rsid w:val="00544731"/>
    <w:rsid w:val="00561557"/>
    <w:rsid w:val="00574C92"/>
    <w:rsid w:val="0057530C"/>
    <w:rsid w:val="00585497"/>
    <w:rsid w:val="005C1233"/>
    <w:rsid w:val="005E4B21"/>
    <w:rsid w:val="006778EE"/>
    <w:rsid w:val="006A59E3"/>
    <w:rsid w:val="006B2762"/>
    <w:rsid w:val="006B45D9"/>
    <w:rsid w:val="0070393A"/>
    <w:rsid w:val="007773D2"/>
    <w:rsid w:val="00791C0E"/>
    <w:rsid w:val="007A1208"/>
    <w:rsid w:val="00811746"/>
    <w:rsid w:val="0084700F"/>
    <w:rsid w:val="00857E30"/>
    <w:rsid w:val="00862EAC"/>
    <w:rsid w:val="00936157"/>
    <w:rsid w:val="00943002"/>
    <w:rsid w:val="00991FE1"/>
    <w:rsid w:val="009B1767"/>
    <w:rsid w:val="009C24FD"/>
    <w:rsid w:val="009D06CF"/>
    <w:rsid w:val="00A5627C"/>
    <w:rsid w:val="00A65F55"/>
    <w:rsid w:val="00A94AD1"/>
    <w:rsid w:val="00AD3C07"/>
    <w:rsid w:val="00AF6B07"/>
    <w:rsid w:val="00B91EB9"/>
    <w:rsid w:val="00BB5F24"/>
    <w:rsid w:val="00CF24FF"/>
    <w:rsid w:val="00D45CA1"/>
    <w:rsid w:val="00DB42EE"/>
    <w:rsid w:val="00DD348D"/>
    <w:rsid w:val="00DE05A4"/>
    <w:rsid w:val="00DF738D"/>
    <w:rsid w:val="00E10891"/>
    <w:rsid w:val="00E47914"/>
    <w:rsid w:val="00ED285C"/>
    <w:rsid w:val="00F12F33"/>
    <w:rsid w:val="00F66704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9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3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393A"/>
  </w:style>
  <w:style w:type="paragraph" w:styleId="Rodap">
    <w:name w:val="footer"/>
    <w:basedOn w:val="Normal"/>
    <w:link w:val="RodapChar"/>
    <w:uiPriority w:val="99"/>
    <w:unhideWhenUsed/>
    <w:rsid w:val="00703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393A"/>
  </w:style>
  <w:style w:type="paragraph" w:styleId="PargrafodaLista">
    <w:name w:val="List Paragraph"/>
    <w:basedOn w:val="Normal"/>
    <w:uiPriority w:val="34"/>
    <w:qFormat/>
    <w:rsid w:val="0044055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4055D"/>
    <w:rPr>
      <w:color w:val="0563C1" w:themeColor="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91EB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91EB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91EB9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91EB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91EB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91EB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45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45CA1"/>
  </w:style>
  <w:style w:type="paragraph" w:styleId="Textodebalo">
    <w:name w:val="Balloon Text"/>
    <w:basedOn w:val="Normal"/>
    <w:link w:val="TextodebaloChar"/>
    <w:uiPriority w:val="99"/>
    <w:semiHidden/>
    <w:unhideWhenUsed/>
    <w:rsid w:val="006B2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27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9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3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393A"/>
  </w:style>
  <w:style w:type="paragraph" w:styleId="Rodap">
    <w:name w:val="footer"/>
    <w:basedOn w:val="Normal"/>
    <w:link w:val="RodapChar"/>
    <w:uiPriority w:val="99"/>
    <w:unhideWhenUsed/>
    <w:rsid w:val="00703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393A"/>
  </w:style>
  <w:style w:type="paragraph" w:styleId="PargrafodaLista">
    <w:name w:val="List Paragraph"/>
    <w:basedOn w:val="Normal"/>
    <w:uiPriority w:val="34"/>
    <w:qFormat/>
    <w:rsid w:val="0044055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4055D"/>
    <w:rPr>
      <w:color w:val="0563C1" w:themeColor="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91EB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91EB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91EB9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91EB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91EB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91EB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45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45CA1"/>
  </w:style>
  <w:style w:type="paragraph" w:styleId="Textodebalo">
    <w:name w:val="Balloon Text"/>
    <w:basedOn w:val="Normal"/>
    <w:link w:val="TextodebaloChar"/>
    <w:uiPriority w:val="99"/>
    <w:semiHidden/>
    <w:unhideWhenUsed/>
    <w:rsid w:val="006B2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27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6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31400-6528-402E-87E1-369731761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Pedro Oliveira da Silva</dc:creator>
  <cp:lastModifiedBy>Lucas</cp:lastModifiedBy>
  <cp:revision>2</cp:revision>
  <dcterms:created xsi:type="dcterms:W3CDTF">2018-06-20T15:51:00Z</dcterms:created>
  <dcterms:modified xsi:type="dcterms:W3CDTF">2018-06-20T15:51:00Z</dcterms:modified>
</cp:coreProperties>
</file>