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DE" w:rsidRDefault="007A14DE" w:rsidP="007A14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A14DE" w:rsidRDefault="007A14DE" w:rsidP="007A14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4DE">
        <w:rPr>
          <w:rFonts w:ascii="Times New Roman" w:hAnsi="Times New Roman" w:cs="Times New Roman"/>
          <w:b/>
          <w:sz w:val="24"/>
          <w:szCs w:val="24"/>
        </w:rPr>
        <w:t>EXECUÇÃO POR QUANTIA CERTA FUNDADA EM TÍTULO EXTRAJUDICIAL</w:t>
      </w:r>
      <w:r w:rsidRPr="007A14DE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1"/>
      </w:r>
    </w:p>
    <w:p w:rsidR="007A14DE" w:rsidRDefault="007A14DE" w:rsidP="007A14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4DE" w:rsidRDefault="007A14DE" w:rsidP="007A14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Samilla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Sousa Rodrigues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7A14DE" w:rsidRPr="007A14DE" w:rsidRDefault="007A14DE" w:rsidP="007A14D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14DE" w:rsidRDefault="007A14DE" w:rsidP="007A14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65648" w:rsidRDefault="00A65648" w:rsidP="007A14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65648" w:rsidRDefault="00A65648" w:rsidP="00200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648"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483B74" w:rsidRPr="00A65648" w:rsidRDefault="00483B74" w:rsidP="00200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Após diversas alterações nos quadros societários de BETSAIDA VEÍCULOS LTDA., empresa atuante no comércio varejista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automóveis novos mediante concessão comercial, MOABE tornou-se detentor de 100% das quotas do capital social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referida pessoa jurídica. Pretendendo captar recursos financeiros para impulsionar as atividades da empresa, MOABE buscou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investidores que pudessem adquirir quotas de BETSAIDA VEÍCULOS LTDA.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CALEBE mostrou-se interessado, o que resultou na assinatura, em fevereiro de 2010, de um protocolo de intenções,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juntamente com duas testemunhas. O instrumento foi também firmado por RAABE, esposa de CALEBE, na qualidade de mera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anuente, para fins de outorga uxória, já que ambos eram casados no regime da comunhão universal de bens.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Por intermédio de tal instrumento, firmado com cláusula de irrevogabilidade, CALEBE manifestou sua intenção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adquirir 50% das quotas do capital social de BETSAIDA, cujo preço seria ajustado entre as partes após o levantamento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passivo e da análise contábil-financeira da empresa. Outrossim, ficou previsto no documento que CALEBE desembolsaria,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imediato, no ato da assinatura da carta de intenções, 1 milhão de reais, os quais seriam repassados diretamente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montadora concedente para fins de quitação de dívida contraída por BETSAIDA. Esse valor também seria abatido do preço final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a ser ajustado na futura compra e venda de quotas.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Contudo, ao examinar a situação contábil-financeira de BETSAIDA, descobriu CALEBE que a empresa, na verdade,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encontrava-se à beira da falência, sendo absolutamente inviável seu ingresso no capital social, razão pela qual desistiu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negócio.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Àquela altura, Calebe já tinha repassado à fabricante/concedente R$ 200 mil.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lastRenderedPageBreak/>
        <w:t>Inconformado com a desistência de CALEBE, MOABE e BETSAIDA ajuizaram, conjuntamente, em 18 de março de 2016,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ação de execução fundada no Protocolo de Intenções, em face de CALEBE e sua esposa, pelo valor de R$ 800 mil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(correspondente à diferença não repassada à montadora), mais acréscimos legais. Frustrada a penhora online de dinheiro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dos devedores, os Exequentes requereram a penhora dos direitos do devedor sobre 05 ônibus gravados de alienação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fiduciária perante um Banco.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O Juízo competente, de plano, indeferiu o pedido de penhora, sob o argumento de que CALEBE não seria proprietário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dos ônibus, e sim o Banco financiador (credor no contrato de alienação fiduciária). E, logo após a apresentação dos Embargos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do Devedor por CALEBE e sua esposa, o Magistrado, de ofício, determinou a suspensão da execução.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Por fim, após a resposta aos Embargos por parte de MOABE e BETSAIDA, o Juiz proferiu sentença de extinção do feito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5648">
        <w:rPr>
          <w:rFonts w:ascii="Times New Roman" w:hAnsi="Times New Roman" w:cs="Times New Roman"/>
          <w:sz w:val="24"/>
          <w:szCs w:val="24"/>
        </w:rPr>
        <w:t>executivo, sob o fundamento de que:</w:t>
      </w:r>
    </w:p>
    <w:p w:rsidR="00A65648" w:rsidRP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>a) o Protocolo de Intenções não teria natureza de título executivo e, mesmo que o fosse, estaria prescrito;</w:t>
      </w:r>
    </w:p>
    <w:p w:rsid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65648">
        <w:rPr>
          <w:rFonts w:ascii="Times New Roman" w:hAnsi="Times New Roman" w:cs="Times New Roman"/>
          <w:sz w:val="24"/>
          <w:szCs w:val="24"/>
        </w:rPr>
        <w:t xml:space="preserve">b) BETSAIDA e RAABE não teriam legitimidade para figurarem no </w:t>
      </w:r>
      <w:proofErr w:type="spellStart"/>
      <w:r w:rsidRPr="00A65648">
        <w:rPr>
          <w:rFonts w:ascii="Times New Roman" w:hAnsi="Times New Roman" w:cs="Times New Roman"/>
          <w:sz w:val="24"/>
          <w:szCs w:val="24"/>
        </w:rPr>
        <w:t>pólo</w:t>
      </w:r>
      <w:proofErr w:type="spellEnd"/>
      <w:r w:rsidRPr="00A65648">
        <w:rPr>
          <w:rFonts w:ascii="Times New Roman" w:hAnsi="Times New Roman" w:cs="Times New Roman"/>
          <w:sz w:val="24"/>
          <w:szCs w:val="24"/>
        </w:rPr>
        <w:t xml:space="preserve"> ativo e passivo, respectivamente, da execução.</w:t>
      </w:r>
    </w:p>
    <w:p w:rsidR="00A65648" w:rsidRDefault="00A6564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Então, questiona-se: O título apresentado na inicial de execução é certo, líquido e exigível? </w:t>
      </w:r>
    </w:p>
    <w:p w:rsidR="00F17D1D" w:rsidRDefault="00F17D1D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65648" w:rsidRDefault="00F17D1D" w:rsidP="00200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POSSÍVEL DECISÃO</w:t>
      </w:r>
    </w:p>
    <w:p w:rsidR="00F17D1D" w:rsidRDefault="00F17D1D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FE1" w:rsidRDefault="00FE5FE1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 artigo 784, inciso III, do Código de Processo Civil (BRASIL, 2015), o documento particular que for assinado pelo devedor e por duas testemunhas é considerado título executivo extrajudicial. </w:t>
      </w:r>
    </w:p>
    <w:p w:rsidR="00247173" w:rsidRPr="00547032" w:rsidRDefault="002E7E92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7032">
        <w:rPr>
          <w:rFonts w:ascii="Times New Roman" w:hAnsi="Times New Roman" w:cs="Times New Roman"/>
          <w:sz w:val="24"/>
          <w:szCs w:val="24"/>
        </w:rPr>
        <w:t>O título executivo extrajudicial pre</w:t>
      </w:r>
      <w:r w:rsidR="0054207E">
        <w:rPr>
          <w:rFonts w:ascii="Times New Roman" w:hAnsi="Times New Roman" w:cs="Times New Roman"/>
          <w:sz w:val="24"/>
          <w:szCs w:val="24"/>
        </w:rPr>
        <w:t>sente no caso era</w:t>
      </w:r>
      <w:r w:rsidR="00F17D1D">
        <w:rPr>
          <w:rFonts w:ascii="Times New Roman" w:hAnsi="Times New Roman" w:cs="Times New Roman"/>
          <w:sz w:val="24"/>
          <w:szCs w:val="24"/>
        </w:rPr>
        <w:t xml:space="preserve"> certo e líquido</w:t>
      </w:r>
      <w:r w:rsidRPr="00547032">
        <w:rPr>
          <w:rFonts w:ascii="Times New Roman" w:hAnsi="Times New Roman" w:cs="Times New Roman"/>
          <w:sz w:val="24"/>
          <w:szCs w:val="24"/>
        </w:rPr>
        <w:t xml:space="preserve">. Certo porque, não há controvérsia quanto à existência do crédito. Ele é a própria carta de intenção. Líquido porque tem um valor, a liquidez se refere ao quantum. E o valor do título é de </w:t>
      </w:r>
      <w:r w:rsidR="0054207E">
        <w:rPr>
          <w:rFonts w:ascii="Times New Roman" w:hAnsi="Times New Roman" w:cs="Times New Roman"/>
          <w:sz w:val="24"/>
          <w:szCs w:val="24"/>
        </w:rPr>
        <w:t>1 milhão.</w:t>
      </w:r>
    </w:p>
    <w:p w:rsidR="007A14DE" w:rsidRDefault="0054207E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Entretanto, devido à prescrição, perdeu sua natureza de título extrajudicial, deixando também de ser exigível. Segundo o artigo 206, §5º, inciso I do Código Civil (BRASIL, 2002), o prazo é de 5 anos, e tal prazo já se passou.</w:t>
      </w:r>
    </w:p>
    <w:p w:rsidR="00220B60" w:rsidRDefault="00220B60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966">
        <w:rPr>
          <w:rFonts w:ascii="Times New Roman" w:hAnsi="Times New Roman" w:cs="Times New Roman"/>
          <w:b/>
          <w:sz w:val="24"/>
          <w:szCs w:val="24"/>
        </w:rPr>
        <w:t>3 QUESTÕES SECUNDÁRIAS</w:t>
      </w: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966" w:rsidRDefault="003C7966" w:rsidP="002000D0">
      <w:pPr>
        <w:tabs>
          <w:tab w:val="left" w:pos="6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O princípio do devido processo legal foi observado no feito?</w:t>
      </w:r>
      <w:r w:rsidR="00220B60">
        <w:rPr>
          <w:rFonts w:ascii="Times New Roman" w:hAnsi="Times New Roman" w:cs="Times New Roman"/>
          <w:sz w:val="24"/>
          <w:szCs w:val="24"/>
        </w:rPr>
        <w:tab/>
      </w:r>
    </w:p>
    <w:p w:rsidR="00220B60" w:rsidRDefault="00220B60" w:rsidP="002000D0">
      <w:pPr>
        <w:tabs>
          <w:tab w:val="left" w:pos="69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DC4" w:rsidRDefault="00D43DC4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 princípio está previsto no inciso LIV do Art. 5º, da Constituição Federal (BRASIL, 1988) e preceitua sobre a justiça no processo, a legalidade do direito como um todo.</w:t>
      </w:r>
    </w:p>
    <w:p w:rsidR="00D43DC4" w:rsidRDefault="00180EA0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Didier (2016</w:t>
      </w:r>
      <w:r w:rsidR="00D43DC4">
        <w:rPr>
          <w:rFonts w:ascii="Times New Roman" w:hAnsi="Times New Roman" w:cs="Times New Roman"/>
          <w:sz w:val="24"/>
          <w:szCs w:val="24"/>
        </w:rPr>
        <w:t xml:space="preserve">, p. 66) o devido processo legal é “uma garantia contra o exercício abusivo do poder, qualquer poder”. </w:t>
      </w:r>
    </w:p>
    <w:p w:rsidR="00D43DC4" w:rsidRDefault="00D43DC4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princípio do processo legal corrobora outros mais, que fazem parte da estrutura do processo no Brasil. Tais princípios como: contraditório e ampla defesa; princípio do juiz natural; licitude das provas e dentre outros. Portanto, observa-se a complexidade desse princípio constitucional, que é também um d</w:t>
      </w:r>
      <w:r w:rsidR="00180EA0">
        <w:rPr>
          <w:rFonts w:ascii="Times New Roman" w:hAnsi="Times New Roman" w:cs="Times New Roman"/>
          <w:sz w:val="24"/>
          <w:szCs w:val="24"/>
        </w:rPr>
        <w:t>ireito fundamental (DIDIER, 2016</w:t>
      </w:r>
      <w:r>
        <w:rPr>
          <w:rFonts w:ascii="Times New Roman" w:hAnsi="Times New Roman" w:cs="Times New Roman"/>
          <w:sz w:val="24"/>
          <w:szCs w:val="24"/>
        </w:rPr>
        <w:t>, p.68).</w:t>
      </w:r>
    </w:p>
    <w:p w:rsidR="00D43DC4" w:rsidRDefault="005B2913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Entretanto, esse direito não foi garantido no processo acima. Visto que, </w:t>
      </w:r>
      <w:r w:rsidR="00D45DC9">
        <w:rPr>
          <w:rFonts w:ascii="Times New Roman" w:hAnsi="Times New Roman" w:cs="Times New Roman"/>
          <w:sz w:val="24"/>
          <w:szCs w:val="24"/>
        </w:rPr>
        <w:t xml:space="preserve">o juiz deu fim ao processo de execução beneficiando Calebe que entrou </w:t>
      </w:r>
      <w:r w:rsidR="00220B60">
        <w:rPr>
          <w:rFonts w:ascii="Times New Roman" w:hAnsi="Times New Roman" w:cs="Times New Roman"/>
          <w:sz w:val="24"/>
          <w:szCs w:val="24"/>
        </w:rPr>
        <w:t>com um embargo do devedor.</w:t>
      </w:r>
      <w:r w:rsidR="00D45DC9">
        <w:rPr>
          <w:rFonts w:ascii="Times New Roman" w:hAnsi="Times New Roman" w:cs="Times New Roman"/>
          <w:sz w:val="24"/>
          <w:szCs w:val="24"/>
        </w:rPr>
        <w:t xml:space="preserve"> Mais prejudicou </w:t>
      </w:r>
      <w:proofErr w:type="spellStart"/>
      <w:r w:rsidR="00D45DC9">
        <w:rPr>
          <w:rFonts w:ascii="Times New Roman" w:hAnsi="Times New Roman" w:cs="Times New Roman"/>
          <w:sz w:val="24"/>
          <w:szCs w:val="24"/>
        </w:rPr>
        <w:t>Moabe</w:t>
      </w:r>
      <w:proofErr w:type="spellEnd"/>
      <w:r w:rsidR="00D45DC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D45DC9">
        <w:rPr>
          <w:rFonts w:ascii="Times New Roman" w:hAnsi="Times New Roman" w:cs="Times New Roman"/>
          <w:sz w:val="24"/>
          <w:szCs w:val="24"/>
        </w:rPr>
        <w:t>Betsaida</w:t>
      </w:r>
      <w:proofErr w:type="spellEnd"/>
      <w:r w:rsidR="00D45DC9">
        <w:rPr>
          <w:rFonts w:ascii="Times New Roman" w:hAnsi="Times New Roman" w:cs="Times New Roman"/>
          <w:sz w:val="24"/>
          <w:szCs w:val="24"/>
        </w:rPr>
        <w:t xml:space="preserve"> Veículos, que tem em mãos um protocolo de intenções com cláusula de irrevogabilidade. Esse protocolo, como tratado acima é um título executivo extraj</w:t>
      </w:r>
      <w:r w:rsidR="00B46E84">
        <w:rPr>
          <w:rFonts w:ascii="Times New Roman" w:hAnsi="Times New Roman" w:cs="Times New Roman"/>
          <w:sz w:val="24"/>
          <w:szCs w:val="24"/>
        </w:rPr>
        <w:t xml:space="preserve">udicial e mesmo sendo considerado prescrito, pelo juiz, </w:t>
      </w:r>
      <w:r w:rsidR="00220B60">
        <w:rPr>
          <w:rFonts w:ascii="Times New Roman" w:hAnsi="Times New Roman" w:cs="Times New Roman"/>
          <w:sz w:val="24"/>
          <w:szCs w:val="24"/>
        </w:rPr>
        <w:t>ainda pode ser recorrido pelos credores.</w:t>
      </w: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Seria possível a penhora de direitos do devedor sobre bem financiado via contrato de alienação fiduciária? Caso positivo, qual a medida cabível em face da decisão de indeferimento da penhora?</w:t>
      </w:r>
    </w:p>
    <w:p w:rsidR="00220B60" w:rsidRDefault="00220B60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757" w:rsidRDefault="009C6594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Sim, é possível, pois, segundo julgados dos tribunais, é incabível a penhora do bem em alienação, mas a penhora dos direitos é admitida.</w:t>
      </w:r>
    </w:p>
    <w:p w:rsidR="009C6594" w:rsidRDefault="009C6594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exemplo tem-se o julgado do Tribunal de Justiça de Minas Gerais, que, ao julgar o Agravo de Instrumento </w:t>
      </w:r>
      <w:proofErr w:type="spellStart"/>
      <w:r w:rsidR="0072568E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="0072568E">
        <w:rPr>
          <w:rFonts w:ascii="Times New Roman" w:hAnsi="Times New Roman" w:cs="Times New Roman"/>
          <w:sz w:val="24"/>
          <w:szCs w:val="24"/>
        </w:rPr>
        <w:t xml:space="preserve"> AI 10324120060540001</w:t>
      </w:r>
      <w:r w:rsidRPr="009C6594">
        <w:rPr>
          <w:rFonts w:ascii="Times New Roman" w:hAnsi="Times New Roman" w:cs="Times New Roman"/>
          <w:sz w:val="24"/>
          <w:szCs w:val="24"/>
        </w:rPr>
        <w:t xml:space="preserve"> (TJ-MG</w:t>
      </w:r>
      <w:r>
        <w:rPr>
          <w:rFonts w:ascii="Times New Roman" w:hAnsi="Times New Roman" w:cs="Times New Roman"/>
          <w:sz w:val="24"/>
          <w:szCs w:val="24"/>
        </w:rPr>
        <w:t>, 2013</w:t>
      </w:r>
      <w:r w:rsidRPr="009C65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afirmou que “é</w:t>
      </w:r>
      <w:r w:rsidRPr="009C6594">
        <w:rPr>
          <w:rFonts w:ascii="Times New Roman" w:hAnsi="Times New Roman" w:cs="Times New Roman"/>
          <w:sz w:val="24"/>
          <w:szCs w:val="24"/>
        </w:rPr>
        <w:t xml:space="preserve"> possível a penhora dos direitos do devedor fiduciário oriundos de contrato de financiamento. Desnecessário constar impedimento judicial de transferência de veículo gravado com alienação fiduciária.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C7966" w:rsidRDefault="003857BD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do mais, o Código de Processo Civil (2015), em seu artigo 835, inciso </w:t>
      </w:r>
      <w:r w:rsidR="00D13208">
        <w:rPr>
          <w:rFonts w:ascii="Times New Roman" w:hAnsi="Times New Roman" w:cs="Times New Roman"/>
          <w:sz w:val="24"/>
          <w:szCs w:val="24"/>
        </w:rPr>
        <w:t>XIII, deixa em aberto a possibilidade de “outros direitos”.</w:t>
      </w:r>
    </w:p>
    <w:p w:rsidR="00D13208" w:rsidRDefault="00D13208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 </w:t>
      </w:r>
      <w:r w:rsidRPr="003C7966">
        <w:rPr>
          <w:rFonts w:ascii="Times New Roman" w:hAnsi="Times New Roman" w:cs="Times New Roman"/>
          <w:sz w:val="24"/>
          <w:szCs w:val="24"/>
        </w:rPr>
        <w:t>Qual o(s) prazo(s) prescricional(ais) aplicáveis?</w:t>
      </w:r>
    </w:p>
    <w:p w:rsidR="008B3F29" w:rsidRDefault="008B3F29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F29" w:rsidRDefault="008B3F29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prazo é de 5 anos, conforme o disposto no artigo 206, §5º, inciso I do Código Civil (BRASIL, 2002), que dispõe: “</w:t>
      </w:r>
      <w:r w:rsidRPr="008B3F29">
        <w:rPr>
          <w:rFonts w:ascii="Times New Roman" w:hAnsi="Times New Roman" w:cs="Times New Roman"/>
          <w:sz w:val="24"/>
          <w:szCs w:val="24"/>
        </w:rPr>
        <w:t>Art. 206. Prescreve:</w:t>
      </w:r>
      <w:r>
        <w:rPr>
          <w:rFonts w:ascii="Times New Roman" w:hAnsi="Times New Roman" w:cs="Times New Roman"/>
          <w:sz w:val="24"/>
          <w:szCs w:val="24"/>
        </w:rPr>
        <w:t xml:space="preserve"> [...]§ 5º Em cinco anos: </w:t>
      </w:r>
      <w:r w:rsidRPr="008B3F29">
        <w:rPr>
          <w:rFonts w:ascii="Times New Roman" w:hAnsi="Times New Roman" w:cs="Times New Roman"/>
          <w:sz w:val="24"/>
          <w:szCs w:val="24"/>
        </w:rPr>
        <w:t>I - a pretensão de cobrança de dívidas líquidas constantes de instrumento público ou particular;</w:t>
      </w:r>
      <w:r>
        <w:rPr>
          <w:rFonts w:ascii="Times New Roman" w:hAnsi="Times New Roman" w:cs="Times New Roman"/>
          <w:sz w:val="24"/>
          <w:szCs w:val="24"/>
        </w:rPr>
        <w:t xml:space="preserve"> [...]”. </w:t>
      </w: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3C7966">
        <w:rPr>
          <w:rFonts w:ascii="Times New Roman" w:hAnsi="Times New Roman" w:cs="Times New Roman"/>
          <w:sz w:val="24"/>
          <w:szCs w:val="24"/>
        </w:rPr>
        <w:t>Quais partes envolvidas possuem legitimidade ad causam para a execução e para os embargos?</w:t>
      </w:r>
      <w:r w:rsidR="009C65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450" w:rsidRDefault="009D1450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Moabe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possui legitimidade para agir e para propor a ação</w:t>
      </w:r>
      <w:r w:rsidR="003857BD">
        <w:rPr>
          <w:rFonts w:ascii="Times New Roman" w:hAnsi="Times New Roman" w:cs="Times New Roman"/>
          <w:sz w:val="24"/>
          <w:szCs w:val="24"/>
        </w:rPr>
        <w:t xml:space="preserve">, pois, sendo ele detentor de todo o capital da empresa </w:t>
      </w:r>
      <w:proofErr w:type="spellStart"/>
      <w:r w:rsidR="003857BD">
        <w:rPr>
          <w:rFonts w:ascii="Times New Roman" w:hAnsi="Times New Roman" w:cs="Times New Roman"/>
          <w:sz w:val="24"/>
          <w:szCs w:val="24"/>
        </w:rPr>
        <w:t>Betsaida</w:t>
      </w:r>
      <w:proofErr w:type="spellEnd"/>
      <w:r w:rsidR="003857BD">
        <w:rPr>
          <w:rFonts w:ascii="Times New Roman" w:hAnsi="Times New Roman" w:cs="Times New Roman"/>
          <w:sz w:val="24"/>
          <w:szCs w:val="24"/>
        </w:rPr>
        <w:t>, ele é o real detentor da legitimidade e interessado. Por fim, como afirma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 legitimidade ad causam </w:t>
      </w:r>
      <w:r w:rsidR="003857BD">
        <w:rPr>
          <w:rFonts w:ascii="Times New Roman" w:hAnsi="Times New Roman" w:cs="Times New Roman"/>
          <w:sz w:val="24"/>
          <w:szCs w:val="24"/>
        </w:rPr>
        <w:t xml:space="preserve">se destina à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D1450">
        <w:rPr>
          <w:rFonts w:ascii="Times New Roman" w:hAnsi="Times New Roman" w:cs="Times New Roman"/>
          <w:sz w:val="24"/>
          <w:szCs w:val="24"/>
        </w:rPr>
        <w:t>quais pessoas têm uma qualidade especial para postular em juízo, pois têm ligação direta com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7BD">
        <w:rPr>
          <w:rFonts w:ascii="Times New Roman" w:hAnsi="Times New Roman" w:cs="Times New Roman"/>
          <w:sz w:val="24"/>
          <w:szCs w:val="24"/>
        </w:rPr>
        <w:t xml:space="preserve">pretensão posta em juízo”. </w:t>
      </w:r>
    </w:p>
    <w:p w:rsidR="003857BD" w:rsidRDefault="003857BD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3C7966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r w:rsidRPr="003C7966">
        <w:rPr>
          <w:rFonts w:ascii="Times New Roman" w:hAnsi="Times New Roman" w:cs="Times New Roman"/>
          <w:sz w:val="24"/>
          <w:szCs w:val="24"/>
        </w:rPr>
        <w:t>Quais medidas judiciais poderiam ser apresentadas na defesa dos interesses do(s) CREDOR(ES)? Com base em quais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966">
        <w:rPr>
          <w:rFonts w:ascii="Times New Roman" w:hAnsi="Times New Roman" w:cs="Times New Roman"/>
          <w:sz w:val="24"/>
          <w:szCs w:val="24"/>
        </w:rPr>
        <w:t>fundamentos de direito processual e material?</w:t>
      </w:r>
    </w:p>
    <w:p w:rsidR="00996621" w:rsidRDefault="00996621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6621" w:rsidRDefault="00996621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Poderia ser apresentado os embargos à execução, descritos pelo artigo 585, incisos II a VII do Código de Processo Civil (BRASIL, 2015). Tais medidas tem o intuito de impugnar a cobrança de um crédito que seja de execução extrajudicial (MELLO, [s.d.]).</w:t>
      </w:r>
    </w:p>
    <w:p w:rsidR="00996621" w:rsidRDefault="00996621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 seja, os embargos seria o instrumento ideal para defesa dos credores, visto que “c</w:t>
      </w:r>
      <w:r w:rsidRPr="00996621">
        <w:rPr>
          <w:rFonts w:ascii="Times New Roman" w:hAnsi="Times New Roman" w:cs="Times New Roman"/>
          <w:sz w:val="24"/>
          <w:szCs w:val="24"/>
        </w:rPr>
        <w:t>om natureza jurídica de ação autônoma serão distribuídos por dependência e autuados em apartado, sendo a competência funcional de natureza absoluta</w:t>
      </w:r>
      <w:r>
        <w:rPr>
          <w:rFonts w:ascii="Times New Roman" w:hAnsi="Times New Roman" w:cs="Times New Roman"/>
          <w:sz w:val="24"/>
          <w:szCs w:val="24"/>
        </w:rPr>
        <w:t>” (MELLO, [s.d.])</w:t>
      </w:r>
      <w:r w:rsidRPr="00996621">
        <w:rPr>
          <w:rFonts w:ascii="Times New Roman" w:hAnsi="Times New Roman" w:cs="Times New Roman"/>
          <w:sz w:val="24"/>
          <w:szCs w:val="24"/>
        </w:rPr>
        <w:t>.</w:t>
      </w:r>
    </w:p>
    <w:p w:rsidR="00996621" w:rsidRDefault="00996621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662C44" w:rsidRDefault="003C7966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 A esposa de Calebe é anuente ou coobrigada?</w:t>
      </w:r>
    </w:p>
    <w:p w:rsidR="00220B60" w:rsidRDefault="00220B60" w:rsidP="002000D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966" w:rsidRDefault="003C7966" w:rsidP="002000D0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 é coobrigada, visto que eles são casados no regime de comunhão universal de bens. E como ela deu outorga, ela então é coobrigada.</w:t>
      </w:r>
    </w:p>
    <w:p w:rsidR="003C7966" w:rsidRPr="00547032" w:rsidRDefault="003C7966" w:rsidP="003C7966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47032" w:rsidRDefault="00547032" w:rsidP="003C7966">
      <w:pPr>
        <w:spacing w:after="0" w:line="360" w:lineRule="auto"/>
        <w:jc w:val="both"/>
      </w:pPr>
    </w:p>
    <w:p w:rsidR="00547032" w:rsidRDefault="00D43DC4" w:rsidP="002000D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3DC4">
        <w:rPr>
          <w:rFonts w:ascii="Times New Roman" w:hAnsi="Times New Roman" w:cs="Times New Roman"/>
          <w:b/>
          <w:sz w:val="24"/>
          <w:szCs w:val="24"/>
        </w:rPr>
        <w:t>RERERÊNCIAS</w:t>
      </w:r>
    </w:p>
    <w:p w:rsidR="00121518" w:rsidRDefault="00121518" w:rsidP="002000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518" w:rsidRDefault="00121518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10324120060540001/MG, Rel. Des. Gutemberg da Mota e Silva. </w:t>
      </w:r>
      <w:proofErr w:type="spellStart"/>
      <w:r>
        <w:rPr>
          <w:rFonts w:ascii="Times New Roman" w:hAnsi="Times New Roman" w:cs="Times New Roman"/>
          <w:sz w:val="24"/>
          <w:szCs w:val="24"/>
        </w:rPr>
        <w:t>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68E">
        <w:rPr>
          <w:rFonts w:ascii="Times New Roman" w:hAnsi="Times New Roman" w:cs="Times New Roman"/>
          <w:sz w:val="24"/>
          <w:szCs w:val="24"/>
        </w:rPr>
        <w:t>03/12/2013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hyperlink r:id="rId7" w:history="1">
        <w:r w:rsidRPr="0072568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http://tj-mg.jusbrasil.com.br/jurisprudencia/118547678/agravo-de-instrumento-cv-ai-10324120060540001-mg</w:t>
        </w:r>
      </w:hyperlink>
      <w:r w:rsidRPr="0072568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&gt;. Acesso em: 09 out. 2016.</w:t>
      </w:r>
    </w:p>
    <w:p w:rsidR="00121518" w:rsidRDefault="00121518" w:rsidP="002000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000D0" w:rsidRDefault="002000D0" w:rsidP="002000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65EA5">
        <w:rPr>
          <w:rFonts w:ascii="Times New Roman" w:hAnsi="Times New Roman" w:cs="Times New Roman"/>
          <w:sz w:val="24"/>
          <w:szCs w:val="24"/>
        </w:rPr>
        <w:lastRenderedPageBreak/>
        <w:t xml:space="preserve">BRASIL. </w:t>
      </w:r>
      <w:r w:rsidRPr="00165EA5">
        <w:rPr>
          <w:rFonts w:ascii="Times New Roman" w:hAnsi="Times New Roman" w:cs="Times New Roman"/>
          <w:b/>
          <w:sz w:val="24"/>
          <w:szCs w:val="24"/>
        </w:rPr>
        <w:t>Constituição Federal</w:t>
      </w:r>
      <w:r w:rsidRPr="00165EA5">
        <w:rPr>
          <w:rFonts w:ascii="Times New Roman" w:hAnsi="Times New Roman" w:cs="Times New Roman"/>
          <w:sz w:val="24"/>
          <w:szCs w:val="24"/>
        </w:rPr>
        <w:t xml:space="preserve"> (1988). </w:t>
      </w:r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In:</w:t>
      </w:r>
      <w:r w:rsidRPr="00165E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Vade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Mecum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Organização de Luiz Roberto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Céspedes et al. São Paulo: Saraiva, 2014.</w:t>
      </w:r>
    </w:p>
    <w:p w:rsidR="002000D0" w:rsidRPr="00165EA5" w:rsidRDefault="002000D0" w:rsidP="002000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121518" w:rsidRDefault="00996466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______. </w:t>
      </w:r>
      <w:r w:rsidRPr="002000D0">
        <w:rPr>
          <w:rFonts w:ascii="Times New Roman" w:hAnsi="Times New Roman" w:cs="Times New Roman"/>
          <w:b/>
          <w:sz w:val="24"/>
          <w:szCs w:val="24"/>
        </w:rPr>
        <w:t>Lei n.13.105</w:t>
      </w:r>
      <w:r>
        <w:rPr>
          <w:rFonts w:ascii="Times New Roman" w:hAnsi="Times New Roman" w:cs="Times New Roman"/>
          <w:sz w:val="24"/>
          <w:szCs w:val="24"/>
        </w:rPr>
        <w:t xml:space="preserve">, de 16/03/2015. </w:t>
      </w:r>
      <w:r w:rsidRPr="002000D0">
        <w:rPr>
          <w:rFonts w:ascii="Times New Roman" w:hAnsi="Times New Roman" w:cs="Times New Roman"/>
          <w:sz w:val="24"/>
          <w:szCs w:val="24"/>
        </w:rPr>
        <w:t>Código de Processo Civil.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518" w:rsidRPr="00121518">
        <w:rPr>
          <w:rFonts w:ascii="Times New Roman" w:hAnsi="Times New Roman" w:cs="Times New Roman"/>
          <w:sz w:val="24"/>
          <w:szCs w:val="24"/>
        </w:rPr>
        <w:t xml:space="preserve">São Paulo: Saraiva, </w:t>
      </w:r>
      <w:r w:rsidR="00121518">
        <w:rPr>
          <w:rFonts w:ascii="Times New Roman" w:hAnsi="Times New Roman" w:cs="Times New Roman"/>
          <w:sz w:val="24"/>
          <w:szCs w:val="24"/>
        </w:rPr>
        <w:t>2ª ed., 2016.</w:t>
      </w:r>
    </w:p>
    <w:p w:rsidR="002000D0" w:rsidRDefault="002000D0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0D0" w:rsidRPr="00165EA5" w:rsidRDefault="002000D0" w:rsidP="002000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______.</w:t>
      </w:r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165EA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Código Civil</w:t>
      </w:r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(2002). In: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Vade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Mecum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Organização de Luiz Roberto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Livia</w:t>
      </w:r>
      <w:proofErr w:type="spellEnd"/>
      <w:r w:rsidRPr="00165EA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Céspedes et al. São Paulo: Saraiva, 2014.</w:t>
      </w:r>
    </w:p>
    <w:p w:rsidR="00121518" w:rsidRPr="00121518" w:rsidRDefault="00121518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DC4" w:rsidRDefault="00D43DC4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DIDIER,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Jr. </w:t>
      </w:r>
      <w:r w:rsidR="00180EA0" w:rsidRPr="00180EA0">
        <w:rPr>
          <w:rFonts w:ascii="Times New Roman" w:hAnsi="Times New Roman" w:cs="Times New Roman"/>
          <w:b/>
          <w:sz w:val="24"/>
          <w:szCs w:val="24"/>
        </w:rPr>
        <w:t>Curso de Direito</w:t>
      </w:r>
      <w:r w:rsidR="00180EA0">
        <w:rPr>
          <w:rFonts w:ascii="Times New Roman" w:hAnsi="Times New Roman" w:cs="Times New Roman"/>
          <w:sz w:val="24"/>
          <w:szCs w:val="24"/>
        </w:rPr>
        <w:t xml:space="preserve">- Processo Civil. Vol. 1. Salvador: </w:t>
      </w:r>
      <w:proofErr w:type="spellStart"/>
      <w:r w:rsidR="00180EA0">
        <w:rPr>
          <w:rFonts w:ascii="Times New Roman" w:hAnsi="Times New Roman" w:cs="Times New Roman"/>
          <w:sz w:val="24"/>
          <w:szCs w:val="24"/>
        </w:rPr>
        <w:t>Jusposidivim</w:t>
      </w:r>
      <w:proofErr w:type="spellEnd"/>
      <w:r w:rsidR="00180EA0">
        <w:rPr>
          <w:rFonts w:ascii="Times New Roman" w:hAnsi="Times New Roman" w:cs="Times New Roman"/>
          <w:sz w:val="24"/>
          <w:szCs w:val="24"/>
        </w:rPr>
        <w:t>, 18ª ed., 2016, p. 66, 68.</w:t>
      </w:r>
    </w:p>
    <w:p w:rsidR="00BF3870" w:rsidRDefault="00BF3870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621" w:rsidRDefault="00996466" w:rsidP="0020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MELLO, Camila </w:t>
      </w:r>
      <w:proofErr w:type="spellStart"/>
      <w:r w:rsidRPr="00996466">
        <w:rPr>
          <w:rFonts w:ascii="Times New Roman" w:hAnsi="Times New Roman" w:cs="Times New Roman"/>
          <w:color w:val="000000" w:themeColor="text1"/>
          <w:sz w:val="24"/>
          <w:szCs w:val="24"/>
        </w:rPr>
        <w:t>Lorga</w:t>
      </w:r>
      <w:proofErr w:type="spellEnd"/>
      <w:r w:rsidRPr="009964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Ferreira. </w:t>
      </w:r>
      <w:r w:rsidRPr="0099646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Meios de defesa existentes na execução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[s.d.]. Disponível em:</w:t>
      </w:r>
      <w:r w:rsidRPr="00996466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hyperlink r:id="rId8" w:history="1">
        <w:r w:rsidRPr="0099646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http://www.ambitojuridico.com.br/site/index.php?n_link=revista_artigos_leitura&amp;artigo_id=7943</w:t>
        </w:r>
      </w:hyperlink>
      <w:r w:rsidRPr="00996466">
        <w:rPr>
          <w:rFonts w:ascii="Times New Roman" w:hAnsi="Times New Roman" w:cs="Times New Roman"/>
          <w:color w:val="000000" w:themeColor="text1"/>
          <w:sz w:val="24"/>
          <w:szCs w:val="24"/>
        </w:rPr>
        <w:t>&gt;. Acesso em: 10 out. 2016.</w:t>
      </w:r>
    </w:p>
    <w:p w:rsidR="00996466" w:rsidRPr="00996466" w:rsidRDefault="00996466" w:rsidP="002000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1518" w:rsidRDefault="00121518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EAC">
        <w:rPr>
          <w:rFonts w:ascii="Times New Roman" w:hAnsi="Times New Roman" w:cs="Times New Roman"/>
          <w:sz w:val="24"/>
          <w:szCs w:val="24"/>
        </w:rPr>
        <w:t xml:space="preserve">SCHIAVI, Mauro. </w:t>
      </w:r>
      <w:r w:rsidRPr="00A13EAC">
        <w:rPr>
          <w:rFonts w:ascii="Times New Roman" w:hAnsi="Times New Roman" w:cs="Times New Roman"/>
          <w:b/>
          <w:sz w:val="24"/>
          <w:szCs w:val="24"/>
        </w:rPr>
        <w:t>O Novo Código de Processo Civil e os pressupostos processuais e as condições da ação</w:t>
      </w:r>
      <w:r w:rsidRPr="00A13EAC">
        <w:rPr>
          <w:rFonts w:ascii="Times New Roman" w:hAnsi="Times New Roman" w:cs="Times New Roman"/>
          <w:sz w:val="24"/>
          <w:szCs w:val="24"/>
        </w:rPr>
        <w:t xml:space="preserve"> – impactos no processo do </w:t>
      </w:r>
      <w:r>
        <w:rPr>
          <w:rFonts w:ascii="Times New Roman" w:hAnsi="Times New Roman" w:cs="Times New Roman"/>
          <w:sz w:val="24"/>
          <w:szCs w:val="24"/>
        </w:rPr>
        <w:t>trabalho. 2015. Disponível em: &lt;</w:t>
      </w:r>
      <w:hyperlink r:id="rId9" w:history="1">
        <w:r w:rsidRPr="0099646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http://www.trt7.jus.br/escolajudicial/arquivos/files/busca/2015/O_novo_CPC_e_os_pressupostos_processuais_e_condicoes_da_acao.pdf</w:t>
        </w:r>
      </w:hyperlink>
      <w:r w:rsidRPr="00996466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&gt;. Acesso em: 09 out. 2016.</w:t>
      </w:r>
    </w:p>
    <w:p w:rsidR="00996621" w:rsidRDefault="00996621" w:rsidP="002000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621" w:rsidSect="007A14D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19" w:rsidRDefault="00847719" w:rsidP="007A14DE">
      <w:pPr>
        <w:spacing w:after="0" w:line="240" w:lineRule="auto"/>
      </w:pPr>
      <w:r>
        <w:separator/>
      </w:r>
    </w:p>
  </w:endnote>
  <w:endnote w:type="continuationSeparator" w:id="0">
    <w:p w:rsidR="00847719" w:rsidRDefault="00847719" w:rsidP="007A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19" w:rsidRDefault="00847719" w:rsidP="007A14DE">
      <w:pPr>
        <w:spacing w:after="0" w:line="240" w:lineRule="auto"/>
      </w:pPr>
      <w:r>
        <w:separator/>
      </w:r>
    </w:p>
  </w:footnote>
  <w:footnote w:type="continuationSeparator" w:id="0">
    <w:p w:rsidR="00847719" w:rsidRDefault="00847719" w:rsidP="007A14DE">
      <w:pPr>
        <w:spacing w:after="0" w:line="240" w:lineRule="auto"/>
      </w:pPr>
      <w:r>
        <w:continuationSeparator/>
      </w:r>
    </w:p>
  </w:footnote>
  <w:footnote w:id="1">
    <w:p w:rsidR="007A14DE" w:rsidRPr="007A14DE" w:rsidRDefault="007A14DE">
      <w:pPr>
        <w:pStyle w:val="Textodenotaderodap"/>
        <w:rPr>
          <w:rFonts w:ascii="Times New Roman" w:hAnsi="Times New Roman" w:cs="Times New Roman"/>
        </w:rPr>
      </w:pPr>
      <w:r w:rsidRPr="007A14DE">
        <w:rPr>
          <w:rStyle w:val="Refdenotaderodap"/>
          <w:rFonts w:ascii="Times New Roman" w:hAnsi="Times New Roman" w:cs="Times New Roman"/>
        </w:rPr>
        <w:footnoteRef/>
      </w:r>
      <w:r w:rsidRPr="007A14DE">
        <w:rPr>
          <w:rFonts w:ascii="Times New Roman" w:hAnsi="Times New Roman" w:cs="Times New Roman"/>
        </w:rPr>
        <w:t xml:space="preserve"> Case destinado à disciplina de Processo de Execução, do curso de direito </w:t>
      </w:r>
      <w:proofErr w:type="spellStart"/>
      <w:proofErr w:type="gramStart"/>
      <w:r w:rsidRPr="007A14DE">
        <w:rPr>
          <w:rFonts w:ascii="Times New Roman" w:hAnsi="Times New Roman" w:cs="Times New Roman"/>
        </w:rPr>
        <w:t>vesp</w:t>
      </w:r>
      <w:proofErr w:type="spellEnd"/>
      <w:r w:rsidRPr="007A14DE">
        <w:rPr>
          <w:rFonts w:ascii="Times New Roman" w:hAnsi="Times New Roman" w:cs="Times New Roman"/>
        </w:rPr>
        <w:t>.,</w:t>
      </w:r>
      <w:proofErr w:type="gramEnd"/>
      <w:r w:rsidRPr="007A14DE">
        <w:rPr>
          <w:rFonts w:ascii="Times New Roman" w:hAnsi="Times New Roman" w:cs="Times New Roman"/>
        </w:rPr>
        <w:t xml:space="preserve"> da Unidade de Ensino Superior Dom Bosco- UNDB.</w:t>
      </w:r>
    </w:p>
  </w:footnote>
  <w:footnote w:id="2">
    <w:p w:rsidR="007A14DE" w:rsidRPr="007A14DE" w:rsidRDefault="007A14DE">
      <w:pPr>
        <w:pStyle w:val="Textodenotaderodap"/>
        <w:rPr>
          <w:rFonts w:ascii="Times New Roman" w:hAnsi="Times New Roman" w:cs="Times New Roman"/>
        </w:rPr>
      </w:pPr>
      <w:r w:rsidRPr="007A14DE">
        <w:rPr>
          <w:rStyle w:val="Refdenotaderodap"/>
          <w:rFonts w:ascii="Times New Roman" w:hAnsi="Times New Roman" w:cs="Times New Roman"/>
        </w:rPr>
        <w:footnoteRef/>
      </w:r>
      <w:r w:rsidRPr="007A14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Aluna do 7º período, do curso de direito </w:t>
      </w:r>
      <w:proofErr w:type="spellStart"/>
      <w:proofErr w:type="gramStart"/>
      <w:r>
        <w:rPr>
          <w:rFonts w:ascii="Times New Roman" w:hAnsi="Times New Roman" w:cs="Times New Roman"/>
        </w:rPr>
        <w:t>vesp</w:t>
      </w:r>
      <w:proofErr w:type="spellEnd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da UNDB.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92"/>
    <w:rsid w:val="00121518"/>
    <w:rsid w:val="00180EA0"/>
    <w:rsid w:val="00187B0F"/>
    <w:rsid w:val="00191102"/>
    <w:rsid w:val="002000D0"/>
    <w:rsid w:val="00220B60"/>
    <w:rsid w:val="00247173"/>
    <w:rsid w:val="002A2757"/>
    <w:rsid w:val="002E7E92"/>
    <w:rsid w:val="003857BD"/>
    <w:rsid w:val="003C7966"/>
    <w:rsid w:val="00483B74"/>
    <w:rsid w:val="004A00AD"/>
    <w:rsid w:val="0054207E"/>
    <w:rsid w:val="00547032"/>
    <w:rsid w:val="00567E7F"/>
    <w:rsid w:val="005B2913"/>
    <w:rsid w:val="005C054D"/>
    <w:rsid w:val="00662C44"/>
    <w:rsid w:val="00666DAB"/>
    <w:rsid w:val="0072568E"/>
    <w:rsid w:val="007551A1"/>
    <w:rsid w:val="007A14DE"/>
    <w:rsid w:val="00847719"/>
    <w:rsid w:val="008B3F29"/>
    <w:rsid w:val="0094791E"/>
    <w:rsid w:val="00996466"/>
    <w:rsid w:val="00996621"/>
    <w:rsid w:val="009C6594"/>
    <w:rsid w:val="009D1450"/>
    <w:rsid w:val="00A13EAC"/>
    <w:rsid w:val="00A65648"/>
    <w:rsid w:val="00B4025A"/>
    <w:rsid w:val="00B46E84"/>
    <w:rsid w:val="00BF3870"/>
    <w:rsid w:val="00CC5878"/>
    <w:rsid w:val="00D13208"/>
    <w:rsid w:val="00D43DC4"/>
    <w:rsid w:val="00D45DC9"/>
    <w:rsid w:val="00D95782"/>
    <w:rsid w:val="00D97127"/>
    <w:rsid w:val="00F17D1D"/>
    <w:rsid w:val="00F33460"/>
    <w:rsid w:val="00F45013"/>
    <w:rsid w:val="00FE5F68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27EEF-0146-4AA7-8E7B-4208382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14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14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14D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F3870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F33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bitojuridico.com.br/site/index.php?n_link=revista_artigos_leitura&amp;artigo_id=79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j-mg.jusbrasil.com.br/jurisprudencia/118547678/agravo-de-instrumento-cv-ai-10324120060540001-m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rt7.jus.br/escolajudicial/arquivos/files/busca/2015/O_novo_CPC_e_os_pressupostos_processuais_e_condicoes_da_acao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A39D-79C5-4D2D-A110-38B0AFEE8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1424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Samila</dc:creator>
  <cp:lastModifiedBy>Samila</cp:lastModifiedBy>
  <cp:revision>17</cp:revision>
  <dcterms:created xsi:type="dcterms:W3CDTF">2016-10-09T18:24:00Z</dcterms:created>
  <dcterms:modified xsi:type="dcterms:W3CDTF">2018-06-20T15:40:00Z</dcterms:modified>
</cp:coreProperties>
</file>