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CD" w:rsidRDefault="000202CD" w:rsidP="000202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EXECUÇÃO PROVISÓRIA DA PENA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202CD" w:rsidRPr="000202CD" w:rsidRDefault="000202CD" w:rsidP="000202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2CD" w:rsidRPr="000202CD" w:rsidRDefault="000202CD" w:rsidP="000202C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Sousa Rodrigues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0202CD" w:rsidRPr="000202CD" w:rsidRDefault="000202CD" w:rsidP="003D36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2CD" w:rsidRDefault="000202CD" w:rsidP="00E408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2CD" w:rsidRDefault="000202CD" w:rsidP="00E408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2CD" w:rsidRDefault="000202CD" w:rsidP="00E408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0202CD" w:rsidRDefault="000202CD" w:rsidP="000202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caso paira sobre a decisão do HC 126292 que mudou o entendimento jurisprudencial a cerca da execução de pena condenatória em segundo grau. Para isso, será analisado dois princípios derivados do princípio da proporcionalidade.</w:t>
      </w:r>
    </w:p>
    <w:p w:rsidR="000202CD" w:rsidRPr="000202CD" w:rsidRDefault="000202CD" w:rsidP="000202C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B23E7" w:rsidRDefault="000202CD" w:rsidP="00E408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QUESTÃO PRINCIPAL</w:t>
      </w:r>
    </w:p>
    <w:p w:rsidR="00681710" w:rsidRPr="00D7197C" w:rsidRDefault="00E4088A" w:rsidP="00E408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97C">
        <w:rPr>
          <w:rFonts w:ascii="Times New Roman" w:hAnsi="Times New Roman" w:cs="Times New Roman"/>
          <w:b/>
          <w:sz w:val="24"/>
          <w:szCs w:val="24"/>
        </w:rPr>
        <w:t>2.1 Principio da proi</w:t>
      </w:r>
      <w:r w:rsidR="00E74D76" w:rsidRPr="00D7197C">
        <w:rPr>
          <w:rFonts w:ascii="Times New Roman" w:hAnsi="Times New Roman" w:cs="Times New Roman"/>
          <w:b/>
          <w:sz w:val="24"/>
          <w:szCs w:val="24"/>
        </w:rPr>
        <w:t>bição de excesso</w:t>
      </w:r>
    </w:p>
    <w:p w:rsidR="00AD761F" w:rsidRDefault="00E74D76" w:rsidP="00E74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princípio deriva do princípio da proporcionalidade, que apresenta a faceta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positivista 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negativista</w:t>
      </w:r>
      <w:r w:rsidR="00D42205">
        <w:rPr>
          <w:rFonts w:ascii="Times New Roman" w:hAnsi="Times New Roman" w:cs="Times New Roman"/>
          <w:sz w:val="24"/>
          <w:szCs w:val="24"/>
        </w:rPr>
        <w:t xml:space="preserve">, de acordo com </w:t>
      </w:r>
      <w:proofErr w:type="spellStart"/>
      <w:r w:rsidR="00D42205">
        <w:rPr>
          <w:rFonts w:ascii="Times New Roman" w:hAnsi="Times New Roman" w:cs="Times New Roman"/>
          <w:sz w:val="24"/>
          <w:szCs w:val="24"/>
        </w:rPr>
        <w:t>Le</w:t>
      </w:r>
      <w:r w:rsidR="00AD761F">
        <w:rPr>
          <w:rFonts w:ascii="Times New Roman" w:hAnsi="Times New Roman" w:cs="Times New Roman"/>
          <w:sz w:val="24"/>
          <w:szCs w:val="24"/>
        </w:rPr>
        <w:t>nio</w:t>
      </w:r>
      <w:proofErr w:type="spellEnd"/>
      <w:r w:rsidR="00AD76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61F">
        <w:rPr>
          <w:rFonts w:ascii="Times New Roman" w:hAnsi="Times New Roman" w:cs="Times New Roman"/>
          <w:sz w:val="24"/>
          <w:szCs w:val="24"/>
        </w:rPr>
        <w:t>Streck</w:t>
      </w:r>
      <w:proofErr w:type="spellEnd"/>
      <w:r w:rsidR="00AD761F">
        <w:rPr>
          <w:rFonts w:ascii="Times New Roman" w:hAnsi="Times New Roman" w:cs="Times New Roman"/>
          <w:sz w:val="24"/>
          <w:szCs w:val="24"/>
        </w:rPr>
        <w:t xml:space="preserve"> (2013)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4D76" w:rsidRDefault="00E74D76" w:rsidP="00E74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Preceitua </w:t>
      </w:r>
      <w:proofErr w:type="spellStart"/>
      <w:r>
        <w:rPr>
          <w:rFonts w:ascii="Times New Roman" w:hAnsi="Times New Roman" w:cs="Times New Roman"/>
          <w:sz w:val="24"/>
          <w:szCs w:val="24"/>
        </w:rPr>
        <w:t>Aury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Lopes acerca deste princípio que ele </w:t>
      </w:r>
      <w:r w:rsidRPr="00E74D76">
        <w:rPr>
          <w:rFonts w:ascii="Times New Roman" w:hAnsi="Times New Roman" w:cs="Times New Roman"/>
          <w:sz w:val="24"/>
          <w:szCs w:val="24"/>
        </w:rPr>
        <w:t>“está diretamente relacionado ao principio da proporcionalidade, e pode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6">
        <w:rPr>
          <w:rFonts w:ascii="Times New Roman" w:hAnsi="Times New Roman" w:cs="Times New Roman"/>
          <w:sz w:val="24"/>
          <w:szCs w:val="24"/>
        </w:rPr>
        <w:t>considerado ainda como base da justa causa, a proporcionalida</w:t>
      </w:r>
      <w:r>
        <w:rPr>
          <w:rFonts w:ascii="Times New Roman" w:hAnsi="Times New Roman" w:cs="Times New Roman"/>
          <w:sz w:val="24"/>
          <w:szCs w:val="24"/>
        </w:rPr>
        <w:t xml:space="preserve">de se da entre os elementos que </w:t>
      </w:r>
      <w:r w:rsidRPr="00E74D76">
        <w:rPr>
          <w:rFonts w:ascii="Times New Roman" w:hAnsi="Times New Roman" w:cs="Times New Roman"/>
          <w:sz w:val="24"/>
          <w:szCs w:val="24"/>
        </w:rPr>
        <w:t>justificam a intervenção penal e processual, e o custo do processo penal” (LOPES JR, 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76">
        <w:rPr>
          <w:rFonts w:ascii="Times New Roman" w:hAnsi="Times New Roman" w:cs="Times New Roman"/>
          <w:sz w:val="24"/>
          <w:szCs w:val="24"/>
        </w:rPr>
        <w:t>p.126 e 127).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FCF" w:rsidRDefault="00333FCF" w:rsidP="00E4088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tanto, é preciso entender o que seria o princípio da proibição de excesso:</w:t>
      </w:r>
    </w:p>
    <w:p w:rsidR="00E4088A" w:rsidRPr="00E4088A" w:rsidRDefault="00E4088A" w:rsidP="00E408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E4088A">
        <w:rPr>
          <w:rFonts w:ascii="Times New Roman" w:hAnsi="Times New Roman" w:cs="Times New Roman"/>
          <w:sz w:val="20"/>
          <w:szCs w:val="20"/>
        </w:rPr>
        <w:t xml:space="preserve"> proibição do excesso se dá para que a lei estruture os limites de respeito entre a liberdade dos seres que vivem numa sociedade. </w:t>
      </w:r>
    </w:p>
    <w:p w:rsidR="00E4088A" w:rsidRPr="00E4088A" w:rsidRDefault="00E4088A" w:rsidP="00E408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4088A">
        <w:rPr>
          <w:rFonts w:ascii="Times New Roman" w:hAnsi="Times New Roman" w:cs="Times New Roman"/>
          <w:sz w:val="20"/>
          <w:szCs w:val="20"/>
        </w:rPr>
        <w:t>Exceder é utilizar de emprego de um meio desnecessário para se atingir um objetivo, meio este totalmente proibido, é a intensificação desnecessária de uma conduta inicialmente justificada.</w:t>
      </w:r>
    </w:p>
    <w:p w:rsidR="00E4088A" w:rsidRPr="00E4088A" w:rsidRDefault="00E4088A" w:rsidP="00E408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4088A">
        <w:rPr>
          <w:rFonts w:ascii="Times New Roman" w:hAnsi="Times New Roman" w:cs="Times New Roman"/>
          <w:sz w:val="20"/>
          <w:szCs w:val="20"/>
        </w:rPr>
        <w:t>Mas, não se pode ultrapassar os limites justificáveis. Cabe a análise da conduta, através das circunstâncias e das provas, para verificar se ocorreu excesso juridicamente proibido para aplicação das penas equivalentes.</w:t>
      </w:r>
    </w:p>
    <w:p w:rsidR="00E4088A" w:rsidRDefault="00E4088A" w:rsidP="00E408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4088A">
        <w:rPr>
          <w:rFonts w:ascii="Times New Roman" w:hAnsi="Times New Roman" w:cs="Times New Roman"/>
          <w:sz w:val="20"/>
          <w:szCs w:val="20"/>
        </w:rPr>
        <w:t>O Princípio da Proibição do Excesso é bem notório no Direito Penal, pois excedendo-se o agente da conduta de um ato ilícito, ele já ultrapassou o proibido. No cumprimento do dever legal e no exercício de direito, é indispensável que o homem atue de acordo com o ordenamento jurídico</w:t>
      </w:r>
      <w:r w:rsidR="005F03D2">
        <w:rPr>
          <w:rFonts w:ascii="Times New Roman" w:hAnsi="Times New Roman" w:cs="Times New Roman"/>
          <w:sz w:val="20"/>
          <w:szCs w:val="20"/>
        </w:rPr>
        <w:t xml:space="preserve"> (CONTI, [s.d.])</w:t>
      </w:r>
      <w:r w:rsidRPr="00E4088A">
        <w:rPr>
          <w:rFonts w:ascii="Times New Roman" w:hAnsi="Times New Roman" w:cs="Times New Roman"/>
          <w:sz w:val="20"/>
          <w:szCs w:val="20"/>
        </w:rPr>
        <w:t>.</w:t>
      </w:r>
    </w:p>
    <w:p w:rsidR="005F03D2" w:rsidRDefault="005F03D2" w:rsidP="00E4088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66A26" w:rsidRDefault="00333FCF" w:rsidP="005F03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Esse princípio faz parte do que </w:t>
      </w:r>
      <w:proofErr w:type="spellStart"/>
      <w:r w:rsidR="00D42205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Streck</w:t>
      </w:r>
      <w:proofErr w:type="spellEnd"/>
      <w:r w:rsidR="00AD761F">
        <w:rPr>
          <w:rFonts w:ascii="Times New Roman" w:hAnsi="Times New Roman" w:cs="Times New Roman"/>
          <w:sz w:val="24"/>
          <w:szCs w:val="24"/>
        </w:rPr>
        <w:t xml:space="preserve"> (2013)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61F">
        <w:rPr>
          <w:rFonts w:ascii="Times New Roman" w:hAnsi="Times New Roman" w:cs="Times New Roman"/>
          <w:sz w:val="24"/>
          <w:szCs w:val="24"/>
        </w:rPr>
        <w:t xml:space="preserve">chama de </w:t>
      </w:r>
      <w:proofErr w:type="spellStart"/>
      <w:r w:rsidR="00AD761F">
        <w:rPr>
          <w:rFonts w:ascii="Times New Roman" w:hAnsi="Times New Roman" w:cs="Times New Roman"/>
          <w:sz w:val="24"/>
          <w:szCs w:val="24"/>
        </w:rPr>
        <w:t>garantismo</w:t>
      </w:r>
      <w:proofErr w:type="spellEnd"/>
      <w:r w:rsidR="00AD761F">
        <w:rPr>
          <w:rFonts w:ascii="Times New Roman" w:hAnsi="Times New Roman" w:cs="Times New Roman"/>
          <w:sz w:val="24"/>
          <w:szCs w:val="24"/>
        </w:rPr>
        <w:t xml:space="preserve"> negativista, no qual é “proteção contra os excessos do Estado”. Ou seja, é</w:t>
      </w:r>
      <w:r w:rsidR="00166A26">
        <w:rPr>
          <w:rFonts w:ascii="Times New Roman" w:hAnsi="Times New Roman" w:cs="Times New Roman"/>
          <w:sz w:val="24"/>
          <w:szCs w:val="24"/>
        </w:rPr>
        <w:t xml:space="preserve"> necessário se combater as ações do Estado que coloquem em perigo os direitos fundamentais, tais como o direito à presunção de inocência. Visto que, o mesmo, dentro do processo penal, deve ser garantido e efetivado. </w:t>
      </w:r>
    </w:p>
    <w:p w:rsidR="00166A26" w:rsidRDefault="00166A26" w:rsidP="005F03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presunção de inocência é uma resposta às ideias iluministas, que invadiram a Europa no final do século XVIII, que trataram de se opor ao sistema inquisitório da época (RANGEL, 2015</w:t>
      </w:r>
      <w:r w:rsidR="009328DB">
        <w:rPr>
          <w:rFonts w:ascii="Times New Roman" w:hAnsi="Times New Roman" w:cs="Times New Roman"/>
          <w:sz w:val="24"/>
          <w:szCs w:val="24"/>
        </w:rPr>
        <w:t>, p. 23-24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62C1" w:rsidRDefault="00166A26" w:rsidP="003862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3862C1">
        <w:rPr>
          <w:rFonts w:ascii="Times New Roman" w:hAnsi="Times New Roman" w:cs="Times New Roman"/>
          <w:sz w:val="24"/>
          <w:szCs w:val="24"/>
        </w:rPr>
        <w:t>l princípio vem consagrado</w:t>
      </w:r>
      <w:r>
        <w:rPr>
          <w:rFonts w:ascii="Times New Roman" w:hAnsi="Times New Roman" w:cs="Times New Roman"/>
          <w:sz w:val="24"/>
          <w:szCs w:val="24"/>
        </w:rPr>
        <w:t xml:space="preserve"> na Declaração de Di</w:t>
      </w:r>
      <w:r w:rsidR="00D42205">
        <w:rPr>
          <w:rFonts w:ascii="Times New Roman" w:hAnsi="Times New Roman" w:cs="Times New Roman"/>
          <w:sz w:val="24"/>
          <w:szCs w:val="24"/>
        </w:rPr>
        <w:t xml:space="preserve">reitos do </w:t>
      </w:r>
      <w:proofErr w:type="gramStart"/>
      <w:r w:rsidR="00D42205">
        <w:rPr>
          <w:rFonts w:ascii="Times New Roman" w:hAnsi="Times New Roman" w:cs="Times New Roman"/>
          <w:sz w:val="24"/>
          <w:szCs w:val="24"/>
        </w:rPr>
        <w:t>Homem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862C1">
        <w:rPr>
          <w:rFonts w:ascii="Times New Roman" w:hAnsi="Times New Roman" w:cs="Times New Roman"/>
          <w:sz w:val="24"/>
          <w:szCs w:val="24"/>
        </w:rPr>
        <w:t xml:space="preserve">ONU, 1948): </w:t>
      </w:r>
    </w:p>
    <w:p w:rsidR="00B463EA" w:rsidRDefault="003862C1" w:rsidP="00B463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63EA">
        <w:rPr>
          <w:rFonts w:ascii="Times New Roman" w:hAnsi="Times New Roman" w:cs="Times New Roman"/>
          <w:sz w:val="20"/>
          <w:szCs w:val="20"/>
        </w:rPr>
        <w:t>Artigo 11</w:t>
      </w:r>
      <w:r w:rsidR="00B463EA" w:rsidRPr="00B463EA">
        <w:rPr>
          <w:rFonts w:ascii="Times New Roman" w:hAnsi="Times New Roman" w:cs="Times New Roman"/>
          <w:sz w:val="20"/>
          <w:szCs w:val="20"/>
        </w:rPr>
        <w:t xml:space="preserve">. </w:t>
      </w:r>
      <w:r w:rsidRPr="00B463EA">
        <w:rPr>
          <w:rFonts w:ascii="Times New Roman" w:hAnsi="Times New Roman" w:cs="Times New Roman"/>
          <w:sz w:val="20"/>
          <w:szCs w:val="20"/>
        </w:rPr>
        <w:t>Todo o homem acusado de um ato delituoso tem o direito de ser presumido inocente até que a sua culpabilidade tenha sido provada de acordo com a lei, em julgamento público no qual lhe tenham sido asseguradas todas as garantias necessárias a sua defesa.</w:t>
      </w:r>
    </w:p>
    <w:p w:rsidR="003862C1" w:rsidRPr="00B463EA" w:rsidRDefault="003862C1" w:rsidP="00B463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63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66A26" w:rsidRPr="003862C1" w:rsidRDefault="00B463EA" w:rsidP="00B463E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como</w:t>
      </w:r>
      <w:r w:rsidR="003862C1" w:rsidRPr="003862C1">
        <w:rPr>
          <w:rFonts w:ascii="Times New Roman" w:hAnsi="Times New Roman" w:cs="Times New Roman"/>
          <w:sz w:val="24"/>
          <w:szCs w:val="24"/>
        </w:rPr>
        <w:t xml:space="preserve"> na Constituição Federal de 1988 (BRASIL, 1988), em seu artigo 5º, inciso LVII </w:t>
      </w:r>
      <w:bookmarkStart w:id="0" w:name="5LVII"/>
      <w:bookmarkEnd w:id="0"/>
      <w:r w:rsidR="003862C1" w:rsidRPr="00386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“ninguém será considerado culpado até o trânsito em julgado de sentença penal condenatória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62C1" w:rsidRPr="003862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3862C1" w:rsidRDefault="003862C1" w:rsidP="003862C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tanto, a sentença penal condenatória deverá respeitar os limites, sem exceder e desrespeitar direitos do acusado. Um desses limites, é o da presunção de inocência, como aduz Capez (2012, p. 83) que haverá 3 momentos em que essa garantia deverá ser respeitada </w:t>
      </w:r>
      <w:r w:rsidRPr="003862C1">
        <w:rPr>
          <w:rFonts w:ascii="Times New Roman" w:hAnsi="Times New Roman" w:cs="Times New Roman"/>
          <w:sz w:val="24"/>
          <w:szCs w:val="24"/>
        </w:rPr>
        <w:t>“no curso do processo penal,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2C1">
        <w:rPr>
          <w:rFonts w:ascii="Times New Roman" w:hAnsi="Times New Roman" w:cs="Times New Roman"/>
          <w:sz w:val="24"/>
          <w:szCs w:val="24"/>
        </w:rPr>
        <w:t>como paradigma de tratamento do imputado, especialmente no que concerne à análise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2C1">
        <w:rPr>
          <w:rFonts w:ascii="Times New Roman" w:hAnsi="Times New Roman" w:cs="Times New Roman"/>
          <w:sz w:val="24"/>
          <w:szCs w:val="24"/>
        </w:rPr>
        <w:t>necessidade da prisão processual”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923" w:rsidRDefault="00B463EA" w:rsidP="005F03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não se pode tratar o agente como culpado, sem antes ocorrer o trânsito em julgado da sentença penal condenatória. Como trecho do HC</w:t>
      </w:r>
      <w:r w:rsidRPr="00B463EA">
        <w:t xml:space="preserve"> </w:t>
      </w:r>
      <w:r>
        <w:rPr>
          <w:rFonts w:ascii="Times New Roman" w:hAnsi="Times New Roman" w:cs="Times New Roman"/>
          <w:sz w:val="24"/>
          <w:szCs w:val="24"/>
        </w:rPr>
        <w:t>126292, o voto de Gilmar Mendes fundamenta essa tese:</w:t>
      </w:r>
    </w:p>
    <w:p w:rsidR="00B463EA" w:rsidRDefault="00B463EA" w:rsidP="00B463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463EA">
        <w:rPr>
          <w:rFonts w:ascii="Times New Roman" w:hAnsi="Times New Roman" w:cs="Times New Roman"/>
          <w:sz w:val="20"/>
          <w:szCs w:val="20"/>
        </w:rPr>
        <w:t>O núcleo essencial da presunção de não culpabilidade impõe o ônus da prova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crime e de sua autoria à acusação. Sob esse aspecto, não há maiores dúvidas de que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estamos falando de um direito fundamental processual, de âmbito negativo. Além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disso, a garantia impede, de uma forma geral, o tratamento do réu como culpado até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o trânsito em julgado da sentença [...] A norma afirma que ninguém será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considerado culpado até o trânsito em julgado da condenação[...] O que se tem é, por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um lado, a importância de preservar o imputado contra juízos precipitados acerca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sua responsabilidade. Por outro, uma dificuldade de compatibilizar o respeito ao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acusado com a progressiva demonstração de sua culpa (BRASIL, Habeas Corpus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463EA">
        <w:rPr>
          <w:rFonts w:ascii="Times New Roman" w:hAnsi="Times New Roman" w:cs="Times New Roman"/>
          <w:sz w:val="20"/>
          <w:szCs w:val="20"/>
        </w:rPr>
        <w:t>(HC) 126292/2016 – voto Ministro Gilmar Ferreira Mendes).</w:t>
      </w:r>
    </w:p>
    <w:p w:rsidR="00B463EA" w:rsidRDefault="00B463EA" w:rsidP="00B463E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463EA" w:rsidRPr="00B463EA" w:rsidRDefault="00B463EA" w:rsidP="00B463E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Somente quando for comprovada a culpa do agente é que se poderá, através da comprovação pelo juiz</w:t>
      </w:r>
      <w:r w:rsidR="00D7197C">
        <w:rPr>
          <w:rFonts w:ascii="Times New Roman" w:hAnsi="Times New Roman" w:cs="Times New Roman"/>
          <w:sz w:val="24"/>
          <w:szCs w:val="24"/>
        </w:rPr>
        <w:t xml:space="preserve"> ou tribunal</w:t>
      </w:r>
      <w:r>
        <w:rPr>
          <w:rFonts w:ascii="Times New Roman" w:hAnsi="Times New Roman" w:cs="Times New Roman"/>
          <w:sz w:val="24"/>
          <w:szCs w:val="24"/>
        </w:rPr>
        <w:t xml:space="preserve"> da autoria e materi</w:t>
      </w:r>
      <w:r w:rsidR="00D7197C">
        <w:rPr>
          <w:rFonts w:ascii="Times New Roman" w:hAnsi="Times New Roman" w:cs="Times New Roman"/>
          <w:sz w:val="24"/>
          <w:szCs w:val="24"/>
        </w:rPr>
        <w:t>alidade do fato,</w:t>
      </w:r>
      <w:r>
        <w:rPr>
          <w:rFonts w:ascii="Times New Roman" w:hAnsi="Times New Roman" w:cs="Times New Roman"/>
          <w:sz w:val="24"/>
          <w:szCs w:val="24"/>
        </w:rPr>
        <w:t xml:space="preserve"> dar inicio à execução da pena.</w:t>
      </w:r>
      <w:r w:rsidR="00D71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58B" w:rsidRPr="00D7197C" w:rsidRDefault="007B23E7" w:rsidP="00B463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CA558B" w:rsidRPr="00D7197C">
        <w:rPr>
          <w:rFonts w:ascii="Times New Roman" w:hAnsi="Times New Roman" w:cs="Times New Roman"/>
          <w:b/>
          <w:sz w:val="24"/>
          <w:szCs w:val="24"/>
        </w:rPr>
        <w:t xml:space="preserve"> Princípio da Proibição de D</w:t>
      </w:r>
      <w:r w:rsidR="00D7197C" w:rsidRPr="00D7197C">
        <w:rPr>
          <w:rFonts w:ascii="Times New Roman" w:hAnsi="Times New Roman" w:cs="Times New Roman"/>
          <w:b/>
          <w:sz w:val="24"/>
          <w:szCs w:val="24"/>
        </w:rPr>
        <w:t>efesa Deficiente</w:t>
      </w:r>
    </w:p>
    <w:p w:rsidR="0033395B" w:rsidRDefault="00EF3105" w:rsidP="0033395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Esse princípio é uma nova faceta do princípio da proporcionalidade, que surgiu como forma de proteger os direitos fundamentais. Aduz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Venturella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Gavião (2005) que:</w:t>
      </w:r>
    </w:p>
    <w:p w:rsidR="00EF3105" w:rsidRPr="00EF3105" w:rsidRDefault="00EF3105" w:rsidP="00EF310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</w:pPr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A proibição de proteção insuficiente constitui o limite inferior de valoração</w:t>
      </w:r>
    </w:p>
    <w:p w:rsidR="00EF3105" w:rsidRPr="00EF3105" w:rsidRDefault="00EF3105" w:rsidP="00EF3105">
      <w:pPr>
        <w:spacing w:after="0" w:line="240" w:lineRule="auto"/>
        <w:ind w:left="2268"/>
        <w:jc w:val="both"/>
        <w:rPr>
          <w:rFonts w:ascii="c059013l" w:eastAsia="Times New Roman" w:hAnsi="c059013l" w:cs="Times New Roman"/>
          <w:color w:val="000000"/>
          <w:sz w:val="21"/>
          <w:szCs w:val="21"/>
          <w:shd w:val="clear" w:color="auto" w:fill="FFFFFF"/>
          <w:lang w:eastAsia="pt-BR"/>
        </w:rPr>
      </w:pPr>
      <w:proofErr w:type="gramStart"/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do</w:t>
      </w:r>
      <w:proofErr w:type="gramEnd"/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legislador, na medida em que ﬁca adstrito a um ato suﬁcientemente adequado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 eficaz para garantir a proteção mínima exigida pela Constituição. Desse modo,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em não havendo uma proteção normativa ao direito fundamental, no que tange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à sua dimensão objetiva (ou seja, como imperativo de tutela), verifica-se ato 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omissão estatal flagrantemente inconstitucional, porquanto impedirá a realização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 xml:space="preserve"> </w:t>
      </w:r>
      <w:r w:rsidRPr="00EF310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e o desfrute do direito fundamental por seu titular.</w:t>
      </w:r>
    </w:p>
    <w:p w:rsidR="00EF3105" w:rsidRDefault="00EF3105" w:rsidP="0033395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Portanto, tal princípio induz que o Estado aja de acordo a proteger e resguardar os direitos fundamentais da coletividade, sem agir de forma que prejudique ou ignore os mesmos. </w:t>
      </w:r>
    </w:p>
    <w:p w:rsidR="00D7197C" w:rsidRDefault="00D7197C" w:rsidP="00D719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caso adentra-se no chamado </w:t>
      </w:r>
      <w:proofErr w:type="spellStart"/>
      <w:r>
        <w:rPr>
          <w:rFonts w:ascii="Times New Roman" w:hAnsi="Times New Roman" w:cs="Times New Roman"/>
          <w:sz w:val="24"/>
          <w:szCs w:val="24"/>
        </w:rPr>
        <w:t>gar</w:t>
      </w:r>
      <w:r w:rsidR="00D42205">
        <w:rPr>
          <w:rFonts w:ascii="Times New Roman" w:hAnsi="Times New Roman" w:cs="Times New Roman"/>
          <w:sz w:val="24"/>
          <w:szCs w:val="24"/>
        </w:rPr>
        <w:t>antismo</w:t>
      </w:r>
      <w:proofErr w:type="spellEnd"/>
      <w:r w:rsidR="00D42205">
        <w:rPr>
          <w:rFonts w:ascii="Times New Roman" w:hAnsi="Times New Roman" w:cs="Times New Roman"/>
          <w:sz w:val="24"/>
          <w:szCs w:val="24"/>
        </w:rPr>
        <w:t xml:space="preserve"> positivo, que segundo </w:t>
      </w:r>
      <w:proofErr w:type="spellStart"/>
      <w:r w:rsidR="00D42205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(2013) seria: </w:t>
      </w:r>
    </w:p>
    <w:p w:rsidR="00D7197C" w:rsidRDefault="00D7197C" w:rsidP="00D7197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D7197C">
        <w:rPr>
          <w:rFonts w:ascii="Times New Roman" w:hAnsi="Times New Roman" w:cs="Times New Roman"/>
          <w:sz w:val="20"/>
          <w:szCs w:val="20"/>
        </w:rPr>
        <w:t>omento em que a preocupação do sistema jurídico será com o fato de o Estado não proteger suficientemente determinado direito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7197C">
        <w:rPr>
          <w:rFonts w:ascii="Times New Roman" w:hAnsi="Times New Roman" w:cs="Times New Roman"/>
          <w:sz w:val="20"/>
          <w:szCs w:val="20"/>
        </w:rPr>
        <w:t>fundamental, caso em que estar-se-á em face do que, a partir da doutrina alemã, passou-se a denominar de "proibição de proteção deficiente" (</w:t>
      </w:r>
      <w:proofErr w:type="spellStart"/>
      <w:r w:rsidRPr="00D7197C">
        <w:rPr>
          <w:rFonts w:ascii="Times New Roman" w:hAnsi="Times New Roman" w:cs="Times New Roman"/>
          <w:sz w:val="20"/>
          <w:szCs w:val="20"/>
        </w:rPr>
        <w:t>Untermassverbot</w:t>
      </w:r>
      <w:proofErr w:type="spellEnd"/>
      <w:r w:rsidRPr="00D7197C">
        <w:rPr>
          <w:rFonts w:ascii="Times New Roman" w:hAnsi="Times New Roman" w:cs="Times New Roman"/>
          <w:sz w:val="20"/>
          <w:szCs w:val="20"/>
        </w:rPr>
        <w:t>).</w:t>
      </w:r>
    </w:p>
    <w:p w:rsidR="00D7197C" w:rsidRDefault="00D7197C" w:rsidP="00D7197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D7197C" w:rsidRPr="00D7197C" w:rsidRDefault="00DF3E92" w:rsidP="00DF3E9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Entende-se então que quando ocorre a prisão antes do trânsito em julgado, fala-se da proteção deficiente, a qual prejudica os direitos do acusado, como o direito à vida, dignidade humana e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F3E92">
        <w:rPr>
          <w:rFonts w:ascii="Times New Roman" w:hAnsi="Times New Roman" w:cs="Times New Roman"/>
          <w:sz w:val="24"/>
          <w:szCs w:val="24"/>
        </w:rPr>
        <w:t>BRASIL, Habeas Corpus (HC)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E92">
        <w:rPr>
          <w:rFonts w:ascii="Times New Roman" w:hAnsi="Times New Roman" w:cs="Times New Roman"/>
          <w:sz w:val="24"/>
          <w:szCs w:val="24"/>
        </w:rPr>
        <w:t>126292/2016).</w:t>
      </w:r>
    </w:p>
    <w:p w:rsidR="00EF3105" w:rsidRDefault="00EF3105" w:rsidP="0033395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C1923" w:rsidRDefault="007C1923" w:rsidP="007C19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923">
        <w:rPr>
          <w:rFonts w:ascii="Times New Roman" w:hAnsi="Times New Roman" w:cs="Times New Roman"/>
          <w:b/>
          <w:sz w:val="24"/>
          <w:szCs w:val="24"/>
        </w:rPr>
        <w:t>3 QUESTÕES SECUNDÁRIAS</w:t>
      </w:r>
    </w:p>
    <w:p w:rsidR="007C1923" w:rsidRPr="00DF3E92" w:rsidRDefault="007C1923" w:rsidP="007C19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92"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40751A" w:rsidRPr="00DF3E92">
        <w:rPr>
          <w:rFonts w:ascii="Times New Roman" w:hAnsi="Times New Roman" w:cs="Times New Roman"/>
          <w:b/>
          <w:sz w:val="24"/>
          <w:szCs w:val="24"/>
        </w:rPr>
        <w:t>As regras e o respeito aos diretos de cada um devem ser flexibilizados em prol do interesse coletivo?</w:t>
      </w:r>
    </w:p>
    <w:p w:rsidR="0040751A" w:rsidRDefault="0040751A" w:rsidP="004075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Sim, deve haver uma proporcionalidade. Por um lado os direitos e garantias individuais devem ser mantidos, até o ponto de não se excederam e prejudicarem a coletividade, ou seja, a proteção da mesma. Pois, o direito penal é um instrumento de proteção do cole</w:t>
      </w:r>
      <w:r w:rsidR="00AD761F">
        <w:rPr>
          <w:rFonts w:ascii="Times New Roman" w:hAnsi="Times New Roman" w:cs="Times New Roman"/>
          <w:sz w:val="24"/>
          <w:szCs w:val="24"/>
        </w:rPr>
        <w:t>tivo, garantidor da paz social, visto que o mesmo tem o escopo de proteger bens como a vida, segurança e etc.</w:t>
      </w:r>
    </w:p>
    <w:p w:rsidR="00AD761F" w:rsidRDefault="00AD761F" w:rsidP="004075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mais, a própria Constituição Federal (BRASIL, 1988) em seu artigo 5º, inciso LXXVIII e em seu artigo 144, caput, deixam claro o papel do direito penal na proteção desses bens juridicamente relevantes.</w:t>
      </w:r>
    </w:p>
    <w:p w:rsidR="0040751A" w:rsidRPr="00DF3E92" w:rsidRDefault="0040751A" w:rsidP="004075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 </w:t>
      </w:r>
      <w:r w:rsidR="00E45A12" w:rsidRPr="00DF3E92">
        <w:rPr>
          <w:rFonts w:ascii="Times New Roman" w:hAnsi="Times New Roman" w:cs="Times New Roman"/>
          <w:b/>
          <w:sz w:val="24"/>
          <w:szCs w:val="24"/>
        </w:rPr>
        <w:t>O judiciário deve ouvir o clamor público?</w:t>
      </w:r>
    </w:p>
    <w:p w:rsidR="00E45A12" w:rsidRDefault="00E45A12" w:rsidP="00E45A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Definitivamente não, pois, o judiciário pelo princípio da imparcialidade do juiz</w:t>
      </w:r>
      <w:r w:rsidR="009B1FE8">
        <w:rPr>
          <w:rFonts w:ascii="Times New Roman" w:hAnsi="Times New Roman" w:cs="Times New Roman"/>
          <w:sz w:val="24"/>
          <w:szCs w:val="24"/>
        </w:rPr>
        <w:t xml:space="preserve">, o mesmo deverá buscar a verdade real no processo e se apartar de toda e qualquer influência de fora do processo. </w:t>
      </w:r>
    </w:p>
    <w:p w:rsidR="009B1FE8" w:rsidRDefault="009B1FE8" w:rsidP="009B1F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Aduz Paulo Rangel (2015, p. 20) que: </w:t>
      </w:r>
    </w:p>
    <w:p w:rsidR="009B1FE8" w:rsidRDefault="009B1FE8" w:rsidP="009B1FE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B1FE8">
        <w:rPr>
          <w:rFonts w:ascii="Times New Roman" w:hAnsi="Times New Roman" w:cs="Times New Roman"/>
          <w:sz w:val="20"/>
          <w:szCs w:val="20"/>
        </w:rPr>
        <w:t>A imparcialidade do juiz, portanto, tem como escopo afastar qualquer possibilidade de influência sobre a decisão que será prolatada, pois o compromisso com a verdade, dando a cada um o que é seu, é o principal objetivo da prestação jurisdicional.</w:t>
      </w:r>
    </w:p>
    <w:p w:rsidR="009B1FE8" w:rsidRPr="009B1FE8" w:rsidRDefault="009B1FE8" w:rsidP="009B1FE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E45A12" w:rsidRDefault="00D42205" w:rsidP="00E45A1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="00E45A12">
        <w:rPr>
          <w:rFonts w:ascii="Times New Roman" w:hAnsi="Times New Roman" w:cs="Times New Roman"/>
          <w:sz w:val="24"/>
          <w:szCs w:val="24"/>
        </w:rPr>
        <w:t>nio</w:t>
      </w:r>
      <w:proofErr w:type="spellEnd"/>
      <w:r w:rsidR="00E45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A12">
        <w:rPr>
          <w:rFonts w:ascii="Times New Roman" w:hAnsi="Times New Roman" w:cs="Times New Roman"/>
          <w:sz w:val="24"/>
          <w:szCs w:val="24"/>
        </w:rPr>
        <w:t>Streck</w:t>
      </w:r>
      <w:proofErr w:type="spellEnd"/>
      <w:r w:rsidR="00E45A12">
        <w:rPr>
          <w:rFonts w:ascii="Times New Roman" w:hAnsi="Times New Roman" w:cs="Times New Roman"/>
          <w:sz w:val="24"/>
          <w:szCs w:val="24"/>
        </w:rPr>
        <w:t>, no âmbito da dogmática jurídica</w:t>
      </w:r>
      <w:r w:rsidR="009B1FE8">
        <w:rPr>
          <w:rFonts w:ascii="Times New Roman" w:hAnsi="Times New Roman" w:cs="Times New Roman"/>
          <w:sz w:val="24"/>
          <w:szCs w:val="24"/>
        </w:rPr>
        <w:t>, criou-se</w:t>
      </w:r>
      <w:r w:rsidR="00E45A12">
        <w:rPr>
          <w:rFonts w:ascii="Times New Roman" w:hAnsi="Times New Roman" w:cs="Times New Roman"/>
          <w:sz w:val="24"/>
          <w:szCs w:val="24"/>
        </w:rPr>
        <w:t>:</w:t>
      </w:r>
    </w:p>
    <w:p w:rsidR="00E45A12" w:rsidRDefault="009B1FE8" w:rsidP="00E45A1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45A12" w:rsidRPr="00E45A12">
        <w:rPr>
          <w:rFonts w:ascii="Times New Roman" w:hAnsi="Times New Roman" w:cs="Times New Roman"/>
          <w:sz w:val="20"/>
          <w:szCs w:val="20"/>
        </w:rPr>
        <w:t xml:space="preserve"> </w:t>
      </w:r>
      <w:r w:rsidR="00E45A12">
        <w:rPr>
          <w:rFonts w:ascii="Times New Roman" w:hAnsi="Times New Roman" w:cs="Times New Roman"/>
          <w:sz w:val="20"/>
          <w:szCs w:val="20"/>
        </w:rPr>
        <w:t xml:space="preserve">distinção </w:t>
      </w:r>
      <w:r w:rsidR="00E45A12" w:rsidRPr="00E45A12">
        <w:rPr>
          <w:rFonts w:ascii="Times New Roman" w:hAnsi="Times New Roman" w:cs="Times New Roman"/>
          <w:sz w:val="20"/>
          <w:szCs w:val="20"/>
        </w:rPr>
        <w:t xml:space="preserve">informal entre </w:t>
      </w:r>
      <w:r w:rsidR="00E45A12">
        <w:rPr>
          <w:rFonts w:ascii="Times New Roman" w:hAnsi="Times New Roman" w:cs="Times New Roman"/>
          <w:iCs/>
          <w:sz w:val="20"/>
          <w:szCs w:val="20"/>
        </w:rPr>
        <w:t>direito penal do fa</w:t>
      </w:r>
      <w:r>
        <w:rPr>
          <w:rFonts w:ascii="Times New Roman" w:hAnsi="Times New Roman" w:cs="Times New Roman"/>
          <w:iCs/>
          <w:sz w:val="20"/>
          <w:szCs w:val="20"/>
        </w:rPr>
        <w:t>t</w:t>
      </w:r>
      <w:r w:rsidR="00E45A12" w:rsidRPr="00E45A12">
        <w:rPr>
          <w:rFonts w:ascii="Times New Roman" w:hAnsi="Times New Roman" w:cs="Times New Roman"/>
          <w:iCs/>
          <w:sz w:val="20"/>
          <w:szCs w:val="20"/>
        </w:rPr>
        <w:t xml:space="preserve">o </w:t>
      </w:r>
      <w:r w:rsidR="00E45A12" w:rsidRPr="00E45A12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iCs/>
          <w:sz w:val="20"/>
          <w:szCs w:val="20"/>
        </w:rPr>
        <w:t>direito pena</w:t>
      </w:r>
      <w:r w:rsidR="00E45A12" w:rsidRPr="00E45A12">
        <w:rPr>
          <w:rFonts w:ascii="Times New Roman" w:hAnsi="Times New Roman" w:cs="Times New Roman"/>
          <w:iCs/>
          <w:sz w:val="20"/>
          <w:szCs w:val="20"/>
        </w:rPr>
        <w:t xml:space="preserve">l do autor. </w:t>
      </w:r>
      <w:r w:rsidR="00E45A12" w:rsidRPr="00E45A12">
        <w:rPr>
          <w:rFonts w:ascii="Times New Roman" w:hAnsi="Times New Roman" w:cs="Times New Roman"/>
          <w:sz w:val="20"/>
          <w:szCs w:val="20"/>
        </w:rPr>
        <w:t>Dessa</w:t>
      </w:r>
      <w:r w:rsidR="00E45A12">
        <w:rPr>
          <w:rFonts w:ascii="Times New Roman" w:hAnsi="Times New Roman" w:cs="Times New Roman"/>
          <w:sz w:val="20"/>
          <w:szCs w:val="20"/>
        </w:rPr>
        <w:t xml:space="preserve"> </w:t>
      </w:r>
      <w:r w:rsidR="00E45A12" w:rsidRPr="00E45A12">
        <w:rPr>
          <w:rFonts w:ascii="Times New Roman" w:hAnsi="Times New Roman" w:cs="Times New Roman"/>
          <w:sz w:val="20"/>
          <w:szCs w:val="20"/>
        </w:rPr>
        <w:t xml:space="preserve">forma, acusa-se, defende-se e julga-se o </w:t>
      </w:r>
      <w:r w:rsidR="00E45A12" w:rsidRPr="009B1FE8">
        <w:rPr>
          <w:rFonts w:ascii="Times New Roman" w:hAnsi="Times New Roman" w:cs="Times New Roman"/>
          <w:bCs/>
          <w:sz w:val="20"/>
          <w:szCs w:val="20"/>
        </w:rPr>
        <w:t>indivíduo</w:t>
      </w:r>
      <w:r w:rsidR="00E45A12" w:rsidRPr="00E45A1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45A12">
        <w:rPr>
          <w:rFonts w:ascii="Times New Roman" w:hAnsi="Times New Roman" w:cs="Times New Roman"/>
          <w:iCs/>
          <w:sz w:val="20"/>
          <w:szCs w:val="20"/>
        </w:rPr>
        <w:t>tido pelo fat</w:t>
      </w:r>
      <w:r w:rsidR="00E45A12" w:rsidRPr="00E45A12">
        <w:rPr>
          <w:rFonts w:ascii="Times New Roman" w:hAnsi="Times New Roman" w:cs="Times New Roman"/>
          <w:iCs/>
          <w:sz w:val="20"/>
          <w:szCs w:val="20"/>
        </w:rPr>
        <w:t>o</w:t>
      </w:r>
      <w:r w:rsidR="00E45A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45A12" w:rsidRPr="00E45A12">
        <w:rPr>
          <w:rFonts w:ascii="Times New Roman" w:hAnsi="Times New Roman" w:cs="Times New Roman"/>
          <w:iCs/>
          <w:sz w:val="20"/>
          <w:szCs w:val="20"/>
        </w:rPr>
        <w:t xml:space="preserve">criminoso que cometeu, mas </w:t>
      </w:r>
      <w:r w:rsidR="00E45A12">
        <w:rPr>
          <w:rFonts w:ascii="Times New Roman" w:hAnsi="Times New Roman" w:cs="Times New Roman"/>
          <w:iCs/>
          <w:sz w:val="20"/>
          <w:szCs w:val="20"/>
        </w:rPr>
        <w:t xml:space="preserve">pelo </w:t>
      </w:r>
      <w:r>
        <w:rPr>
          <w:rFonts w:ascii="Times New Roman" w:hAnsi="Times New Roman" w:cs="Times New Roman"/>
          <w:iCs/>
          <w:sz w:val="20"/>
          <w:szCs w:val="20"/>
        </w:rPr>
        <w:t>que ele representa, d</w:t>
      </w:r>
      <w:r w:rsidR="00E45A12">
        <w:rPr>
          <w:rFonts w:ascii="Times New Roman" w:hAnsi="Times New Roman" w:cs="Times New Roman"/>
          <w:iCs/>
          <w:sz w:val="20"/>
          <w:szCs w:val="20"/>
        </w:rPr>
        <w:t>e form</w:t>
      </w:r>
      <w:r w:rsidR="00E45A12" w:rsidRPr="00E45A12">
        <w:rPr>
          <w:rFonts w:ascii="Times New Roman" w:hAnsi="Times New Roman" w:cs="Times New Roman"/>
          <w:iCs/>
          <w:sz w:val="20"/>
          <w:szCs w:val="20"/>
        </w:rPr>
        <w:t>a efetiva, na</w:t>
      </w:r>
      <w:r w:rsidR="00E45A1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E45A12" w:rsidRPr="00E45A12">
        <w:rPr>
          <w:rFonts w:ascii="Times New Roman" w:hAnsi="Times New Roman" w:cs="Times New Roman"/>
          <w:iCs/>
          <w:sz w:val="20"/>
          <w:szCs w:val="20"/>
        </w:rPr>
        <w:t xml:space="preserve">tessitura da sociedade na qual esta inserido. </w:t>
      </w:r>
      <w:r w:rsidR="00E45A12" w:rsidRPr="00E45A12">
        <w:rPr>
          <w:rFonts w:ascii="Times New Roman" w:hAnsi="Times New Roman" w:cs="Times New Roman"/>
          <w:sz w:val="20"/>
          <w:szCs w:val="20"/>
        </w:rPr>
        <w:t>E o papel social do acusado</w:t>
      </w:r>
      <w:r w:rsidR="00E45A12">
        <w:rPr>
          <w:rFonts w:ascii="Times New Roman" w:hAnsi="Times New Roman" w:cs="Times New Roman"/>
          <w:sz w:val="20"/>
          <w:szCs w:val="20"/>
        </w:rPr>
        <w:t xml:space="preserve"> </w:t>
      </w:r>
      <w:r w:rsidR="00E45A12" w:rsidRPr="00E45A12">
        <w:rPr>
          <w:rFonts w:ascii="Times New Roman" w:hAnsi="Times New Roman" w:cs="Times New Roman"/>
          <w:sz w:val="20"/>
          <w:szCs w:val="20"/>
        </w:rPr>
        <w:t xml:space="preserve">que definira a </w:t>
      </w:r>
      <w:r w:rsidR="00E45A12">
        <w:rPr>
          <w:rFonts w:ascii="Times New Roman" w:hAnsi="Times New Roman" w:cs="Times New Roman"/>
          <w:sz w:val="20"/>
          <w:szCs w:val="20"/>
        </w:rPr>
        <w:t>m</w:t>
      </w:r>
      <w:r w:rsidR="00E45A12" w:rsidRPr="00E45A12">
        <w:rPr>
          <w:rFonts w:ascii="Times New Roman" w:hAnsi="Times New Roman" w:cs="Times New Roman"/>
          <w:sz w:val="20"/>
          <w:szCs w:val="20"/>
        </w:rPr>
        <w:t>aneira corno será tratado/julgado</w:t>
      </w:r>
      <w:r w:rsidR="00E45A12">
        <w:rPr>
          <w:rFonts w:ascii="Times New Roman" w:hAnsi="Times New Roman" w:cs="Times New Roman"/>
          <w:sz w:val="20"/>
          <w:szCs w:val="20"/>
        </w:rPr>
        <w:t xml:space="preserve"> (</w:t>
      </w:r>
      <w:r w:rsidR="00D42205">
        <w:rPr>
          <w:rFonts w:ascii="Times New Roman" w:hAnsi="Times New Roman" w:cs="Times New Roman"/>
          <w:sz w:val="20"/>
          <w:szCs w:val="20"/>
        </w:rPr>
        <w:t xml:space="preserve">2001, </w:t>
      </w:r>
      <w:r w:rsidR="00E45A12">
        <w:rPr>
          <w:rFonts w:ascii="Times New Roman" w:hAnsi="Times New Roman" w:cs="Times New Roman"/>
          <w:sz w:val="20"/>
          <w:szCs w:val="20"/>
        </w:rPr>
        <w:t>p.117)</w:t>
      </w:r>
      <w:r w:rsidR="00E45A12" w:rsidRPr="00E45A12">
        <w:rPr>
          <w:rFonts w:ascii="Times New Roman" w:hAnsi="Times New Roman" w:cs="Times New Roman"/>
          <w:sz w:val="20"/>
          <w:szCs w:val="20"/>
        </w:rPr>
        <w:t>.</w:t>
      </w:r>
    </w:p>
    <w:p w:rsidR="006208B1" w:rsidRDefault="006208B1" w:rsidP="00E45A1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208B1" w:rsidRDefault="006208B1" w:rsidP="006208B1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ouvir o clamor público, o judiciário fugirá de seu julgamento imparcial e neutro e dará vazão aos sentimentos e emoções humanas, o que irá prejudicar o andament</w:t>
      </w:r>
      <w:r w:rsidR="00D42205">
        <w:rPr>
          <w:rFonts w:ascii="Times New Roman" w:hAnsi="Times New Roman" w:cs="Times New Roman"/>
          <w:sz w:val="24"/>
          <w:szCs w:val="24"/>
        </w:rPr>
        <w:t xml:space="preserve">o do julgamento e como afirma </w:t>
      </w:r>
      <w:proofErr w:type="spellStart"/>
      <w:r w:rsidR="00D42205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julgado por um crime é definido por ele, e a sociedade age de forma a “apedrejar” o mesmo. </w:t>
      </w:r>
    </w:p>
    <w:p w:rsidR="006208B1" w:rsidRDefault="006208B1" w:rsidP="006208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92">
        <w:rPr>
          <w:rFonts w:ascii="Times New Roman" w:hAnsi="Times New Roman" w:cs="Times New Roman"/>
          <w:b/>
          <w:sz w:val="24"/>
          <w:szCs w:val="24"/>
        </w:rPr>
        <w:t>3.3 Houve afronta ao art. 283 do CPP e art. 5°, inciso LVII da Constituição Federal</w:t>
      </w:r>
      <w:r w:rsidR="006776FF" w:rsidRPr="00DF3E92">
        <w:rPr>
          <w:rFonts w:ascii="Times New Roman" w:hAnsi="Times New Roman" w:cs="Times New Roman"/>
          <w:b/>
          <w:sz w:val="24"/>
          <w:szCs w:val="24"/>
        </w:rPr>
        <w:t>?</w:t>
      </w:r>
    </w:p>
    <w:p w:rsidR="00D1277F" w:rsidRDefault="00D1277F" w:rsidP="00D1277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Não, pois, o artigo 283 do CPP (1941) não impede que haja a prisão após condenação de segundo grau, uma vez comprovados a autoria e materialidade. Como bem afirma sua redação:</w:t>
      </w:r>
    </w:p>
    <w:p w:rsidR="00D1277F" w:rsidRPr="00D1277F" w:rsidRDefault="00D1277F" w:rsidP="00D1277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1277F">
        <w:rPr>
          <w:rFonts w:ascii="Times New Roman" w:hAnsi="Times New Roman" w:cs="Times New Roman"/>
          <w:sz w:val="20"/>
          <w:szCs w:val="20"/>
        </w:rPr>
        <w:t>Art. 283.  Ninguém poderá ser preso senão em flagrante delito ou por ordem escrita e fundamentada da autoridade judiciária competente, em decorrência de sentença condenatória transitada em julgado ou, no curso da investigação ou do processo, em virtude de prisão temporária ou prisão preventiva</w:t>
      </w:r>
      <w:r>
        <w:rPr>
          <w:rFonts w:ascii="Times New Roman" w:hAnsi="Times New Roman" w:cs="Times New Roman"/>
          <w:sz w:val="20"/>
          <w:szCs w:val="20"/>
        </w:rPr>
        <w:t xml:space="preserve"> (BRASIL, 1941)</w:t>
      </w:r>
      <w:r w:rsidRPr="00D1277F">
        <w:rPr>
          <w:rFonts w:ascii="Times New Roman" w:hAnsi="Times New Roman" w:cs="Times New Roman"/>
          <w:sz w:val="20"/>
          <w:szCs w:val="20"/>
        </w:rPr>
        <w:t>.</w:t>
      </w:r>
    </w:p>
    <w:p w:rsidR="00DF3E92" w:rsidRDefault="00DF3E92" w:rsidP="00DF3E92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D761F" w:rsidRDefault="00D1277F" w:rsidP="00AD761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o artigo 5º da Constituição Federal (BRASIL, 1988) em seu inciso LVII</w:t>
      </w:r>
      <w:r w:rsidR="00187BBE">
        <w:rPr>
          <w:rFonts w:ascii="Times New Roman" w:hAnsi="Times New Roman" w:cs="Times New Roman"/>
          <w:sz w:val="24"/>
          <w:szCs w:val="24"/>
        </w:rPr>
        <w:t xml:space="preserve">, mostrou a efetividade da duração razoável do processo e a celeridade da tramitação do mesmo. </w:t>
      </w:r>
    </w:p>
    <w:p w:rsidR="006776FF" w:rsidRPr="00DF3E92" w:rsidRDefault="006776FF" w:rsidP="006776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E92">
        <w:rPr>
          <w:rFonts w:ascii="Times New Roman" w:hAnsi="Times New Roman" w:cs="Times New Roman"/>
          <w:b/>
          <w:sz w:val="24"/>
          <w:szCs w:val="24"/>
        </w:rPr>
        <w:t>3.4 A demora nos julgamentos e o sistema recursal do CPP geram sensação de impunidade?</w:t>
      </w:r>
    </w:p>
    <w:p w:rsidR="006776FF" w:rsidRDefault="006776FF" w:rsidP="00B001B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Sim, principalmente para as partes envolvidas no processo. Como tem-se uma gama de recursos no processo penal, há a facilidade de se imputar um deles e dar continuidade a julgamentos que por si só já são demorados. </w:t>
      </w:r>
      <w:r w:rsidR="00B001BD">
        <w:rPr>
          <w:rFonts w:ascii="Times New Roman" w:hAnsi="Times New Roman" w:cs="Times New Roman"/>
          <w:sz w:val="24"/>
          <w:szCs w:val="24"/>
        </w:rPr>
        <w:t>Segundo Brandão, em reportagem à Gazeta do Povo, ele afirma que “e</w:t>
      </w:r>
      <w:r w:rsidR="00B001BD" w:rsidRPr="00B00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parte, o problema ocorre devido ao </w:t>
      </w:r>
      <w:r w:rsidR="00B001BD" w:rsidRPr="00B001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sistema recursal brasileiro. Há uma quantidade de recursos ilimitados, recursos de recursos, que levam a dem</w:t>
      </w:r>
      <w:r w:rsidR="00B00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 excessiva” (CABRAL, 2011).  </w:t>
      </w:r>
    </w:p>
    <w:p w:rsidR="00B001BD" w:rsidRDefault="00B001BD" w:rsidP="00B001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7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3.5 Haverá impacto no sistema carcerário?</w:t>
      </w:r>
    </w:p>
    <w:p w:rsidR="00187BBE" w:rsidRDefault="00187BBE" w:rsidP="00187BB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Sim, pois, com esse novo posicionamento do Supremo, aumentaria de forma considerável o número de presos nas penitenciárias, provocando um inchamento do sistema carcerário no Brasil.</w:t>
      </w:r>
    </w:p>
    <w:p w:rsidR="00187BBE" w:rsidRDefault="00187BBE" w:rsidP="00187BB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dados apresentados pela FGV Direito do Rio </w:t>
      </w:r>
      <w:r w:rsidRPr="00187BBE">
        <w:rPr>
          <w:rFonts w:ascii="Times New Roman" w:hAnsi="Times New Roman" w:cs="Times New Roman"/>
          <w:color w:val="000000" w:themeColor="text1"/>
          <w:sz w:val="24"/>
          <w:szCs w:val="24"/>
        </w:rPr>
        <w:t>“o impacto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7BBE">
        <w:rPr>
          <w:rFonts w:ascii="Times New Roman" w:hAnsi="Times New Roman" w:cs="Times New Roman"/>
          <w:color w:val="000000" w:themeColor="text1"/>
          <w:sz w:val="24"/>
          <w:szCs w:val="24"/>
        </w:rPr>
        <w:t>representaria aproximadamente 0,6% no número de apenados no sistema prisional, em média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7BBE">
        <w:rPr>
          <w:rFonts w:ascii="Times New Roman" w:hAnsi="Times New Roman" w:cs="Times New Roman"/>
          <w:color w:val="000000" w:themeColor="text1"/>
          <w:sz w:val="24"/>
          <w:szCs w:val="24"/>
        </w:rPr>
        <w:t>3.460 novos presos” (GALVÃO, 2016).</w:t>
      </w:r>
    </w:p>
    <w:p w:rsidR="00187BBE" w:rsidRDefault="00187BBE" w:rsidP="00187B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87B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3.6 Qual a melhor política criminal a ser adotada pelo Estado brasileiro para solucionar esse impasse?</w:t>
      </w:r>
      <w:r w:rsidR="007B23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B23E7" w:rsidRDefault="007B23E7" w:rsidP="007B23E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Investir em políticas públicas mais eficazes, visto que, a situação das prisões no Brasil é desumanizadora. As mesmas não cumprem seu papel de ressocializadora, mas acabam por retirar o pouco de dignidade humana que resta aos presos.</w:t>
      </w:r>
    </w:p>
    <w:p w:rsidR="007B23E7" w:rsidRDefault="007B23E7" w:rsidP="007B23E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Segundo Santos, em entrevista à BBC Brasil, a experiência de prisões consideradas corretas, está na administração e gestão das mesmas. Caso que não acontece com frequência no Brasil (KAWAGUTI, 2014).</w:t>
      </w:r>
    </w:p>
    <w:p w:rsidR="007B23E7" w:rsidRDefault="007B23E7" w:rsidP="007B23E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professor especialista Cláudio Beato, em entrevista à BBC Brasil, quando o Estado falha em garantir direitos aos presos, inclusive o da dignidade da pessoa humana e da integridade física, dentro dessas instituições, ele possibilita que as prisões se tornem a principal causadora do aumento da criminalidade, pois, as facções vão surgindo e não se tem um controle do que acontece dentro e fora da prisão (KAWAGUTI, 2014). </w:t>
      </w:r>
    </w:p>
    <w:p w:rsidR="003E5504" w:rsidRDefault="003E5504" w:rsidP="007B23E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04" w:rsidRDefault="003E5504" w:rsidP="003E55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REFERÊNCIAS </w:t>
      </w: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</w:t>
      </w:r>
      <w:r w:rsidRPr="003E5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Código de Processo Penal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(1941). São Paulo: Saraiva, 2014.</w:t>
      </w: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______. </w:t>
      </w:r>
      <w:r w:rsidRPr="003E5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Constituição Federal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(1988). São Paulo: Saraiva, 2014.</w:t>
      </w: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______. Superior Tribunal Federal (STF). </w:t>
      </w:r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Habeas Corpus 126.292.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Pacte</w:t>
      </w:r>
      <w:proofErr w:type="spellEnd"/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s): Marcio Rodrigues Dantas; </w:t>
      </w:r>
      <w:proofErr w:type="spellStart"/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Impte</w:t>
      </w:r>
      <w:proofErr w:type="spellEnd"/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Maria Claudia de Seixas. Relator: MIN. </w:t>
      </w:r>
      <w:proofErr w:type="spellStart"/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Zavascki. São Paulo, 17 de fevereiro de 2016.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&lt;</w:t>
      </w:r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http://www.stf.jus.br/arquivo/cms/noticiaNoticiaStf/anexo/HC126292.pdf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18 out. 2016.</w:t>
      </w:r>
    </w:p>
    <w:p w:rsidR="00FC5003" w:rsidRDefault="00FC5003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003" w:rsidRDefault="00FC5003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CABRAL,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Themys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C5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Gazeta do Povo- Lentidão da Justiça cria imagem de impunidade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2011. Disponível em: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&lt;</w:t>
      </w:r>
      <w:r w:rsidRPr="00FC5003">
        <w:rPr>
          <w:rFonts w:ascii="Times New Roman" w:hAnsi="Times New Roman" w:cs="Times New Roman"/>
          <w:color w:val="000000" w:themeColor="text1"/>
          <w:sz w:val="24"/>
          <w:szCs w:val="24"/>
        </w:rPr>
        <w:t>http://webcache.googleusercontent.com/search?q=cache:OBRG7trpsA4J:www.gazetadopovo.com.br/vida-e-cidadania/lentidao-da-justica-cria-imagem-de-impunidade-44wh6kc7n0yw0901hxlhe7zv2+&amp;cd=6&amp;hl=pt-BR&amp;ct=clnk&amp;gl=br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17 out. 2016.</w:t>
      </w: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04" w:rsidRDefault="003E5504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CAPEZ, Fernando. </w:t>
      </w:r>
      <w:r w:rsidRPr="003E5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Curso de Processo Penal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90A6F">
        <w:rPr>
          <w:rFonts w:ascii="Times New Roman" w:hAnsi="Times New Roman" w:cs="Times New Roman"/>
          <w:color w:val="000000" w:themeColor="text1"/>
          <w:sz w:val="24"/>
          <w:szCs w:val="24"/>
        </w:rPr>
        <w:t>São Paulo: Saraiva, 2012, p. 83.</w:t>
      </w:r>
    </w:p>
    <w:p w:rsidR="00B90A6F" w:rsidRDefault="00B90A6F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8DB" w:rsidRDefault="009328DB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28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CONTI, Matilde </w:t>
      </w:r>
      <w:proofErr w:type="spellStart"/>
      <w:r w:rsidRPr="009328DB">
        <w:rPr>
          <w:rFonts w:ascii="Times New Roman" w:hAnsi="Times New Roman" w:cs="Times New Roman"/>
          <w:bCs/>
          <w:color w:val="000000"/>
          <w:sz w:val="24"/>
          <w:szCs w:val="24"/>
        </w:rPr>
        <w:t>Carone</w:t>
      </w:r>
      <w:proofErr w:type="spellEnd"/>
      <w:r w:rsidRPr="009328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28DB">
        <w:rPr>
          <w:rFonts w:ascii="Times New Roman" w:hAnsi="Times New Roman" w:cs="Times New Roman"/>
          <w:bCs/>
          <w:color w:val="000000"/>
          <w:sz w:val="24"/>
          <w:szCs w:val="24"/>
        </w:rPr>
        <w:t>Slaibi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9328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princípio da proibição do excesso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[s.d.]. Disponível em: &lt;</w:t>
      </w:r>
      <w:hyperlink r:id="rId8" w:history="1">
        <w:r w:rsidRPr="009328DB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http://webcache.googleusercontent.com/search?q=cache:q9WgMW7AQoEJ:www.cristinagutierrez.pro.br/variedades/artigos/varid_art1.doc+&amp;cd=4&amp;hl=pt-BR&amp;ct=clnk&amp;gl=br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&gt;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Acesso em: 18 out. 2016. </w:t>
      </w:r>
    </w:p>
    <w:p w:rsidR="009328DB" w:rsidRPr="009328DB" w:rsidRDefault="009328DB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A6F" w:rsidRDefault="00B90A6F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0A6F">
        <w:rPr>
          <w:rFonts w:ascii="Times New Roman" w:hAnsi="Times New Roman" w:cs="Times New Roman"/>
          <w:color w:val="000000" w:themeColor="text1"/>
          <w:sz w:val="24"/>
          <w:szCs w:val="24"/>
        </w:rPr>
        <w:t>GALVÃO, Fernando. Estudo da FGV revela o impacto no sistema prisional da execução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0A6F">
        <w:rPr>
          <w:rFonts w:ascii="Times New Roman" w:hAnsi="Times New Roman" w:cs="Times New Roman"/>
          <w:color w:val="000000" w:themeColor="text1"/>
          <w:sz w:val="24"/>
          <w:szCs w:val="24"/>
        </w:rPr>
        <w:t>da pena após a decisão de segundo grau. 2016. Disponível em: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B90A6F">
        <w:t xml:space="preserve"> </w:t>
      </w:r>
      <w:r w:rsidRPr="00B90A6F">
        <w:rPr>
          <w:rFonts w:ascii="Times New Roman" w:hAnsi="Times New Roman" w:cs="Times New Roman"/>
          <w:color w:val="000000" w:themeColor="text1"/>
          <w:sz w:val="24"/>
          <w:szCs w:val="24"/>
        </w:rPr>
        <w:t>http://www.fernandogalvao.pro.br/2016/09/estudo-da-fgv-revela-o-impacto-no_3.html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  <w:r w:rsidRPr="00B90A6F">
        <w:rPr>
          <w:rFonts w:ascii="Times New Roman" w:hAnsi="Times New Roman" w:cs="Times New Roman"/>
          <w:color w:val="000000" w:themeColor="text1"/>
          <w:sz w:val="24"/>
          <w:szCs w:val="24"/>
        </w:rPr>
        <w:t>Ace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sso em 19</w:t>
      </w:r>
      <w:r w:rsidRPr="00B90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2016.</w:t>
      </w:r>
    </w:p>
    <w:p w:rsidR="00B90A6F" w:rsidRDefault="00B90A6F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5003" w:rsidRDefault="00FC5003" w:rsidP="00FC5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GAVIÃO, Juliana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Venturella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Nahas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proibição da proteção deficiente. </w:t>
      </w:r>
      <w:r w:rsidRPr="00FC5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Revista do Ministério Público do </w:t>
      </w:r>
      <w:proofErr w:type="spellStart"/>
      <w:r w:rsidRPr="00FC500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Alegre, n° 61, maio/2005. Disponível em: &lt;</w:t>
      </w:r>
      <w:r w:rsidRPr="00FC5003">
        <w:t xml:space="preserve"> </w:t>
      </w:r>
      <w:hyperlink r:id="rId9" w:history="1">
        <w:r w:rsidRPr="00FC500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http://webcache.googleusercontent.com/search?q=cache:kBzM2hUrgjoJ:www.amprs.org.br/arquivos/revista_artigo/arquivo_1246460827.pdf+&amp;cd=3&amp;hl=pt-BR&amp;ct=clnk&amp;gl=br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18 out. 2016.</w:t>
      </w:r>
    </w:p>
    <w:p w:rsidR="00FC5003" w:rsidRDefault="00FC5003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A6F" w:rsidRDefault="00B90A6F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LOPES JR,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Aury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328DB" w:rsidRPr="009328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Fundamentos do Processo Penal</w:t>
      </w:r>
      <w:r w:rsidR="009328DB">
        <w:rPr>
          <w:rFonts w:ascii="Times New Roman" w:hAnsi="Times New Roman" w:cs="Times New Roman"/>
          <w:color w:val="000000" w:themeColor="text1"/>
          <w:sz w:val="24"/>
          <w:szCs w:val="24"/>
        </w:rPr>
        <w:t>: Introdução Crítica. 2 ed. São Paulo: Saraiva, 2016, p. 126-127.</w:t>
      </w:r>
    </w:p>
    <w:p w:rsidR="00D42205" w:rsidRDefault="00D42205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205" w:rsidRDefault="00D42205" w:rsidP="00D42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ORGANIZAÇÃO DAS NAÇÕES UNIDAS-ONU. </w:t>
      </w:r>
      <w:r w:rsidRPr="003E5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Declaração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Universal </w:t>
      </w:r>
      <w:r w:rsidRPr="003E55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 Direitos do Homem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1948. Disponível em: &lt;</w:t>
      </w:r>
      <w:r w:rsidRPr="003E5504">
        <w:rPr>
          <w:rFonts w:ascii="Times New Roman" w:hAnsi="Times New Roman" w:cs="Times New Roman"/>
          <w:color w:val="000000" w:themeColor="text1"/>
          <w:sz w:val="24"/>
          <w:szCs w:val="24"/>
        </w:rPr>
        <w:t>http://www.dhnet.org.br/direitos/deconu/textos/integra.htm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&gt;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Acesso em: 17 out. 2016.</w:t>
      </w:r>
    </w:p>
    <w:p w:rsidR="009328DB" w:rsidRDefault="009328DB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8DB" w:rsidRDefault="009328DB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RANGEL, Paulo. Direito Processual Penal. 23º ed. São Paulo: Atlas, 2015, p. 20,23-24.</w:t>
      </w:r>
    </w:p>
    <w:p w:rsidR="00FC5003" w:rsidRDefault="00FC5003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2205" w:rsidRDefault="00D42205" w:rsidP="00D4220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STRECK,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Luiz. </w:t>
      </w:r>
      <w:r w:rsidRPr="00D42205">
        <w:rPr>
          <w:rFonts w:ascii="Times New Roman" w:hAnsi="Times New Roman" w:cs="Times New Roman"/>
          <w:color w:val="000000" w:themeColor="text1"/>
          <w:sz w:val="24"/>
          <w:szCs w:val="24"/>
        </w:rPr>
        <w:t>Bem jurídico e Constituição: da proibição de excesso à proibição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2205">
        <w:rPr>
          <w:rFonts w:ascii="Times New Roman" w:hAnsi="Times New Roman" w:cs="Times New Roman"/>
          <w:color w:val="000000" w:themeColor="text1"/>
          <w:sz w:val="24"/>
          <w:szCs w:val="24"/>
        </w:rPr>
        <w:t>proteção deficiente ou de como não há blindagem contra normas penais inconstitucionais.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2013. Disponível em: &lt;</w:t>
      </w:r>
      <w:hyperlink r:id="rId10" w:history="1">
        <w:r w:rsidRPr="00D422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https://ensaiosjuridicos.files.wordpress.com/2013/04/bem-jurc3addico-e-constituic3a7c3a3o-da-proibic3a7c3a3o-de-excesso-lenio.pdf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Acesso em: 19 </w:t>
      </w:r>
      <w:r w:rsidRPr="00D42205">
        <w:rPr>
          <w:rFonts w:ascii="Times New Roman" w:hAnsi="Times New Roman" w:cs="Times New Roman"/>
          <w:color w:val="000000" w:themeColor="text1"/>
          <w:sz w:val="24"/>
          <w:szCs w:val="24"/>
        </w:rPr>
        <w:t>out 2016.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42205" w:rsidRDefault="00D42205" w:rsidP="00D4220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0A6F" w:rsidRDefault="00D42205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Luiz. </w:t>
      </w:r>
      <w:r w:rsidRPr="00FC5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Tribunal do Júri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Símbolos e Rituais. 4ª ed. Porto Alegre: Livraria do Advogado, 2001, p. 117.</w:t>
      </w:r>
    </w:p>
    <w:p w:rsidR="00D42205" w:rsidRDefault="00D42205" w:rsidP="00B90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5504" w:rsidRPr="00D42205" w:rsidRDefault="00D42205" w:rsidP="003E5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KAWAGUTI,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BBC Brasil- </w:t>
      </w:r>
      <w:r w:rsidRPr="00D422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Prisões-modelo apontam soluções para crise carcerária no Brasil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2014. Disponível em: &lt;</w:t>
      </w:r>
      <w:r w:rsidRPr="00D42205">
        <w:t xml:space="preserve"> </w:t>
      </w:r>
      <w:hyperlink r:id="rId11" w:history="1">
        <w:r w:rsidRPr="00D4220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http://www.bbc.com/portuguese/noticias/2014/03/140312_prisoes_modelo_abre_lk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19 out. 2016.</w:t>
      </w:r>
    </w:p>
    <w:p w:rsidR="005F03D2" w:rsidRPr="005F03D2" w:rsidRDefault="00CA558B" w:rsidP="00CA558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sectPr w:rsidR="005F03D2" w:rsidRPr="005F0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F6" w:rsidRDefault="00C71AF6" w:rsidP="000202CD">
      <w:pPr>
        <w:spacing w:after="0" w:line="240" w:lineRule="auto"/>
      </w:pPr>
      <w:r>
        <w:separator/>
      </w:r>
    </w:p>
  </w:endnote>
  <w:endnote w:type="continuationSeparator" w:id="0">
    <w:p w:rsidR="00C71AF6" w:rsidRDefault="00C71AF6" w:rsidP="0002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059013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F6" w:rsidRDefault="00C71AF6" w:rsidP="000202CD">
      <w:pPr>
        <w:spacing w:after="0" w:line="240" w:lineRule="auto"/>
      </w:pPr>
      <w:r>
        <w:separator/>
      </w:r>
    </w:p>
  </w:footnote>
  <w:footnote w:type="continuationSeparator" w:id="0">
    <w:p w:rsidR="00C71AF6" w:rsidRDefault="00C71AF6" w:rsidP="000202CD">
      <w:pPr>
        <w:spacing w:after="0" w:line="240" w:lineRule="auto"/>
      </w:pPr>
      <w:r>
        <w:continuationSeparator/>
      </w:r>
    </w:p>
  </w:footnote>
  <w:footnote w:id="1">
    <w:p w:rsidR="000202CD" w:rsidRPr="000202CD" w:rsidRDefault="000202CD">
      <w:pPr>
        <w:pStyle w:val="Textodenotaderodap"/>
        <w:rPr>
          <w:rFonts w:ascii="Times New Roman" w:hAnsi="Times New Roman" w:cs="Times New Roman"/>
        </w:rPr>
      </w:pPr>
      <w:r w:rsidRPr="000202CD">
        <w:rPr>
          <w:rStyle w:val="Refdenotaderodap"/>
          <w:rFonts w:ascii="Times New Roman" w:hAnsi="Times New Roman" w:cs="Times New Roman"/>
        </w:rPr>
        <w:footnoteRef/>
      </w:r>
      <w:r w:rsidRPr="00020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Case destinado à disciplina de Processo Penal II, da Unidade de Ensino Superior Dom Bosco- UNDB.</w:t>
      </w:r>
    </w:p>
  </w:footnote>
  <w:footnote w:id="2">
    <w:p w:rsidR="000202CD" w:rsidRPr="000202CD" w:rsidRDefault="000202CD">
      <w:pPr>
        <w:pStyle w:val="Textodenotaderodap"/>
        <w:rPr>
          <w:rFonts w:ascii="Times New Roman" w:hAnsi="Times New Roman" w:cs="Times New Roman"/>
        </w:rPr>
      </w:pPr>
      <w:r w:rsidRPr="000202CD">
        <w:rPr>
          <w:rStyle w:val="Refdenotaderodap"/>
          <w:rFonts w:ascii="Times New Roman" w:hAnsi="Times New Roman" w:cs="Times New Roman"/>
        </w:rPr>
        <w:footnoteRef/>
      </w:r>
      <w:r w:rsidRPr="00020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Aluna do 7º período </w:t>
      </w:r>
      <w:proofErr w:type="spellStart"/>
      <w:proofErr w:type="gramStart"/>
      <w:r>
        <w:rPr>
          <w:rFonts w:ascii="Times New Roman" w:hAnsi="Times New Roman" w:cs="Times New Roman"/>
        </w:rPr>
        <w:t>vesp</w:t>
      </w:r>
      <w:proofErr w:type="spellEnd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do curso de Direito da UNDB.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C4C31"/>
    <w:multiLevelType w:val="hybridMultilevel"/>
    <w:tmpl w:val="E0A6C252"/>
    <w:lvl w:ilvl="0" w:tplc="46DA72E2">
      <w:start w:val="1"/>
      <w:numFmt w:val="upperRoman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8A"/>
    <w:rsid w:val="000202CD"/>
    <w:rsid w:val="00166A26"/>
    <w:rsid w:val="00187BBE"/>
    <w:rsid w:val="0033395B"/>
    <w:rsid w:val="00333FCF"/>
    <w:rsid w:val="003862C1"/>
    <w:rsid w:val="003D36F3"/>
    <w:rsid w:val="003E5504"/>
    <w:rsid w:val="0040751A"/>
    <w:rsid w:val="00582B61"/>
    <w:rsid w:val="005B5873"/>
    <w:rsid w:val="005F03D2"/>
    <w:rsid w:val="005F7885"/>
    <w:rsid w:val="006208B1"/>
    <w:rsid w:val="006776FF"/>
    <w:rsid w:val="00681710"/>
    <w:rsid w:val="007B23E7"/>
    <w:rsid w:val="007C1923"/>
    <w:rsid w:val="009328DB"/>
    <w:rsid w:val="009B1FE8"/>
    <w:rsid w:val="00AD761F"/>
    <w:rsid w:val="00B001BD"/>
    <w:rsid w:val="00B463EA"/>
    <w:rsid w:val="00B90A6F"/>
    <w:rsid w:val="00C71AF6"/>
    <w:rsid w:val="00CA558B"/>
    <w:rsid w:val="00CB323C"/>
    <w:rsid w:val="00D1277F"/>
    <w:rsid w:val="00D42205"/>
    <w:rsid w:val="00D7197C"/>
    <w:rsid w:val="00DF3E92"/>
    <w:rsid w:val="00E4088A"/>
    <w:rsid w:val="00E45A12"/>
    <w:rsid w:val="00E74D76"/>
    <w:rsid w:val="00EF3105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858FC-C20D-4D8B-9D48-73A28D88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55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62C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02C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02C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202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8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52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che.googleusercontent.com/search?q=cache:q9WgMW7AQoEJ:www.cristinagutierrez.pro.br/variedades/artigos/varid_art1.doc+&amp;cd=4&amp;hl=pt-BR&amp;ct=clnk&amp;gl=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c.com/portuguese/noticias/2014/03/140312_prisoes_modelo_abre_l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nsaiosjuridicos.files.wordpress.com/2013/04/bem-jurc3addico-e-constituic3a7c3a3o-da-proibic3a7c3a3o-de-excesso-leni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cache.googleusercontent.com/search?q=cache:kBzM2hUrgjoJ:www.amprs.org.br/arquivos/revista_artigo/arquivo_1246460827.pdf+&amp;cd=3&amp;hl=pt-BR&amp;ct=clnk&amp;gl=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6B47-CB69-4B73-8422-70EC660B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2191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</dc:creator>
  <cp:lastModifiedBy>Samila</cp:lastModifiedBy>
  <cp:revision>9</cp:revision>
  <dcterms:created xsi:type="dcterms:W3CDTF">2016-10-18T17:49:00Z</dcterms:created>
  <dcterms:modified xsi:type="dcterms:W3CDTF">2018-06-20T15:39:00Z</dcterms:modified>
</cp:coreProperties>
</file>