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CD3" w:rsidRDefault="00851CD3">
      <w:pPr>
        <w:pStyle w:val="Corpodetexto"/>
        <w:rPr>
          <w:sz w:val="20"/>
        </w:rPr>
      </w:pPr>
    </w:p>
    <w:p w:rsidR="00851CD3" w:rsidRDefault="00E11BE2">
      <w:pPr>
        <w:pStyle w:val="Corpodetexto"/>
        <w:spacing w:before="218" w:line="360" w:lineRule="auto"/>
        <w:ind w:left="1821" w:right="2152"/>
        <w:jc w:val="center"/>
      </w:pPr>
      <w:r>
        <w:t>UNIDADE DE ENSINO SUPERIOR DOM BOSCO –</w:t>
      </w:r>
      <w:r>
        <w:rPr>
          <w:spacing w:val="-12"/>
        </w:rPr>
        <w:t xml:space="preserve"> </w:t>
      </w:r>
      <w:r>
        <w:t>UNDB CURSO DE GRADUAÇÃO EM</w:t>
      </w:r>
      <w:r>
        <w:rPr>
          <w:spacing w:val="-3"/>
        </w:rPr>
        <w:t xml:space="preserve"> </w:t>
      </w:r>
      <w:r>
        <w:t>DIREITO</w:t>
      </w:r>
    </w:p>
    <w:p w:rsidR="00851CD3" w:rsidRDefault="00851CD3">
      <w:pPr>
        <w:pStyle w:val="Corpodetexto"/>
        <w:rPr>
          <w:sz w:val="26"/>
        </w:rPr>
      </w:pPr>
    </w:p>
    <w:p w:rsidR="00851CD3" w:rsidRDefault="00851CD3">
      <w:pPr>
        <w:pStyle w:val="Corpodetexto"/>
        <w:rPr>
          <w:sz w:val="26"/>
        </w:rPr>
      </w:pPr>
    </w:p>
    <w:p w:rsidR="00851CD3" w:rsidRDefault="00851CD3">
      <w:pPr>
        <w:pStyle w:val="Corpodetexto"/>
        <w:rPr>
          <w:sz w:val="26"/>
        </w:rPr>
      </w:pPr>
    </w:p>
    <w:p w:rsidR="00851CD3" w:rsidRDefault="00851CD3">
      <w:pPr>
        <w:pStyle w:val="Corpodetexto"/>
        <w:rPr>
          <w:sz w:val="26"/>
        </w:rPr>
      </w:pPr>
    </w:p>
    <w:p w:rsidR="00851CD3" w:rsidRDefault="00851CD3">
      <w:pPr>
        <w:pStyle w:val="Corpodetexto"/>
        <w:rPr>
          <w:sz w:val="26"/>
        </w:rPr>
      </w:pPr>
    </w:p>
    <w:p w:rsidR="00851CD3" w:rsidRDefault="00851CD3">
      <w:pPr>
        <w:pStyle w:val="Corpodetexto"/>
        <w:rPr>
          <w:sz w:val="26"/>
        </w:rPr>
      </w:pPr>
    </w:p>
    <w:p w:rsidR="00851CD3" w:rsidRDefault="00851CD3">
      <w:pPr>
        <w:pStyle w:val="Corpodetexto"/>
        <w:rPr>
          <w:sz w:val="26"/>
        </w:rPr>
      </w:pPr>
    </w:p>
    <w:p w:rsidR="00851CD3" w:rsidRDefault="00851CD3">
      <w:pPr>
        <w:pStyle w:val="Corpodetexto"/>
        <w:spacing w:before="5"/>
        <w:rPr>
          <w:sz w:val="34"/>
        </w:rPr>
      </w:pPr>
    </w:p>
    <w:p w:rsidR="00851CD3" w:rsidRDefault="00E11BE2">
      <w:pPr>
        <w:pStyle w:val="Ttulo1"/>
        <w:spacing w:line="360" w:lineRule="auto"/>
        <w:ind w:left="2534" w:right="2866"/>
        <w:jc w:val="center"/>
      </w:pPr>
      <w:r>
        <w:t xml:space="preserve">ANTONIO ISMAEL PIMENTA </w:t>
      </w:r>
      <w:r>
        <w:rPr>
          <w:spacing w:val="-3"/>
        </w:rPr>
        <w:t xml:space="preserve">CARDOSO </w:t>
      </w:r>
      <w:r>
        <w:t>JOÃO GABRIEL MARTINS DA</w:t>
      </w:r>
      <w:r>
        <w:rPr>
          <w:spacing w:val="-3"/>
        </w:rPr>
        <w:t xml:space="preserve"> </w:t>
      </w:r>
      <w:r>
        <w:t>SILVA</w:t>
      </w:r>
    </w:p>
    <w:p w:rsidR="00851CD3" w:rsidRDefault="00851CD3">
      <w:pPr>
        <w:pStyle w:val="Corpodetexto"/>
        <w:rPr>
          <w:b/>
          <w:sz w:val="26"/>
        </w:rPr>
      </w:pPr>
    </w:p>
    <w:p w:rsidR="00851CD3" w:rsidRDefault="00851CD3">
      <w:pPr>
        <w:pStyle w:val="Corpodetexto"/>
        <w:rPr>
          <w:b/>
          <w:sz w:val="26"/>
        </w:rPr>
      </w:pPr>
    </w:p>
    <w:p w:rsidR="00851CD3" w:rsidRDefault="00851CD3">
      <w:pPr>
        <w:pStyle w:val="Corpodetexto"/>
        <w:rPr>
          <w:b/>
          <w:sz w:val="26"/>
        </w:rPr>
      </w:pPr>
    </w:p>
    <w:p w:rsidR="00851CD3" w:rsidRDefault="00851CD3">
      <w:pPr>
        <w:pStyle w:val="Corpodetexto"/>
        <w:rPr>
          <w:b/>
          <w:sz w:val="26"/>
        </w:rPr>
      </w:pPr>
    </w:p>
    <w:p w:rsidR="00851CD3" w:rsidRDefault="00851CD3">
      <w:pPr>
        <w:pStyle w:val="Corpodetexto"/>
        <w:rPr>
          <w:b/>
          <w:sz w:val="26"/>
        </w:rPr>
      </w:pPr>
    </w:p>
    <w:p w:rsidR="00851CD3" w:rsidRDefault="00851CD3">
      <w:pPr>
        <w:pStyle w:val="Corpodetexto"/>
        <w:rPr>
          <w:b/>
          <w:sz w:val="26"/>
        </w:rPr>
      </w:pPr>
    </w:p>
    <w:p w:rsidR="00851CD3" w:rsidRDefault="00851CD3">
      <w:pPr>
        <w:pStyle w:val="Corpodetexto"/>
        <w:rPr>
          <w:b/>
          <w:sz w:val="26"/>
        </w:rPr>
      </w:pPr>
    </w:p>
    <w:p w:rsidR="00851CD3" w:rsidRDefault="00851CD3">
      <w:pPr>
        <w:pStyle w:val="Corpodetexto"/>
        <w:spacing w:before="1"/>
        <w:rPr>
          <w:b/>
          <w:sz w:val="34"/>
        </w:rPr>
      </w:pPr>
    </w:p>
    <w:p w:rsidR="00851CD3" w:rsidRDefault="00E11BE2">
      <w:pPr>
        <w:spacing w:line="360" w:lineRule="auto"/>
        <w:ind w:left="1125" w:right="1010" w:firstLine="700"/>
        <w:rPr>
          <w:b/>
          <w:sz w:val="24"/>
        </w:rPr>
      </w:pPr>
      <w:r>
        <w:rPr>
          <w:b/>
          <w:sz w:val="24"/>
        </w:rPr>
        <w:t>TRANSEXUAIS FEMININAS: A possibilidade de expansão do termo “mulher” para fins de aplicação da lei 11.340/2006 (Lei Maria da Penha)</w:t>
      </w:r>
    </w:p>
    <w:p w:rsidR="00851CD3" w:rsidRDefault="00851CD3">
      <w:pPr>
        <w:pStyle w:val="Corpodetexto"/>
        <w:rPr>
          <w:b/>
          <w:sz w:val="26"/>
        </w:rPr>
      </w:pPr>
    </w:p>
    <w:p w:rsidR="00851CD3" w:rsidRDefault="00851CD3">
      <w:pPr>
        <w:pStyle w:val="Corpodetexto"/>
        <w:rPr>
          <w:b/>
          <w:sz w:val="26"/>
        </w:rPr>
      </w:pPr>
    </w:p>
    <w:p w:rsidR="00851CD3" w:rsidRDefault="00851CD3">
      <w:pPr>
        <w:pStyle w:val="Corpodetexto"/>
        <w:rPr>
          <w:b/>
          <w:sz w:val="26"/>
        </w:rPr>
      </w:pPr>
    </w:p>
    <w:p w:rsidR="00851CD3" w:rsidRDefault="00851CD3">
      <w:pPr>
        <w:pStyle w:val="Corpodetexto"/>
        <w:rPr>
          <w:b/>
          <w:sz w:val="26"/>
        </w:rPr>
      </w:pPr>
    </w:p>
    <w:p w:rsidR="00851CD3" w:rsidRDefault="00851CD3">
      <w:pPr>
        <w:pStyle w:val="Corpodetexto"/>
        <w:rPr>
          <w:b/>
          <w:sz w:val="26"/>
        </w:rPr>
      </w:pPr>
    </w:p>
    <w:p w:rsidR="00851CD3" w:rsidRDefault="00851CD3">
      <w:pPr>
        <w:pStyle w:val="Corpodetexto"/>
        <w:rPr>
          <w:b/>
          <w:sz w:val="26"/>
        </w:rPr>
      </w:pPr>
    </w:p>
    <w:p w:rsidR="00851CD3" w:rsidRDefault="00851CD3">
      <w:pPr>
        <w:pStyle w:val="Corpodetexto"/>
        <w:rPr>
          <w:b/>
          <w:sz w:val="26"/>
        </w:rPr>
      </w:pPr>
    </w:p>
    <w:p w:rsidR="00851CD3" w:rsidRDefault="00851CD3">
      <w:pPr>
        <w:pStyle w:val="Corpodetexto"/>
        <w:rPr>
          <w:b/>
          <w:sz w:val="26"/>
        </w:rPr>
      </w:pPr>
    </w:p>
    <w:p w:rsidR="00851CD3" w:rsidRDefault="00851CD3">
      <w:pPr>
        <w:pStyle w:val="Corpodetexto"/>
        <w:rPr>
          <w:b/>
          <w:sz w:val="26"/>
        </w:rPr>
      </w:pPr>
    </w:p>
    <w:p w:rsidR="00851CD3" w:rsidRDefault="00851CD3">
      <w:pPr>
        <w:pStyle w:val="Corpodetexto"/>
        <w:rPr>
          <w:b/>
          <w:sz w:val="26"/>
        </w:rPr>
      </w:pPr>
    </w:p>
    <w:p w:rsidR="00851CD3" w:rsidRDefault="00851CD3">
      <w:pPr>
        <w:pStyle w:val="Corpodetexto"/>
        <w:rPr>
          <w:b/>
          <w:sz w:val="26"/>
        </w:rPr>
      </w:pPr>
    </w:p>
    <w:p w:rsidR="00851CD3" w:rsidRDefault="00851CD3">
      <w:pPr>
        <w:pStyle w:val="Corpodetexto"/>
        <w:rPr>
          <w:b/>
          <w:sz w:val="26"/>
        </w:rPr>
      </w:pPr>
    </w:p>
    <w:p w:rsidR="00851CD3" w:rsidRDefault="00851CD3">
      <w:pPr>
        <w:pStyle w:val="Corpodetexto"/>
        <w:rPr>
          <w:b/>
          <w:sz w:val="26"/>
        </w:rPr>
      </w:pPr>
    </w:p>
    <w:p w:rsidR="00851CD3" w:rsidRDefault="00851CD3">
      <w:pPr>
        <w:pStyle w:val="Corpodetexto"/>
        <w:rPr>
          <w:b/>
          <w:sz w:val="26"/>
        </w:rPr>
      </w:pPr>
    </w:p>
    <w:p w:rsidR="00851CD3" w:rsidRDefault="00851CD3">
      <w:pPr>
        <w:pStyle w:val="Corpodetexto"/>
        <w:rPr>
          <w:b/>
          <w:sz w:val="26"/>
        </w:rPr>
      </w:pPr>
    </w:p>
    <w:p w:rsidR="00851CD3" w:rsidRDefault="00851CD3">
      <w:pPr>
        <w:pStyle w:val="Corpodetexto"/>
        <w:rPr>
          <w:b/>
          <w:sz w:val="26"/>
        </w:rPr>
      </w:pPr>
    </w:p>
    <w:p w:rsidR="00851CD3" w:rsidRDefault="00851CD3">
      <w:pPr>
        <w:pStyle w:val="Corpodetexto"/>
        <w:rPr>
          <w:b/>
          <w:sz w:val="26"/>
        </w:rPr>
      </w:pPr>
    </w:p>
    <w:p w:rsidR="00851CD3" w:rsidRDefault="00851CD3">
      <w:pPr>
        <w:pStyle w:val="Corpodetexto"/>
        <w:rPr>
          <w:b/>
          <w:sz w:val="26"/>
        </w:rPr>
      </w:pPr>
    </w:p>
    <w:p w:rsidR="00851CD3" w:rsidRDefault="00851CD3">
      <w:pPr>
        <w:pStyle w:val="Corpodetexto"/>
        <w:spacing w:before="6"/>
        <w:rPr>
          <w:b/>
          <w:sz w:val="35"/>
        </w:rPr>
      </w:pPr>
    </w:p>
    <w:p w:rsidR="00851CD3" w:rsidRDefault="00E11BE2">
      <w:pPr>
        <w:pStyle w:val="Corpodetexto"/>
        <w:spacing w:line="360" w:lineRule="auto"/>
        <w:ind w:left="4413" w:right="4747"/>
        <w:jc w:val="center"/>
      </w:pPr>
      <w:r>
        <w:t>São Luís 2016</w:t>
      </w:r>
    </w:p>
    <w:p w:rsidR="00851CD3" w:rsidRDefault="00851CD3">
      <w:pPr>
        <w:spacing w:line="360" w:lineRule="auto"/>
        <w:jc w:val="center"/>
        <w:sectPr w:rsidR="00851CD3">
          <w:headerReference w:type="default" r:id="rId8"/>
          <w:type w:val="continuous"/>
          <w:pgSz w:w="11910" w:h="16840"/>
          <w:pgMar w:top="1240" w:right="500" w:bottom="280" w:left="1400" w:header="581" w:footer="720" w:gutter="0"/>
          <w:cols w:space="720"/>
        </w:sectPr>
      </w:pPr>
    </w:p>
    <w:p w:rsidR="00851CD3" w:rsidRDefault="00E11BE2">
      <w:pPr>
        <w:pStyle w:val="Corpodetexto"/>
        <w:ind w:left="6268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7" style="width:181.3pt;height:33.35pt;mso-position-horizontal-relative:char;mso-position-vertical-relative:line" coordsize="3626,667">
            <v:rect id="_x0000_s1028" style="position:absolute;width:3626;height:667" stroked="f"/>
            <w10:wrap type="none"/>
            <w10:anchorlock/>
          </v:group>
        </w:pict>
      </w:r>
    </w:p>
    <w:p w:rsidR="00851CD3" w:rsidRDefault="00851CD3">
      <w:pPr>
        <w:pStyle w:val="Corpodetexto"/>
        <w:rPr>
          <w:sz w:val="20"/>
        </w:rPr>
      </w:pPr>
    </w:p>
    <w:p w:rsidR="00851CD3" w:rsidRDefault="00851CD3">
      <w:pPr>
        <w:pStyle w:val="Corpodetexto"/>
        <w:spacing w:before="6"/>
      </w:pPr>
    </w:p>
    <w:p w:rsidR="00851CD3" w:rsidRDefault="00E11BE2">
      <w:pPr>
        <w:pStyle w:val="Ttulo1"/>
        <w:spacing w:before="90" w:line="360" w:lineRule="auto"/>
        <w:ind w:left="2534" w:right="2866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33.75pt;margin-top:-45.05pt;width:5pt;height:11.05pt;z-index:-10672;mso-position-horizontal-relative:page" filled="f" stroked="f">
            <v:textbox inset="0,0,0,0">
              <w:txbxContent>
                <w:p w:rsidR="00851CD3" w:rsidRDefault="00E11BE2">
                  <w:pPr>
                    <w:spacing w:line="221" w:lineRule="exact"/>
                    <w:rPr>
                      <w:sz w:val="20"/>
                    </w:rPr>
                  </w:pPr>
                  <w:proofErr w:type="gramStart"/>
                  <w:r>
                    <w:rPr>
                      <w:w w:val="99"/>
                      <w:sz w:val="20"/>
                    </w:rPr>
                    <w:t>1</w:t>
                  </w:r>
                  <w:proofErr w:type="gramEnd"/>
                </w:p>
              </w:txbxContent>
            </v:textbox>
            <w10:wrap anchorx="page"/>
          </v:shape>
        </w:pict>
      </w:r>
      <w:r>
        <w:t>ANTONIO ISMAEL PIMENTA CARDOSO JOÃO GABRIEL MARTINS DA SILVA</w:t>
      </w:r>
    </w:p>
    <w:p w:rsidR="00851CD3" w:rsidRDefault="00851CD3">
      <w:pPr>
        <w:pStyle w:val="Corpodetexto"/>
        <w:rPr>
          <w:b/>
          <w:sz w:val="26"/>
        </w:rPr>
      </w:pPr>
    </w:p>
    <w:p w:rsidR="00851CD3" w:rsidRDefault="00851CD3">
      <w:pPr>
        <w:pStyle w:val="Corpodetexto"/>
        <w:rPr>
          <w:b/>
          <w:sz w:val="26"/>
        </w:rPr>
      </w:pPr>
    </w:p>
    <w:p w:rsidR="00851CD3" w:rsidRDefault="00851CD3">
      <w:pPr>
        <w:pStyle w:val="Corpodetexto"/>
        <w:rPr>
          <w:b/>
          <w:sz w:val="26"/>
        </w:rPr>
      </w:pPr>
    </w:p>
    <w:p w:rsidR="00851CD3" w:rsidRDefault="00851CD3">
      <w:pPr>
        <w:pStyle w:val="Corpodetexto"/>
        <w:rPr>
          <w:b/>
          <w:sz w:val="26"/>
        </w:rPr>
      </w:pPr>
    </w:p>
    <w:p w:rsidR="00851CD3" w:rsidRDefault="00851CD3">
      <w:pPr>
        <w:pStyle w:val="Corpodetexto"/>
        <w:rPr>
          <w:b/>
          <w:sz w:val="26"/>
        </w:rPr>
      </w:pPr>
    </w:p>
    <w:p w:rsidR="00851CD3" w:rsidRDefault="00851CD3">
      <w:pPr>
        <w:pStyle w:val="Corpodetexto"/>
        <w:rPr>
          <w:b/>
          <w:sz w:val="26"/>
        </w:rPr>
      </w:pPr>
    </w:p>
    <w:p w:rsidR="00851CD3" w:rsidRDefault="00851CD3">
      <w:pPr>
        <w:pStyle w:val="Corpodetexto"/>
        <w:rPr>
          <w:b/>
          <w:sz w:val="26"/>
        </w:rPr>
      </w:pPr>
    </w:p>
    <w:p w:rsidR="00851CD3" w:rsidRDefault="00851CD3">
      <w:pPr>
        <w:pStyle w:val="Corpodetexto"/>
        <w:rPr>
          <w:b/>
          <w:sz w:val="26"/>
        </w:rPr>
      </w:pPr>
    </w:p>
    <w:p w:rsidR="00851CD3" w:rsidRDefault="00851CD3">
      <w:pPr>
        <w:pStyle w:val="Corpodetexto"/>
        <w:rPr>
          <w:b/>
          <w:sz w:val="26"/>
        </w:rPr>
      </w:pPr>
    </w:p>
    <w:p w:rsidR="00851CD3" w:rsidRDefault="00851CD3">
      <w:pPr>
        <w:pStyle w:val="Corpodetexto"/>
        <w:rPr>
          <w:b/>
          <w:sz w:val="26"/>
        </w:rPr>
      </w:pPr>
    </w:p>
    <w:p w:rsidR="00851CD3" w:rsidRDefault="00851CD3">
      <w:pPr>
        <w:pStyle w:val="Corpodetexto"/>
        <w:rPr>
          <w:b/>
          <w:sz w:val="26"/>
        </w:rPr>
      </w:pPr>
    </w:p>
    <w:p w:rsidR="00851CD3" w:rsidRDefault="00851CD3">
      <w:pPr>
        <w:pStyle w:val="Corpodetexto"/>
        <w:rPr>
          <w:b/>
          <w:sz w:val="26"/>
        </w:rPr>
      </w:pPr>
    </w:p>
    <w:p w:rsidR="00851CD3" w:rsidRDefault="00851CD3">
      <w:pPr>
        <w:pStyle w:val="Corpodetexto"/>
        <w:rPr>
          <w:b/>
          <w:sz w:val="26"/>
        </w:rPr>
      </w:pPr>
    </w:p>
    <w:p w:rsidR="00851CD3" w:rsidRDefault="00851CD3">
      <w:pPr>
        <w:pStyle w:val="Corpodetexto"/>
        <w:rPr>
          <w:b/>
          <w:sz w:val="26"/>
        </w:rPr>
      </w:pPr>
    </w:p>
    <w:p w:rsidR="00851CD3" w:rsidRDefault="00851CD3">
      <w:pPr>
        <w:pStyle w:val="Corpodetexto"/>
        <w:rPr>
          <w:b/>
          <w:sz w:val="26"/>
        </w:rPr>
      </w:pPr>
    </w:p>
    <w:p w:rsidR="00851CD3" w:rsidRDefault="00851CD3">
      <w:pPr>
        <w:pStyle w:val="Corpodetexto"/>
        <w:rPr>
          <w:b/>
          <w:sz w:val="26"/>
        </w:rPr>
      </w:pPr>
    </w:p>
    <w:p w:rsidR="00851CD3" w:rsidRDefault="00851CD3">
      <w:pPr>
        <w:pStyle w:val="Corpodetexto"/>
        <w:rPr>
          <w:b/>
          <w:sz w:val="26"/>
        </w:rPr>
      </w:pPr>
    </w:p>
    <w:p w:rsidR="00851CD3" w:rsidRDefault="00851CD3">
      <w:pPr>
        <w:pStyle w:val="Corpodetexto"/>
        <w:rPr>
          <w:b/>
          <w:sz w:val="26"/>
        </w:rPr>
      </w:pPr>
    </w:p>
    <w:p w:rsidR="00851CD3" w:rsidRDefault="00851CD3">
      <w:pPr>
        <w:pStyle w:val="Corpodetexto"/>
        <w:spacing w:before="1"/>
        <w:rPr>
          <w:b/>
          <w:sz w:val="36"/>
        </w:rPr>
      </w:pPr>
    </w:p>
    <w:p w:rsidR="00851CD3" w:rsidRDefault="00E11BE2">
      <w:pPr>
        <w:spacing w:before="1" w:line="360" w:lineRule="auto"/>
        <w:ind w:left="1125" w:right="1010" w:firstLine="700"/>
        <w:rPr>
          <w:b/>
          <w:sz w:val="24"/>
        </w:rPr>
      </w:pPr>
      <w:r>
        <w:rPr>
          <w:b/>
          <w:sz w:val="24"/>
        </w:rPr>
        <w:t>TRANSEXUAIS FEMININAS: A possibilidade de expansão do termo “mulher” para fins de aplicação da lei 11.340/2006 (Lei Maria da Penha)</w:t>
      </w:r>
    </w:p>
    <w:p w:rsidR="00851CD3" w:rsidRDefault="00851CD3">
      <w:pPr>
        <w:pStyle w:val="Corpodetexto"/>
        <w:spacing w:before="3"/>
        <w:rPr>
          <w:b/>
          <w:sz w:val="35"/>
        </w:rPr>
      </w:pPr>
    </w:p>
    <w:p w:rsidR="00851CD3" w:rsidRDefault="00E11BE2">
      <w:pPr>
        <w:pStyle w:val="Corpodetexto"/>
        <w:ind w:left="4838" w:right="628"/>
        <w:jc w:val="both"/>
      </w:pPr>
      <w:r>
        <w:t>Redação Final do paper apresent</w:t>
      </w:r>
      <w:r w:rsidR="000B58B8">
        <w:t xml:space="preserve">ado à disciplina Direito Penal Especial III </w:t>
      </w:r>
      <w:r>
        <w:t>do Curso de Graduação em Direito da Unidade de ensino Superi</w:t>
      </w:r>
      <w:r>
        <w:t>or Dom Bosco - UNDB como requisito parcial a obtenção da segunda nota.</w:t>
      </w:r>
    </w:p>
    <w:p w:rsidR="00851CD3" w:rsidRDefault="00851CD3">
      <w:pPr>
        <w:pStyle w:val="Corpodetexto"/>
      </w:pPr>
    </w:p>
    <w:p w:rsidR="00851CD3" w:rsidRDefault="00E11BE2">
      <w:pPr>
        <w:pStyle w:val="Corpodetexto"/>
        <w:ind w:left="4838"/>
      </w:pPr>
      <w:proofErr w:type="gramStart"/>
      <w:r>
        <w:t>Orient</w:t>
      </w:r>
      <w:r w:rsidR="000B58B8">
        <w:t>ador(</w:t>
      </w:r>
      <w:proofErr w:type="gramEnd"/>
      <w:r w:rsidR="000B58B8">
        <w:t>a):</w:t>
      </w:r>
    </w:p>
    <w:p w:rsidR="00851CD3" w:rsidRDefault="00851CD3">
      <w:pPr>
        <w:pStyle w:val="Corpodetexto"/>
        <w:rPr>
          <w:sz w:val="26"/>
        </w:rPr>
      </w:pPr>
    </w:p>
    <w:p w:rsidR="00851CD3" w:rsidRDefault="00851CD3">
      <w:pPr>
        <w:pStyle w:val="Corpodetexto"/>
        <w:rPr>
          <w:sz w:val="26"/>
        </w:rPr>
      </w:pPr>
    </w:p>
    <w:p w:rsidR="00851CD3" w:rsidRDefault="00851CD3">
      <w:pPr>
        <w:pStyle w:val="Corpodetexto"/>
        <w:rPr>
          <w:sz w:val="26"/>
        </w:rPr>
      </w:pPr>
    </w:p>
    <w:p w:rsidR="00851CD3" w:rsidRDefault="00851CD3">
      <w:pPr>
        <w:pStyle w:val="Corpodetexto"/>
        <w:rPr>
          <w:sz w:val="26"/>
        </w:rPr>
      </w:pPr>
    </w:p>
    <w:p w:rsidR="00851CD3" w:rsidRDefault="00851CD3">
      <w:pPr>
        <w:pStyle w:val="Corpodetexto"/>
        <w:rPr>
          <w:sz w:val="26"/>
        </w:rPr>
      </w:pPr>
    </w:p>
    <w:p w:rsidR="00851CD3" w:rsidRDefault="00851CD3">
      <w:pPr>
        <w:pStyle w:val="Corpodetexto"/>
        <w:rPr>
          <w:sz w:val="26"/>
        </w:rPr>
      </w:pPr>
    </w:p>
    <w:p w:rsidR="00851CD3" w:rsidRDefault="00851CD3">
      <w:pPr>
        <w:pStyle w:val="Corpodetexto"/>
        <w:rPr>
          <w:sz w:val="26"/>
        </w:rPr>
      </w:pPr>
    </w:p>
    <w:p w:rsidR="00851CD3" w:rsidRDefault="00851CD3">
      <w:pPr>
        <w:pStyle w:val="Corpodetexto"/>
        <w:rPr>
          <w:sz w:val="26"/>
        </w:rPr>
      </w:pPr>
    </w:p>
    <w:p w:rsidR="00851CD3" w:rsidRDefault="00851CD3">
      <w:pPr>
        <w:pStyle w:val="Corpodetexto"/>
        <w:rPr>
          <w:sz w:val="26"/>
        </w:rPr>
      </w:pPr>
    </w:p>
    <w:p w:rsidR="00851CD3" w:rsidRDefault="00851CD3">
      <w:pPr>
        <w:pStyle w:val="Corpodetexto"/>
        <w:rPr>
          <w:sz w:val="26"/>
        </w:rPr>
      </w:pPr>
    </w:p>
    <w:p w:rsidR="00851CD3" w:rsidRDefault="00E11BE2">
      <w:pPr>
        <w:pStyle w:val="Corpodetexto"/>
        <w:spacing w:before="186" w:line="360" w:lineRule="auto"/>
        <w:ind w:left="4413" w:right="4747"/>
        <w:jc w:val="center"/>
      </w:pPr>
      <w:r>
        <w:t>São Luís 2016</w:t>
      </w:r>
    </w:p>
    <w:p w:rsidR="00851CD3" w:rsidRDefault="00851CD3">
      <w:pPr>
        <w:spacing w:line="360" w:lineRule="auto"/>
        <w:jc w:val="center"/>
        <w:sectPr w:rsidR="00851CD3">
          <w:headerReference w:type="default" r:id="rId9"/>
          <w:pgSz w:w="11910" w:h="16840"/>
          <w:pgMar w:top="380" w:right="500" w:bottom="280" w:left="1400" w:header="0" w:footer="0" w:gutter="0"/>
          <w:cols w:space="720"/>
        </w:sectPr>
      </w:pPr>
    </w:p>
    <w:p w:rsidR="00851CD3" w:rsidRDefault="00851CD3">
      <w:pPr>
        <w:pStyle w:val="Corpodetexto"/>
        <w:rPr>
          <w:sz w:val="20"/>
        </w:rPr>
      </w:pPr>
    </w:p>
    <w:p w:rsidR="00851CD3" w:rsidRDefault="00851CD3">
      <w:pPr>
        <w:pStyle w:val="Corpodetexto"/>
        <w:spacing w:before="8"/>
        <w:rPr>
          <w:sz w:val="20"/>
        </w:rPr>
      </w:pPr>
    </w:p>
    <w:p w:rsidR="00851CD3" w:rsidRDefault="00E11BE2">
      <w:pPr>
        <w:pStyle w:val="Ttulo1"/>
        <w:ind w:left="1821" w:right="2151"/>
        <w:jc w:val="center"/>
      </w:pPr>
      <w:r>
        <w:t>SUMÁRIO</w:t>
      </w:r>
    </w:p>
    <w:p w:rsidR="00851CD3" w:rsidRDefault="00851CD3">
      <w:pPr>
        <w:pStyle w:val="Corpodetexto"/>
        <w:rPr>
          <w:b/>
          <w:sz w:val="20"/>
        </w:rPr>
      </w:pPr>
    </w:p>
    <w:p w:rsidR="00851CD3" w:rsidRDefault="00851CD3">
      <w:pPr>
        <w:pStyle w:val="Corpodetexto"/>
        <w:spacing w:before="5"/>
        <w:rPr>
          <w:b/>
          <w:sz w:val="28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618"/>
        <w:gridCol w:w="8632"/>
        <w:gridCol w:w="549"/>
      </w:tblGrid>
      <w:tr w:rsidR="00851CD3">
        <w:trPr>
          <w:trHeight w:val="341"/>
        </w:trPr>
        <w:tc>
          <w:tcPr>
            <w:tcW w:w="618" w:type="dxa"/>
          </w:tcPr>
          <w:p w:rsidR="00851CD3" w:rsidRDefault="00E11BE2">
            <w:pPr>
              <w:pStyle w:val="TableParagraph"/>
              <w:spacing w:line="271" w:lineRule="exact"/>
              <w:ind w:left="200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1</w:t>
            </w:r>
            <w:proofErr w:type="gramEnd"/>
          </w:p>
        </w:tc>
        <w:tc>
          <w:tcPr>
            <w:tcW w:w="8632" w:type="dxa"/>
          </w:tcPr>
          <w:p w:rsidR="00851CD3" w:rsidRDefault="00E11BE2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b/>
                <w:sz w:val="24"/>
              </w:rPr>
              <w:t>INTRODUÇÃO</w:t>
            </w:r>
            <w:proofErr w:type="gramStart"/>
            <w:r>
              <w:rPr>
                <w:sz w:val="24"/>
              </w:rPr>
              <w:t>.............................................................................................................</w:t>
            </w:r>
            <w:proofErr w:type="gramEnd"/>
          </w:p>
        </w:tc>
        <w:tc>
          <w:tcPr>
            <w:tcW w:w="549" w:type="dxa"/>
          </w:tcPr>
          <w:p w:rsidR="00851CD3" w:rsidRDefault="00E11BE2">
            <w:pPr>
              <w:pStyle w:val="TableParagraph"/>
              <w:spacing w:line="266" w:lineRule="exact"/>
              <w:ind w:left="2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3</w:t>
            </w:r>
            <w:proofErr w:type="gramEnd"/>
          </w:p>
        </w:tc>
      </w:tr>
      <w:tr w:rsidR="00851CD3">
        <w:trPr>
          <w:trHeight w:val="430"/>
        </w:trPr>
        <w:tc>
          <w:tcPr>
            <w:tcW w:w="618" w:type="dxa"/>
          </w:tcPr>
          <w:p w:rsidR="00851CD3" w:rsidRDefault="00E11BE2">
            <w:pPr>
              <w:pStyle w:val="TableParagraph"/>
              <w:spacing w:before="65"/>
              <w:ind w:left="200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2</w:t>
            </w:r>
            <w:proofErr w:type="gramEnd"/>
          </w:p>
        </w:tc>
        <w:tc>
          <w:tcPr>
            <w:tcW w:w="8632" w:type="dxa"/>
          </w:tcPr>
          <w:p w:rsidR="00851CD3" w:rsidRDefault="00E11BE2">
            <w:pPr>
              <w:pStyle w:val="TableParagraph"/>
              <w:spacing w:before="61"/>
              <w:rPr>
                <w:sz w:val="24"/>
              </w:rPr>
            </w:pPr>
            <w:r>
              <w:rPr>
                <w:b/>
                <w:sz w:val="24"/>
              </w:rPr>
              <w:t>TRANSEXUAL: da sua concepção aos dias de hoje</w:t>
            </w:r>
            <w:proofErr w:type="gramStart"/>
            <w:r>
              <w:rPr>
                <w:sz w:val="24"/>
              </w:rPr>
              <w:t>.................................................</w:t>
            </w:r>
            <w:proofErr w:type="gramEnd"/>
          </w:p>
        </w:tc>
        <w:tc>
          <w:tcPr>
            <w:tcW w:w="549" w:type="dxa"/>
          </w:tcPr>
          <w:p w:rsidR="00851CD3" w:rsidRDefault="00E11BE2">
            <w:pPr>
              <w:pStyle w:val="TableParagraph"/>
              <w:spacing w:before="77"/>
              <w:ind w:left="2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4</w:t>
            </w:r>
            <w:proofErr w:type="gramEnd"/>
          </w:p>
        </w:tc>
      </w:tr>
      <w:tr w:rsidR="00851CD3">
        <w:trPr>
          <w:trHeight w:val="414"/>
        </w:trPr>
        <w:tc>
          <w:tcPr>
            <w:tcW w:w="618" w:type="dxa"/>
          </w:tcPr>
          <w:p w:rsidR="00851CD3" w:rsidRDefault="00E11BE2">
            <w:pPr>
              <w:pStyle w:val="TableParagraph"/>
              <w:spacing w:before="67"/>
              <w:ind w:left="200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3</w:t>
            </w:r>
            <w:proofErr w:type="gramEnd"/>
          </w:p>
        </w:tc>
        <w:tc>
          <w:tcPr>
            <w:tcW w:w="8632" w:type="dxa"/>
            <w:vMerge w:val="restart"/>
          </w:tcPr>
          <w:p w:rsidR="00851CD3" w:rsidRDefault="00E11BE2">
            <w:pPr>
              <w:pStyle w:val="TableParagraph"/>
              <w:tabs>
                <w:tab w:val="left" w:pos="498"/>
                <w:tab w:val="left" w:pos="3135"/>
                <w:tab w:val="left" w:pos="3825"/>
                <w:tab w:val="left" w:pos="4209"/>
                <w:tab w:val="left" w:pos="6115"/>
                <w:tab w:val="left" w:pos="6686"/>
                <w:tab w:val="left" w:pos="8175"/>
              </w:tabs>
              <w:spacing w:before="67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z w:val="24"/>
              </w:rPr>
              <w:tab/>
              <w:t>TRANSEXUALIDADE</w:t>
            </w:r>
            <w:r>
              <w:rPr>
                <w:b/>
                <w:sz w:val="24"/>
              </w:rPr>
              <w:tab/>
              <w:t>SOB</w:t>
            </w:r>
            <w:r>
              <w:rPr>
                <w:b/>
                <w:sz w:val="24"/>
              </w:rPr>
              <w:tab/>
              <w:t>A</w:t>
            </w:r>
            <w:r>
              <w:rPr>
                <w:b/>
                <w:sz w:val="24"/>
              </w:rPr>
              <w:tab/>
              <w:t>PERSPECTIVA</w:t>
            </w:r>
            <w:r>
              <w:rPr>
                <w:b/>
                <w:sz w:val="24"/>
              </w:rPr>
              <w:tab/>
              <w:t>DO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PRINCÍPIO</w:t>
            </w:r>
            <w:r>
              <w:rPr>
                <w:b/>
                <w:sz w:val="24"/>
              </w:rPr>
              <w:tab/>
              <w:t>DA</w:t>
            </w:r>
          </w:p>
          <w:p w:rsidR="00851CD3" w:rsidRDefault="00E11BE2">
            <w:pPr>
              <w:pStyle w:val="TableParagraph"/>
              <w:spacing w:before="132"/>
              <w:rPr>
                <w:sz w:val="24"/>
              </w:rPr>
            </w:pPr>
            <w:r>
              <w:rPr>
                <w:b/>
                <w:sz w:val="24"/>
              </w:rPr>
              <w:t>IGUALDADE</w:t>
            </w:r>
            <w:proofErr w:type="gramStart"/>
            <w:r>
              <w:rPr>
                <w:sz w:val="24"/>
              </w:rPr>
              <w:t>...........................................................................................................</w:t>
            </w:r>
            <w:proofErr w:type="gramEnd"/>
          </w:p>
        </w:tc>
        <w:tc>
          <w:tcPr>
            <w:tcW w:w="549" w:type="dxa"/>
          </w:tcPr>
          <w:p w:rsidR="00851CD3" w:rsidRDefault="00851CD3">
            <w:pPr>
              <w:pStyle w:val="TableParagraph"/>
              <w:ind w:left="0"/>
              <w:rPr>
                <w:sz w:val="24"/>
              </w:rPr>
            </w:pPr>
          </w:p>
        </w:tc>
      </w:tr>
      <w:tr w:rsidR="00851CD3">
        <w:trPr>
          <w:trHeight w:val="411"/>
        </w:trPr>
        <w:tc>
          <w:tcPr>
            <w:tcW w:w="618" w:type="dxa"/>
          </w:tcPr>
          <w:p w:rsidR="00851CD3" w:rsidRDefault="00851CD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32" w:type="dxa"/>
            <w:vMerge/>
            <w:tcBorders>
              <w:top w:val="nil"/>
            </w:tcBorders>
          </w:tcPr>
          <w:p w:rsidR="00851CD3" w:rsidRDefault="00851CD3">
            <w:pPr>
              <w:rPr>
                <w:sz w:val="2"/>
                <w:szCs w:val="2"/>
              </w:rPr>
            </w:pPr>
          </w:p>
        </w:tc>
        <w:tc>
          <w:tcPr>
            <w:tcW w:w="549" w:type="dxa"/>
          </w:tcPr>
          <w:p w:rsidR="00851CD3" w:rsidRDefault="00E11BE2">
            <w:pPr>
              <w:pStyle w:val="TableParagraph"/>
              <w:spacing w:before="61"/>
              <w:ind w:left="2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6</w:t>
            </w:r>
            <w:proofErr w:type="gramEnd"/>
          </w:p>
        </w:tc>
      </w:tr>
      <w:tr w:rsidR="00851CD3">
        <w:trPr>
          <w:trHeight w:val="424"/>
        </w:trPr>
        <w:tc>
          <w:tcPr>
            <w:tcW w:w="618" w:type="dxa"/>
          </w:tcPr>
          <w:p w:rsidR="00851CD3" w:rsidRDefault="00E11BE2">
            <w:pPr>
              <w:pStyle w:val="TableParagraph"/>
              <w:spacing w:before="69"/>
              <w:ind w:left="200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4</w:t>
            </w:r>
            <w:proofErr w:type="gramEnd"/>
          </w:p>
        </w:tc>
        <w:tc>
          <w:tcPr>
            <w:tcW w:w="8632" w:type="dxa"/>
          </w:tcPr>
          <w:p w:rsidR="00851CD3" w:rsidRDefault="00E11BE2">
            <w:pPr>
              <w:pStyle w:val="TableParagraph"/>
              <w:spacing w:before="64"/>
              <w:rPr>
                <w:sz w:val="24"/>
              </w:rPr>
            </w:pPr>
            <w:r>
              <w:rPr>
                <w:b/>
                <w:sz w:val="24"/>
              </w:rPr>
              <w:t>LEI MARIA DA PENHA: A transexual feminina como sinônimo de mulher</w:t>
            </w:r>
            <w:proofErr w:type="gramStart"/>
            <w:r>
              <w:rPr>
                <w:sz w:val="24"/>
              </w:rPr>
              <w:t>..........</w:t>
            </w:r>
            <w:proofErr w:type="gramEnd"/>
          </w:p>
        </w:tc>
        <w:tc>
          <w:tcPr>
            <w:tcW w:w="549" w:type="dxa"/>
          </w:tcPr>
          <w:p w:rsidR="00851CD3" w:rsidRDefault="00E11BE2">
            <w:pPr>
              <w:pStyle w:val="TableParagraph"/>
              <w:spacing w:before="64"/>
              <w:ind w:left="2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8</w:t>
            </w:r>
            <w:proofErr w:type="gramEnd"/>
          </w:p>
        </w:tc>
      </w:tr>
      <w:tr w:rsidR="00851CD3">
        <w:trPr>
          <w:trHeight w:val="436"/>
        </w:trPr>
        <w:tc>
          <w:tcPr>
            <w:tcW w:w="618" w:type="dxa"/>
          </w:tcPr>
          <w:p w:rsidR="00851CD3" w:rsidRDefault="00E11BE2">
            <w:pPr>
              <w:pStyle w:val="TableParagraph"/>
              <w:spacing w:before="74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4.1</w:t>
            </w:r>
          </w:p>
        </w:tc>
        <w:tc>
          <w:tcPr>
            <w:tcW w:w="8632" w:type="dxa"/>
          </w:tcPr>
          <w:p w:rsidR="00851CD3" w:rsidRDefault="00E11BE2">
            <w:pPr>
              <w:pStyle w:val="TableParagraph"/>
              <w:spacing w:before="69"/>
              <w:rPr>
                <w:sz w:val="24"/>
              </w:rPr>
            </w:pPr>
            <w:r>
              <w:rPr>
                <w:b/>
                <w:sz w:val="24"/>
              </w:rPr>
              <w:t>Violência contra a transexual feminina</w:t>
            </w:r>
            <w:proofErr w:type="gramStart"/>
            <w:r>
              <w:rPr>
                <w:sz w:val="24"/>
              </w:rPr>
              <w:t>.........................................................................</w:t>
            </w:r>
            <w:proofErr w:type="gramEnd"/>
          </w:p>
        </w:tc>
        <w:tc>
          <w:tcPr>
            <w:tcW w:w="549" w:type="dxa"/>
          </w:tcPr>
          <w:p w:rsidR="00851CD3" w:rsidRDefault="00E11BE2">
            <w:pPr>
              <w:pStyle w:val="TableParagraph"/>
              <w:spacing w:before="86"/>
              <w:ind w:left="2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8</w:t>
            </w:r>
            <w:proofErr w:type="gramEnd"/>
          </w:p>
        </w:tc>
      </w:tr>
      <w:tr w:rsidR="00851CD3">
        <w:trPr>
          <w:trHeight w:val="416"/>
        </w:trPr>
        <w:tc>
          <w:tcPr>
            <w:tcW w:w="618" w:type="dxa"/>
          </w:tcPr>
          <w:p w:rsidR="00851CD3" w:rsidRDefault="00E11BE2">
            <w:pPr>
              <w:pStyle w:val="TableParagraph"/>
              <w:spacing w:before="69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4.2</w:t>
            </w:r>
          </w:p>
        </w:tc>
        <w:tc>
          <w:tcPr>
            <w:tcW w:w="8632" w:type="dxa"/>
          </w:tcPr>
          <w:p w:rsidR="00851CD3" w:rsidRDefault="00E11BE2">
            <w:pPr>
              <w:pStyle w:val="TableParagraph"/>
              <w:spacing w:before="64"/>
              <w:rPr>
                <w:sz w:val="24"/>
              </w:rPr>
            </w:pPr>
            <w:r>
              <w:rPr>
                <w:b/>
                <w:sz w:val="24"/>
              </w:rPr>
              <w:t>Expansão do termo “mulher” às transexuais femininas</w:t>
            </w:r>
            <w:proofErr w:type="gramStart"/>
            <w:r>
              <w:rPr>
                <w:sz w:val="24"/>
              </w:rPr>
              <w:t>..............................................</w:t>
            </w:r>
            <w:proofErr w:type="gramEnd"/>
          </w:p>
        </w:tc>
        <w:tc>
          <w:tcPr>
            <w:tcW w:w="549" w:type="dxa"/>
          </w:tcPr>
          <w:p w:rsidR="00851CD3" w:rsidRDefault="00E11BE2">
            <w:pPr>
              <w:pStyle w:val="TableParagraph"/>
              <w:spacing w:before="64"/>
              <w:ind w:left="2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9</w:t>
            </w:r>
            <w:proofErr w:type="gramEnd"/>
          </w:p>
        </w:tc>
      </w:tr>
      <w:tr w:rsidR="00851CD3">
        <w:trPr>
          <w:trHeight w:val="422"/>
        </w:trPr>
        <w:tc>
          <w:tcPr>
            <w:tcW w:w="618" w:type="dxa"/>
          </w:tcPr>
          <w:p w:rsidR="00851CD3" w:rsidRDefault="00E11BE2">
            <w:pPr>
              <w:pStyle w:val="TableParagraph"/>
              <w:spacing w:before="66"/>
              <w:ind w:left="200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5</w:t>
            </w:r>
            <w:proofErr w:type="gramEnd"/>
          </w:p>
        </w:tc>
        <w:tc>
          <w:tcPr>
            <w:tcW w:w="8632" w:type="dxa"/>
          </w:tcPr>
          <w:p w:rsidR="00851CD3" w:rsidRDefault="00E11BE2">
            <w:pPr>
              <w:pStyle w:val="TableParagraph"/>
              <w:spacing w:before="61"/>
              <w:rPr>
                <w:sz w:val="24"/>
              </w:rPr>
            </w:pPr>
            <w:r>
              <w:rPr>
                <w:b/>
                <w:sz w:val="24"/>
              </w:rPr>
              <w:t>A MULHER SOB A ÈGIDE DA LEI MARIA DA PENHA</w:t>
            </w:r>
            <w:proofErr w:type="gramStart"/>
            <w:r>
              <w:rPr>
                <w:sz w:val="24"/>
              </w:rPr>
              <w:t>.......................................</w:t>
            </w:r>
            <w:proofErr w:type="gramEnd"/>
          </w:p>
        </w:tc>
        <w:tc>
          <w:tcPr>
            <w:tcW w:w="549" w:type="dxa"/>
          </w:tcPr>
          <w:p w:rsidR="00851CD3" w:rsidRDefault="00E11BE2">
            <w:pPr>
              <w:pStyle w:val="TableParagraph"/>
              <w:spacing w:before="61"/>
              <w:ind w:left="2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9</w:t>
            </w:r>
            <w:proofErr w:type="gramEnd"/>
          </w:p>
        </w:tc>
      </w:tr>
      <w:tr w:rsidR="00851CD3">
        <w:trPr>
          <w:trHeight w:val="432"/>
        </w:trPr>
        <w:tc>
          <w:tcPr>
            <w:tcW w:w="618" w:type="dxa"/>
          </w:tcPr>
          <w:p w:rsidR="00851CD3" w:rsidRDefault="00E11BE2">
            <w:pPr>
              <w:pStyle w:val="TableParagraph"/>
              <w:spacing w:before="75"/>
              <w:ind w:left="200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6</w:t>
            </w:r>
            <w:proofErr w:type="gramEnd"/>
          </w:p>
        </w:tc>
        <w:tc>
          <w:tcPr>
            <w:tcW w:w="8632" w:type="dxa"/>
          </w:tcPr>
          <w:p w:rsidR="00851CD3" w:rsidRDefault="00E11BE2">
            <w:pPr>
              <w:pStyle w:val="TableParagraph"/>
              <w:spacing w:before="70"/>
              <w:rPr>
                <w:sz w:val="24"/>
              </w:rPr>
            </w:pPr>
            <w:r>
              <w:rPr>
                <w:b/>
                <w:sz w:val="24"/>
              </w:rPr>
              <w:t>CONCLUSÃO</w:t>
            </w:r>
            <w:proofErr w:type="gramStart"/>
            <w:r>
              <w:rPr>
                <w:sz w:val="24"/>
              </w:rPr>
              <w:t>..........................................................................................................</w:t>
            </w:r>
            <w:r w:rsidR="000B58B8">
              <w:rPr>
                <w:sz w:val="24"/>
              </w:rPr>
              <w:t>..........</w:t>
            </w:r>
            <w:proofErr w:type="gramEnd"/>
          </w:p>
        </w:tc>
        <w:tc>
          <w:tcPr>
            <w:tcW w:w="549" w:type="dxa"/>
          </w:tcPr>
          <w:p w:rsidR="00851CD3" w:rsidRDefault="00E11BE2">
            <w:pPr>
              <w:pStyle w:val="TableParagraph"/>
              <w:spacing w:before="70"/>
              <w:ind w:left="89" w:right="18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851CD3">
        <w:trPr>
          <w:trHeight w:val="346"/>
        </w:trPr>
        <w:tc>
          <w:tcPr>
            <w:tcW w:w="618" w:type="dxa"/>
          </w:tcPr>
          <w:p w:rsidR="00851CD3" w:rsidRDefault="00851CD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32" w:type="dxa"/>
          </w:tcPr>
          <w:p w:rsidR="00851CD3" w:rsidRDefault="00E11BE2">
            <w:pPr>
              <w:pStyle w:val="TableParagraph"/>
              <w:spacing w:before="70" w:line="256" w:lineRule="exact"/>
              <w:rPr>
                <w:sz w:val="24"/>
              </w:rPr>
            </w:pPr>
            <w:r>
              <w:rPr>
                <w:b/>
                <w:sz w:val="24"/>
              </w:rPr>
              <w:t>REFERÊNCIAS</w:t>
            </w:r>
            <w:r>
              <w:rPr>
                <w:sz w:val="24"/>
              </w:rPr>
              <w:t>.......................................................................................................</w:t>
            </w:r>
            <w:r w:rsidR="000B58B8">
              <w:rPr>
                <w:sz w:val="24"/>
              </w:rPr>
              <w:t>...........</w:t>
            </w:r>
            <w:bookmarkStart w:id="0" w:name="_GoBack"/>
            <w:bookmarkEnd w:id="0"/>
          </w:p>
        </w:tc>
        <w:tc>
          <w:tcPr>
            <w:tcW w:w="549" w:type="dxa"/>
          </w:tcPr>
          <w:p w:rsidR="00851CD3" w:rsidRDefault="000B58B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13</w:t>
            </w:r>
          </w:p>
        </w:tc>
      </w:tr>
    </w:tbl>
    <w:p w:rsidR="00851CD3" w:rsidRDefault="00851CD3">
      <w:pPr>
        <w:rPr>
          <w:sz w:val="24"/>
        </w:rPr>
      </w:pPr>
    </w:p>
    <w:p w:rsidR="000B58B8" w:rsidRDefault="000B58B8">
      <w:pPr>
        <w:rPr>
          <w:sz w:val="24"/>
        </w:rPr>
      </w:pPr>
    </w:p>
    <w:p w:rsidR="000B58B8" w:rsidRDefault="000B58B8">
      <w:pPr>
        <w:rPr>
          <w:sz w:val="24"/>
        </w:rPr>
      </w:pPr>
    </w:p>
    <w:p w:rsidR="000B58B8" w:rsidRDefault="000B58B8">
      <w:pPr>
        <w:rPr>
          <w:sz w:val="24"/>
        </w:rPr>
      </w:pPr>
    </w:p>
    <w:p w:rsidR="000B58B8" w:rsidRDefault="000B58B8">
      <w:pPr>
        <w:rPr>
          <w:sz w:val="24"/>
        </w:rPr>
      </w:pPr>
    </w:p>
    <w:p w:rsidR="000B58B8" w:rsidRDefault="000B58B8">
      <w:pPr>
        <w:rPr>
          <w:sz w:val="24"/>
        </w:rPr>
      </w:pPr>
    </w:p>
    <w:p w:rsidR="000B58B8" w:rsidRDefault="000B58B8">
      <w:pPr>
        <w:rPr>
          <w:sz w:val="24"/>
        </w:rPr>
      </w:pPr>
    </w:p>
    <w:p w:rsidR="000B58B8" w:rsidRDefault="000B58B8">
      <w:pPr>
        <w:rPr>
          <w:sz w:val="24"/>
        </w:rPr>
      </w:pPr>
    </w:p>
    <w:p w:rsidR="000B58B8" w:rsidRDefault="000B58B8">
      <w:pPr>
        <w:rPr>
          <w:sz w:val="24"/>
        </w:rPr>
      </w:pPr>
    </w:p>
    <w:p w:rsidR="000B58B8" w:rsidRDefault="000B58B8">
      <w:pPr>
        <w:rPr>
          <w:sz w:val="24"/>
        </w:rPr>
      </w:pPr>
    </w:p>
    <w:p w:rsidR="000B58B8" w:rsidRDefault="000B58B8">
      <w:pPr>
        <w:rPr>
          <w:sz w:val="24"/>
        </w:rPr>
      </w:pPr>
    </w:p>
    <w:p w:rsidR="000B58B8" w:rsidRDefault="000B58B8">
      <w:pPr>
        <w:rPr>
          <w:sz w:val="24"/>
        </w:rPr>
      </w:pPr>
    </w:p>
    <w:p w:rsidR="000B58B8" w:rsidRDefault="000B58B8">
      <w:pPr>
        <w:rPr>
          <w:sz w:val="24"/>
        </w:rPr>
      </w:pPr>
    </w:p>
    <w:p w:rsidR="000B58B8" w:rsidRDefault="000B58B8">
      <w:pPr>
        <w:rPr>
          <w:sz w:val="24"/>
        </w:rPr>
        <w:sectPr w:rsidR="000B58B8">
          <w:headerReference w:type="default" r:id="rId10"/>
          <w:pgSz w:w="11910" w:h="16840"/>
          <w:pgMar w:top="1220" w:right="500" w:bottom="280" w:left="1400" w:header="566" w:footer="0" w:gutter="0"/>
          <w:cols w:space="720"/>
        </w:sectPr>
      </w:pPr>
    </w:p>
    <w:p w:rsidR="00851CD3" w:rsidRDefault="00851CD3">
      <w:pPr>
        <w:pStyle w:val="Corpodetexto"/>
        <w:spacing w:before="5"/>
        <w:rPr>
          <w:b/>
          <w:sz w:val="22"/>
        </w:rPr>
      </w:pPr>
    </w:p>
    <w:p w:rsidR="00851CD3" w:rsidRDefault="00E11BE2">
      <w:pPr>
        <w:pStyle w:val="Corpodetexto"/>
        <w:ind w:left="4337"/>
      </w:pPr>
      <w:r>
        <w:t>RESUMO</w:t>
      </w:r>
    </w:p>
    <w:p w:rsidR="00851CD3" w:rsidRDefault="00851CD3">
      <w:pPr>
        <w:pStyle w:val="Corpodetexto"/>
        <w:rPr>
          <w:sz w:val="26"/>
        </w:rPr>
      </w:pPr>
    </w:p>
    <w:p w:rsidR="00851CD3" w:rsidRDefault="00851CD3">
      <w:pPr>
        <w:pStyle w:val="Corpodetexto"/>
        <w:spacing w:before="9"/>
        <w:rPr>
          <w:sz w:val="21"/>
        </w:rPr>
      </w:pPr>
    </w:p>
    <w:p w:rsidR="00851CD3" w:rsidRDefault="00E11BE2">
      <w:pPr>
        <w:pStyle w:val="Corpodetexto"/>
        <w:ind w:left="302" w:right="628"/>
        <w:jc w:val="both"/>
      </w:pPr>
      <w:r>
        <w:t>Este paper visa estabelecer uma análise sobre a possibilidade de expansão do termo “mulher” às transexuais femininas para fins de aplicação da Lei 11.340/2006 (Lei Maria da Penha). Com a delimitação do tema, passa-se a perceber uma nova perspectiva em torn</w:t>
      </w:r>
      <w:r>
        <w:t>o do que até então se entendia a respeito dos conceitos de sexo, gênero e sexualidade. A lei Maria da</w:t>
      </w:r>
      <w:proofErr w:type="gramStart"/>
      <w:r>
        <w:t xml:space="preserve">  </w:t>
      </w:r>
      <w:proofErr w:type="gramEnd"/>
      <w:r>
        <w:t>Penha tem como principal objetivo proteger todas as mulheres, sem qualquer tipo de distinção, das constantes violências, ameaças ou agressões das quais e</w:t>
      </w:r>
      <w:r>
        <w:t>stas são vitimas diariamente a todo instante. Contudo antes de se realizar qualquer analise em torno deste tema, será necessário observar as transformações que a sociedade sofreu no concerne à questão da sexualidade e principalmente do gênero, dando margem</w:t>
      </w:r>
      <w:r>
        <w:t xml:space="preserve"> para ensejar uma comparação entre a mulher e a transexual feminina que também é uma mulher. E, por fim, realizar de fato a análise e discutir se há possibilidade da Lei Maria da Penha proteger e resguardar a transexual feminina que atualmente se encontra </w:t>
      </w:r>
      <w:r>
        <w:t>em uma classe que vive</w:t>
      </w:r>
      <w:r>
        <w:rPr>
          <w:spacing w:val="26"/>
        </w:rPr>
        <w:t xml:space="preserve"> </w:t>
      </w:r>
      <w:r>
        <w:t xml:space="preserve">à margem da sociedade, carecendo também de uma legislação adaptada para os dias atuais. A pesquisa por ter um cunho exploratório visa nos aproximar do assunto estudado, partindo de uma proposição particular até chegar uma proposição </w:t>
      </w:r>
      <w:r>
        <w:t>geral, por meio de uma abordagem indutiva.</w:t>
      </w:r>
    </w:p>
    <w:p w:rsidR="00851CD3" w:rsidRDefault="00851CD3">
      <w:pPr>
        <w:pStyle w:val="Corpodetexto"/>
        <w:spacing w:before="9"/>
        <w:rPr>
          <w:sz w:val="36"/>
        </w:rPr>
      </w:pPr>
    </w:p>
    <w:p w:rsidR="00851CD3" w:rsidRDefault="00E11BE2">
      <w:pPr>
        <w:pStyle w:val="Ttulo1"/>
        <w:spacing w:line="720" w:lineRule="auto"/>
        <w:ind w:right="3148"/>
      </w:pPr>
      <w:r>
        <w:t xml:space="preserve">Palavras-chave: Transexual feminina. Gênero. Maria da Penha. </w:t>
      </w:r>
      <w:proofErr w:type="gramStart"/>
      <w:r>
        <w:t>1</w:t>
      </w:r>
      <w:proofErr w:type="gramEnd"/>
      <w:r>
        <w:t xml:space="preserve"> INTRODUÇÃO</w:t>
      </w:r>
    </w:p>
    <w:p w:rsidR="00851CD3" w:rsidRDefault="00E11BE2">
      <w:pPr>
        <w:pStyle w:val="Corpodetexto"/>
        <w:spacing w:line="360" w:lineRule="auto"/>
        <w:ind w:left="302" w:right="632" w:firstLine="1132"/>
        <w:jc w:val="both"/>
      </w:pPr>
      <w:r>
        <w:t>Stuart Hall ao construir seu trabalho sobre a identidade na pós-modernidade, tão logo compreende que as velhas identidades que foram const</w:t>
      </w:r>
      <w:r>
        <w:t xml:space="preserve">ruídas com o passar do tempo e moldaram o pensamento da sociedade </w:t>
      </w:r>
      <w:proofErr w:type="gramStart"/>
      <w:r>
        <w:t>estão</w:t>
      </w:r>
      <w:proofErr w:type="gramEnd"/>
      <w:r>
        <w:t xml:space="preserve"> cada vez mais em declínio, provocando por si só uma “crise de identidade”, por assim dizer. É importante salientar tal pensamento logo ao começo deste </w:t>
      </w:r>
      <w:r>
        <w:rPr>
          <w:i/>
        </w:rPr>
        <w:t xml:space="preserve">paper </w:t>
      </w:r>
      <w:r>
        <w:t>para demonstrar que de fato</w:t>
      </w:r>
      <w:r>
        <w:t xml:space="preserve"> vivemos num período em que os paradigmas estão se rompendo e novas concepções de mundo estão nascendo. Principalmente, para abarcar a gama de direitos que começa a se destacar de pedaços componentes de um</w:t>
      </w:r>
      <w:r>
        <w:rPr>
          <w:spacing w:val="-7"/>
        </w:rPr>
        <w:t xml:space="preserve"> </w:t>
      </w:r>
      <w:r>
        <w:t>todo.</w:t>
      </w:r>
    </w:p>
    <w:p w:rsidR="00851CD3" w:rsidRDefault="00E11BE2">
      <w:pPr>
        <w:pStyle w:val="Corpodetexto"/>
        <w:spacing w:line="360" w:lineRule="auto"/>
        <w:ind w:left="302" w:right="630" w:firstLine="1132"/>
        <w:jc w:val="both"/>
      </w:pPr>
      <w:r>
        <w:t>É nesse sentido que passamos a trabalhar com</w:t>
      </w:r>
      <w:r>
        <w:t xml:space="preserve"> a temática das transexuais femininas, seres humanos que escolheram expor </w:t>
      </w:r>
      <w:proofErr w:type="gramStart"/>
      <w:r>
        <w:t>à</w:t>
      </w:r>
      <w:proofErr w:type="gramEnd"/>
      <w:r>
        <w:t xml:space="preserve"> todos que a identidade criada por uma sociedade já não as basta. Precisa-se ir mais além para compreender isso, principalmente porque o cerne da questão reside no tema da identidad</w:t>
      </w:r>
      <w:r>
        <w:t>e. Identidade esta, definida como sendo de gênero, que resumidamente pode ser compreendida como um estado no qual a pessoa se sente, independentemente de ter nascido num corpo diferente do que sua mente a</w:t>
      </w:r>
      <w:r>
        <w:rPr>
          <w:spacing w:val="-10"/>
        </w:rPr>
        <w:t xml:space="preserve"> </w:t>
      </w:r>
      <w:r>
        <w:t>idealiza.</w:t>
      </w:r>
    </w:p>
    <w:p w:rsidR="00851CD3" w:rsidRDefault="00E11BE2">
      <w:pPr>
        <w:pStyle w:val="Corpodetexto"/>
        <w:spacing w:line="360" w:lineRule="auto"/>
        <w:ind w:left="302" w:right="631" w:firstLine="1132"/>
        <w:jc w:val="both"/>
        <w:rPr>
          <w:i/>
        </w:rPr>
      </w:pPr>
      <w:r>
        <w:t xml:space="preserve">Para melhor compreender este tema, passa-se a discutir primeiramente a questão histórica pelo qual perpassa todo o movimento trans. Por isso, a primeira seção deste </w:t>
      </w:r>
      <w:proofErr w:type="gramStart"/>
      <w:r>
        <w:rPr>
          <w:i/>
        </w:rPr>
        <w:t>paper</w:t>
      </w:r>
      <w:proofErr w:type="gramEnd"/>
    </w:p>
    <w:p w:rsidR="00851CD3" w:rsidRDefault="00851CD3">
      <w:pPr>
        <w:spacing w:line="360" w:lineRule="auto"/>
        <w:jc w:val="both"/>
        <w:sectPr w:rsidR="00851CD3">
          <w:headerReference w:type="default" r:id="rId11"/>
          <w:pgSz w:w="11910" w:h="16840"/>
          <w:pgMar w:top="920" w:right="500" w:bottom="280" w:left="1400" w:header="710" w:footer="0" w:gutter="0"/>
          <w:pgNumType w:start="3"/>
          <w:cols w:space="720"/>
        </w:sectPr>
      </w:pPr>
    </w:p>
    <w:p w:rsidR="00851CD3" w:rsidRDefault="00851CD3">
      <w:pPr>
        <w:pStyle w:val="Corpodetexto"/>
        <w:rPr>
          <w:i/>
          <w:sz w:val="20"/>
        </w:rPr>
      </w:pPr>
    </w:p>
    <w:p w:rsidR="00851CD3" w:rsidRDefault="00851CD3">
      <w:pPr>
        <w:pStyle w:val="Corpodetexto"/>
        <w:rPr>
          <w:i/>
          <w:sz w:val="20"/>
        </w:rPr>
      </w:pPr>
    </w:p>
    <w:p w:rsidR="00851CD3" w:rsidRDefault="00851CD3">
      <w:pPr>
        <w:pStyle w:val="Corpodetexto"/>
        <w:spacing w:before="8"/>
        <w:rPr>
          <w:i/>
          <w:sz w:val="18"/>
        </w:rPr>
      </w:pPr>
    </w:p>
    <w:p w:rsidR="00851CD3" w:rsidRDefault="00E11BE2">
      <w:pPr>
        <w:pStyle w:val="Corpodetexto"/>
        <w:spacing w:before="90" w:line="360" w:lineRule="auto"/>
        <w:ind w:left="302" w:right="628"/>
        <w:jc w:val="both"/>
      </w:pPr>
      <w:proofErr w:type="gramStart"/>
      <w:r>
        <w:t>passa</w:t>
      </w:r>
      <w:proofErr w:type="gramEnd"/>
      <w:r>
        <w:t xml:space="preserve"> a investigar o período pelo qual a</w:t>
      </w:r>
      <w:r>
        <w:t xml:space="preserve"> sociedade começa a observar casos de pessoas que tem dificuldade em se reconhecer no corpo em que nasceu. A partir então </w:t>
      </w:r>
      <w:proofErr w:type="gramStart"/>
      <w:r>
        <w:t>busca-se</w:t>
      </w:r>
      <w:proofErr w:type="gramEnd"/>
      <w:r>
        <w:t xml:space="preserve"> entender como se dá o primeiro contato, quem se propõe a se debruçar sobre o tema e construir alguma definição capaz de dar c</w:t>
      </w:r>
      <w:r>
        <w:t>onta dessa crise de identidade, do novo paradigma que começa a tomar</w:t>
      </w:r>
      <w:r>
        <w:rPr>
          <w:spacing w:val="-1"/>
        </w:rPr>
        <w:t xml:space="preserve"> </w:t>
      </w:r>
      <w:r>
        <w:t>forma.</w:t>
      </w:r>
    </w:p>
    <w:p w:rsidR="00851CD3" w:rsidRDefault="00E11BE2">
      <w:pPr>
        <w:pStyle w:val="Corpodetexto"/>
        <w:spacing w:line="360" w:lineRule="auto"/>
        <w:ind w:left="302" w:right="628" w:firstLine="1132"/>
        <w:jc w:val="both"/>
      </w:pPr>
      <w:r>
        <w:t xml:space="preserve">Observa-se que o movimento trans começa de maneira pequena e começa a tomar proporções maiores conforme o tempo passa e as transformações sociais que se adequam ao novo movimento. </w:t>
      </w:r>
      <w:r>
        <w:t xml:space="preserve">A partir de grupos sociais marginalizados pela sociedade, como homossexuais, lésbicas, dentre outros, todos estes movimentos passaram a buscar por mais e mais direitos que lhe pudessem conferir alguma dignidade. Trazendo tal perspectiva para o Brasil, com </w:t>
      </w:r>
      <w:r>
        <w:t>a promulgação da Constituição Federal de 1988, direitos e garantias individuais passam a ser ofertados a todos os cidadãos brasileiros. O exemplo clássico – direito à igualdade.</w:t>
      </w:r>
    </w:p>
    <w:p w:rsidR="00851CD3" w:rsidRDefault="00E11BE2">
      <w:pPr>
        <w:pStyle w:val="Corpodetexto"/>
        <w:spacing w:line="360" w:lineRule="auto"/>
        <w:ind w:left="302" w:right="630" w:firstLine="1132"/>
        <w:jc w:val="both"/>
      </w:pPr>
      <w:r>
        <w:t xml:space="preserve">O direito a igualdade é o ponto central da segunda seção deste </w:t>
      </w:r>
      <w:r>
        <w:rPr>
          <w:i/>
        </w:rPr>
        <w:t xml:space="preserve">paper </w:t>
      </w:r>
      <w:r>
        <w:t xml:space="preserve">em que </w:t>
      </w:r>
      <w:proofErr w:type="gramStart"/>
      <w:r>
        <w:t>bu</w:t>
      </w:r>
      <w:r>
        <w:t>sca-se</w:t>
      </w:r>
      <w:proofErr w:type="gramEnd"/>
      <w:r>
        <w:t xml:space="preserve"> efetivar o comando normativo deixado pelo Poder Constituinte Originário fazendo com que todos pudessem ser vistos de maneira igual perante à lei, levando sempre conta outro pilar da sociedade brasileira – a dignidade da pessoa humana. Nesse ínterim </w:t>
      </w:r>
      <w:r>
        <w:t>passa-se a observar que as pessoas inerentes ao movimento trans são sujeitos de direitos como quaisquer outros cidadãos desta República, o que lhe confere os mesmos direitos e deveres.</w:t>
      </w:r>
    </w:p>
    <w:p w:rsidR="00851CD3" w:rsidRDefault="00E11BE2">
      <w:pPr>
        <w:pStyle w:val="Corpodetexto"/>
        <w:spacing w:line="360" w:lineRule="auto"/>
        <w:ind w:left="302" w:right="635" w:firstLine="1132"/>
        <w:jc w:val="both"/>
      </w:pPr>
      <w:r>
        <w:t>Abre-se o olhar crítico nesta seara, para chegar ao ponto chave de disc</w:t>
      </w:r>
      <w:r>
        <w:t xml:space="preserve">ussão deste </w:t>
      </w:r>
      <w:r>
        <w:rPr>
          <w:i/>
        </w:rPr>
        <w:t>paper</w:t>
      </w:r>
      <w:r>
        <w:t xml:space="preserve">, a ser </w:t>
      </w:r>
      <w:proofErr w:type="gramStart"/>
      <w:r>
        <w:t>tratado</w:t>
      </w:r>
      <w:proofErr w:type="gramEnd"/>
      <w:r>
        <w:t xml:space="preserve"> na terceira seção, a expansão de um termo projetado por uma lei protecionista às mulheres do Brasil, vítimas de violência doméstica. Ora, tal discussão é bastante salutar uma vez que </w:t>
      </w:r>
      <w:proofErr w:type="gramStart"/>
      <w:r>
        <w:t>têm-se</w:t>
      </w:r>
      <w:proofErr w:type="gramEnd"/>
      <w:r>
        <w:t xml:space="preserve"> pessoas que se reconhecem como um</w:t>
      </w:r>
      <w:r>
        <w:t>a mulher, ainda que tenham nascido num corpo masculino e faz-se isso, pois o termo trazido pela legislação é esse</w:t>
      </w:r>
    </w:p>
    <w:p w:rsidR="00851CD3" w:rsidRDefault="00E11BE2">
      <w:pPr>
        <w:pStyle w:val="Corpodetexto"/>
        <w:spacing w:line="360" w:lineRule="auto"/>
        <w:ind w:left="302" w:right="634"/>
        <w:jc w:val="both"/>
      </w:pPr>
      <w:r>
        <w:t>– mulher. Nesse sentido, Simone de Beauvoir é felicíssima em sua colocação quando diz que “não se nasce mulher, torna-se” sendo, portanto totalmente palpável a possibilidade de se pensar em tal expansão.</w:t>
      </w:r>
    </w:p>
    <w:p w:rsidR="00851CD3" w:rsidRDefault="00851CD3">
      <w:pPr>
        <w:pStyle w:val="Corpodetexto"/>
        <w:spacing w:before="5"/>
        <w:rPr>
          <w:sz w:val="36"/>
        </w:rPr>
      </w:pPr>
    </w:p>
    <w:p w:rsidR="00851CD3" w:rsidRDefault="00E11BE2">
      <w:pPr>
        <w:pStyle w:val="Ttulo1"/>
        <w:numPr>
          <w:ilvl w:val="0"/>
          <w:numId w:val="1"/>
        </w:numPr>
        <w:tabs>
          <w:tab w:val="left" w:pos="483"/>
        </w:tabs>
      </w:pPr>
      <w:r>
        <w:t>TRANSEXUAL: da sua concepção aos dias de</w:t>
      </w:r>
      <w:r>
        <w:rPr>
          <w:spacing w:val="-2"/>
        </w:rPr>
        <w:t xml:space="preserve"> </w:t>
      </w:r>
      <w:r>
        <w:t>hoje.</w:t>
      </w:r>
    </w:p>
    <w:p w:rsidR="00851CD3" w:rsidRDefault="00851CD3">
      <w:pPr>
        <w:pStyle w:val="Corpodetexto"/>
        <w:rPr>
          <w:b/>
          <w:sz w:val="26"/>
        </w:rPr>
      </w:pPr>
    </w:p>
    <w:p w:rsidR="00851CD3" w:rsidRDefault="00851CD3">
      <w:pPr>
        <w:pStyle w:val="Corpodetexto"/>
        <w:spacing w:before="7"/>
        <w:rPr>
          <w:b/>
          <w:sz w:val="21"/>
        </w:rPr>
      </w:pPr>
    </w:p>
    <w:p w:rsidR="00851CD3" w:rsidRDefault="00E11BE2">
      <w:pPr>
        <w:pStyle w:val="Corpodetexto"/>
        <w:spacing w:line="360" w:lineRule="auto"/>
        <w:ind w:left="302" w:right="632" w:firstLine="1132"/>
        <w:jc w:val="both"/>
      </w:pPr>
      <w:r>
        <w:t>Os</w:t>
      </w:r>
      <w:r>
        <w:t xml:space="preserve"> seres humanos ao longo de sua existência experimentam diversas experiências, que na maioria das vezes constituem aspectos de sua identidade. É por tal razão que talvez se passe a perceber que as pessoas tendem a se identificar com lugares, com outras pess</w:t>
      </w:r>
      <w:r>
        <w:t>oas,</w:t>
      </w:r>
    </w:p>
    <w:p w:rsidR="00851CD3" w:rsidRDefault="00851CD3">
      <w:pPr>
        <w:spacing w:line="360" w:lineRule="auto"/>
        <w:jc w:val="both"/>
        <w:sectPr w:rsidR="00851CD3">
          <w:pgSz w:w="11910" w:h="16840"/>
          <w:pgMar w:top="920" w:right="500" w:bottom="280" w:left="1400" w:header="710" w:footer="0" w:gutter="0"/>
          <w:cols w:space="720"/>
        </w:sectPr>
      </w:pPr>
    </w:p>
    <w:p w:rsidR="00851CD3" w:rsidRDefault="00851CD3">
      <w:pPr>
        <w:pStyle w:val="Corpodetexto"/>
        <w:rPr>
          <w:sz w:val="20"/>
        </w:rPr>
      </w:pPr>
    </w:p>
    <w:p w:rsidR="00851CD3" w:rsidRDefault="00851CD3">
      <w:pPr>
        <w:pStyle w:val="Corpodetexto"/>
        <w:rPr>
          <w:sz w:val="20"/>
        </w:rPr>
      </w:pPr>
    </w:p>
    <w:p w:rsidR="00851CD3" w:rsidRDefault="00851CD3">
      <w:pPr>
        <w:pStyle w:val="Corpodetexto"/>
        <w:spacing w:before="8"/>
        <w:rPr>
          <w:sz w:val="18"/>
        </w:rPr>
      </w:pPr>
    </w:p>
    <w:p w:rsidR="00851CD3" w:rsidRDefault="00E11BE2">
      <w:pPr>
        <w:pStyle w:val="Corpodetexto"/>
        <w:spacing w:before="90" w:line="360" w:lineRule="auto"/>
        <w:ind w:left="302"/>
      </w:pPr>
      <w:proofErr w:type="gramStart"/>
      <w:r>
        <w:t>sensações</w:t>
      </w:r>
      <w:proofErr w:type="gramEnd"/>
      <w:r>
        <w:t>, cheiros e odores, entre outros. Um desses aspectos é importante para moldar nossa identidade sexual – a identificação de um ser com outro.</w:t>
      </w:r>
    </w:p>
    <w:p w:rsidR="00851CD3" w:rsidRDefault="00E11BE2">
      <w:pPr>
        <w:pStyle w:val="Corpodetexto"/>
        <w:spacing w:line="360" w:lineRule="auto"/>
        <w:ind w:left="302" w:right="634" w:firstLine="1132"/>
        <w:jc w:val="both"/>
      </w:pPr>
      <w:r>
        <w:t xml:space="preserve">Parece óbvio perceber que essa identidade é construída socialmente por algo que </w:t>
      </w:r>
      <w:r>
        <w:t>nos é imposto, como uma regra. Desde pequeninas crianças são contadas histórias que tentam legitimar o conceito de macho e fêmea, e que esta combinação é a correta. Se se sair deste padrão, há algum problema.</w:t>
      </w:r>
    </w:p>
    <w:p w:rsidR="00851CD3" w:rsidRDefault="00E11BE2">
      <w:pPr>
        <w:pStyle w:val="Corpodetexto"/>
        <w:spacing w:line="360" w:lineRule="auto"/>
        <w:ind w:left="302" w:right="630" w:firstLine="1132"/>
        <w:jc w:val="both"/>
      </w:pPr>
      <w:r>
        <w:t>O transexualismo, termo assim definido pela med</w:t>
      </w:r>
      <w:r>
        <w:t>icina em geral, caracteriza-se pelo sentimento intenso de não pertencimento ao sexo anatômico, mas a partir de quando isso passa a se amostrar perante a sociedade? Maria Berenice Dias e Letícia Zenevich (2014) afirma que não há um período histórico correto</w:t>
      </w:r>
      <w:r>
        <w:t xml:space="preserve"> para dizer quando se tem realmente relatos sobrea transexualidade.</w:t>
      </w:r>
    </w:p>
    <w:p w:rsidR="00851CD3" w:rsidRDefault="00E11BE2">
      <w:pPr>
        <w:pStyle w:val="Corpodetexto"/>
        <w:spacing w:line="360" w:lineRule="auto"/>
        <w:ind w:left="302" w:right="630" w:firstLine="1132"/>
        <w:jc w:val="both"/>
      </w:pPr>
      <w:r>
        <w:t xml:space="preserve">Na década de 1920, começaram a surgir os primeiros relatos de cirurgia de mudança de sexo, na maioria das vezes associados aos casos de hermafroditismo e tinham um objetivo claro: adequar </w:t>
      </w:r>
      <w:r>
        <w:t>a genitália ao sexo verdadeiro. Com o passar do tempo e a chegada da década de 1950, final da Segunda Grande Guerra Mundial, os médicos passaram a lidar com casos de mutilação, advindos de ferimentos de guerra, precisando aprender como operá-las e como rea</w:t>
      </w:r>
      <w:r>
        <w:t>lizar enxertos. (DIAS; ZENEVICH, 2014)</w:t>
      </w:r>
    </w:p>
    <w:p w:rsidR="00851CD3" w:rsidRDefault="00E11BE2">
      <w:pPr>
        <w:pStyle w:val="Corpodetexto"/>
        <w:spacing w:line="360" w:lineRule="auto"/>
        <w:ind w:left="302" w:right="633" w:firstLine="1132"/>
        <w:jc w:val="both"/>
      </w:pPr>
      <w:r>
        <w:t>É importante perceber que o fato de uma pessoa ter passado por uma experiência traumática como era o caso de uma mutilação, principalmente para os homens, já por si só causa estranheza, pois aquele “ser” que ao se olhar no espelho percebendo não haver qual</w:t>
      </w:r>
      <w:r>
        <w:t>quer genitália masculina já acredita não pertencer mais aquele gênero, desejando transmutar-se.</w:t>
      </w:r>
    </w:p>
    <w:p w:rsidR="00851CD3" w:rsidRDefault="00E11BE2">
      <w:pPr>
        <w:pStyle w:val="Corpodetexto"/>
        <w:spacing w:before="1" w:line="360" w:lineRule="auto"/>
        <w:ind w:left="302" w:right="629" w:firstLine="1132"/>
        <w:jc w:val="both"/>
      </w:pPr>
      <w:r>
        <w:t>Contudo, o ideário nazista permanecia na mente das pessoas, o homem por</w:t>
      </w:r>
      <w:proofErr w:type="gramStart"/>
      <w:r>
        <w:t xml:space="preserve">  </w:t>
      </w:r>
      <w:proofErr w:type="gramEnd"/>
      <w:r>
        <w:t>possuir genitália masculina deveria se portar como um homem, a mulher da mesma forma. J</w:t>
      </w:r>
      <w:r>
        <w:t xml:space="preserve">á os transexuais foram buscar isso em dosagens hormonais, uma vez que repulsam o sexo anatômico sob o qual nasceram. O paradigma sobre isso recaiu no caso de um soldado que conseguiu tratamento hormonal depois de contar uma mentira afirmando que era </w:t>
      </w:r>
      <w:proofErr w:type="gramStart"/>
      <w:r>
        <w:t>hermaf</w:t>
      </w:r>
      <w:r>
        <w:t>rodita, o</w:t>
      </w:r>
      <w:proofErr w:type="gramEnd"/>
      <w:r>
        <w:t xml:space="preserve"> que levou as equipe médica a acreditar nele uma vez que possuía silhueta feminina. (DIAS; ZENEVICH,</w:t>
      </w:r>
      <w:r>
        <w:rPr>
          <w:spacing w:val="1"/>
        </w:rPr>
        <w:t xml:space="preserve"> </w:t>
      </w:r>
      <w:r>
        <w:t>2014)</w:t>
      </w:r>
    </w:p>
    <w:p w:rsidR="00851CD3" w:rsidRDefault="00E11BE2">
      <w:pPr>
        <w:pStyle w:val="Corpodetexto"/>
        <w:spacing w:line="360" w:lineRule="auto"/>
        <w:ind w:left="302" w:right="634" w:firstLine="1132"/>
        <w:jc w:val="both"/>
      </w:pPr>
      <w:r>
        <w:t>A partir de então, tem-se a abertura acerca dos transexuais. Berenice Bento e Larissa Pelúcio trabalham acerca da mesma perspectiva. A partir de então, o transexualismo começa a figurar como uma patologia no Catalogo Internacional de Doenças, em 1992.</w:t>
      </w:r>
    </w:p>
    <w:p w:rsidR="00851CD3" w:rsidRDefault="00E11BE2">
      <w:pPr>
        <w:pStyle w:val="Corpodetexto"/>
        <w:spacing w:line="360" w:lineRule="auto"/>
        <w:ind w:left="302" w:right="633" w:firstLine="1192"/>
        <w:jc w:val="both"/>
      </w:pPr>
      <w:r>
        <w:t>Bere</w:t>
      </w:r>
      <w:r>
        <w:t>nice Dias (2014) afirma que a mesma coisa que aconteceu com os homossexuais aconteceu aos transexuais, onde ambos deixaram de figurar numa perspectiva de devasso e pervertido para ser um doente. O problema quanto a isso é que o ser transexual</w:t>
      </w:r>
    </w:p>
    <w:p w:rsidR="00851CD3" w:rsidRDefault="00851CD3">
      <w:pPr>
        <w:spacing w:line="360" w:lineRule="auto"/>
        <w:jc w:val="both"/>
        <w:sectPr w:rsidR="00851CD3">
          <w:pgSz w:w="11910" w:h="16840"/>
          <w:pgMar w:top="920" w:right="500" w:bottom="280" w:left="1400" w:header="710" w:footer="0" w:gutter="0"/>
          <w:cols w:space="720"/>
        </w:sectPr>
      </w:pPr>
    </w:p>
    <w:p w:rsidR="00851CD3" w:rsidRDefault="00851CD3">
      <w:pPr>
        <w:pStyle w:val="Corpodetexto"/>
        <w:rPr>
          <w:sz w:val="20"/>
        </w:rPr>
      </w:pPr>
    </w:p>
    <w:p w:rsidR="00851CD3" w:rsidRDefault="00851CD3">
      <w:pPr>
        <w:pStyle w:val="Corpodetexto"/>
        <w:rPr>
          <w:sz w:val="20"/>
        </w:rPr>
      </w:pPr>
    </w:p>
    <w:p w:rsidR="00851CD3" w:rsidRDefault="00851CD3">
      <w:pPr>
        <w:pStyle w:val="Corpodetexto"/>
        <w:spacing w:before="8"/>
        <w:rPr>
          <w:sz w:val="18"/>
        </w:rPr>
      </w:pPr>
    </w:p>
    <w:p w:rsidR="00851CD3" w:rsidRDefault="00E11BE2">
      <w:pPr>
        <w:pStyle w:val="Corpodetexto"/>
        <w:spacing w:before="90" w:line="360" w:lineRule="auto"/>
        <w:ind w:left="302" w:right="632"/>
        <w:jc w:val="both"/>
      </w:pPr>
      <w:proofErr w:type="gramStart"/>
      <w:r>
        <w:t>precisa</w:t>
      </w:r>
      <w:proofErr w:type="gramEnd"/>
      <w:r>
        <w:t xml:space="preserve"> de um “aval” de um terceiro para se autoafirmar perante a sociedade. Isso sem dúvida frustra o individuo transexual, uma vez que é ele quem se sente. É ele quem produz a sua transexualidade. De outro modo, o paciente já sabe q</w:t>
      </w:r>
      <w:r>
        <w:t xml:space="preserve">ue é transexual, logo vai ao médico buscando a forma de se submeter </w:t>
      </w:r>
      <w:proofErr w:type="gramStart"/>
      <w:r>
        <w:t>a</w:t>
      </w:r>
      <w:proofErr w:type="gramEnd"/>
      <w:r>
        <w:t xml:space="preserve"> cirurgia de transgenitalização, e não para receber um diagnostico de que é transexual.</w:t>
      </w:r>
    </w:p>
    <w:p w:rsidR="00851CD3" w:rsidRDefault="00E11BE2">
      <w:pPr>
        <w:pStyle w:val="Corpodetexto"/>
        <w:spacing w:line="360" w:lineRule="auto"/>
        <w:ind w:left="302" w:right="626" w:firstLine="1132"/>
        <w:jc w:val="both"/>
      </w:pPr>
      <w:r>
        <w:t>Tanto é assim, que atualmente alguns países já deixaram de considerar como transtorno ou propriamen</w:t>
      </w:r>
      <w:r>
        <w:t xml:space="preserve">te doença o aspecto do transexualismo, a exemplo disso </w:t>
      </w:r>
      <w:proofErr w:type="gramStart"/>
      <w:r>
        <w:t>a</w:t>
      </w:r>
      <w:proofErr w:type="gramEnd"/>
      <w:r>
        <w:t xml:space="preserve"> França em 2010. Na Austrália, em 2011, a pessoa é considerada sem sexo quando não se encaixa em masculino e feminino. E até mesmo aqui na América Latina já </w:t>
      </w:r>
      <w:proofErr w:type="gramStart"/>
      <w:r>
        <w:t>tem-se</w:t>
      </w:r>
      <w:proofErr w:type="gramEnd"/>
      <w:r>
        <w:t xml:space="preserve"> avanços neste aspecto. Nos países pr</w:t>
      </w:r>
      <w:r>
        <w:t>é-colombianos, já existe um movimento de reconhecimento de identidade, na Argentina já editou lei de reconhecimento ao cidadão transexual. No Brasil há o estatuto da Diversidade Sexual, que igualam as pessoas de condições sexo-genéricas em um mesmo patamar</w:t>
      </w:r>
      <w:r>
        <w:t xml:space="preserve"> de igualdade civil. (DIAS, ZENEVICH, 2014)</w:t>
      </w:r>
    </w:p>
    <w:p w:rsidR="00851CD3" w:rsidRDefault="00E11BE2">
      <w:pPr>
        <w:pStyle w:val="Corpodetexto"/>
        <w:spacing w:line="360" w:lineRule="auto"/>
        <w:ind w:left="302" w:right="634" w:firstLine="1132"/>
        <w:jc w:val="both"/>
      </w:pPr>
      <w:r>
        <w:t>Portanto, inegável perceber os avanços que a comunidade transexual tem angariado com o passar dos anos. No Brasil ainda se está longe de garantir mais e mais direitos a tal comunidade, tendo como objetivo o recon</w:t>
      </w:r>
      <w:r>
        <w:t xml:space="preserve">hecimento de que ser transexual não se trata de uma doença, mas um estado de reconhecimento do sujeito. Garantir direitos sociais de forma igualitária a essas pessoas é </w:t>
      </w:r>
      <w:proofErr w:type="gramStart"/>
      <w:r>
        <w:t>estar</w:t>
      </w:r>
      <w:proofErr w:type="gramEnd"/>
      <w:r>
        <w:t xml:space="preserve"> promovendo executividade as normas de igualdade previstas na Constituição Federal</w:t>
      </w:r>
      <w:r>
        <w:t xml:space="preserve"> de</w:t>
      </w:r>
      <w:r>
        <w:rPr>
          <w:spacing w:val="-1"/>
        </w:rPr>
        <w:t xml:space="preserve"> </w:t>
      </w:r>
      <w:r>
        <w:t>1988.</w:t>
      </w:r>
    </w:p>
    <w:p w:rsidR="00851CD3" w:rsidRDefault="00851CD3">
      <w:pPr>
        <w:pStyle w:val="Corpodetexto"/>
        <w:spacing w:before="4"/>
        <w:rPr>
          <w:sz w:val="36"/>
        </w:rPr>
      </w:pPr>
    </w:p>
    <w:p w:rsidR="00851CD3" w:rsidRDefault="00E11BE2">
      <w:pPr>
        <w:pStyle w:val="Ttulo1"/>
        <w:numPr>
          <w:ilvl w:val="0"/>
          <w:numId w:val="1"/>
        </w:numPr>
        <w:tabs>
          <w:tab w:val="left" w:pos="674"/>
        </w:tabs>
        <w:spacing w:line="360" w:lineRule="auto"/>
        <w:ind w:left="302" w:right="635" w:firstLine="0"/>
        <w:jc w:val="both"/>
      </w:pPr>
      <w:r>
        <w:t>A TRANSEXUALIDADE SOB A PERSPECTIVA DO PRINCÍPIO DA IGUALDADE.</w:t>
      </w:r>
    </w:p>
    <w:p w:rsidR="00851CD3" w:rsidRDefault="00851CD3">
      <w:pPr>
        <w:pStyle w:val="Corpodetexto"/>
        <w:spacing w:before="8"/>
        <w:rPr>
          <w:b/>
          <w:sz w:val="35"/>
        </w:rPr>
      </w:pPr>
    </w:p>
    <w:p w:rsidR="00851CD3" w:rsidRDefault="00E11BE2">
      <w:pPr>
        <w:pStyle w:val="Corpodetexto"/>
        <w:spacing w:line="360" w:lineRule="auto"/>
        <w:ind w:left="302" w:right="630" w:firstLine="1132"/>
        <w:jc w:val="both"/>
      </w:pPr>
      <w:r>
        <w:t>A melhor forma de se compreender o princípio da igualdade aplicado nos casos das pessoas transexuais é entender primeiramente o verdadeiro sentido estrito da expressão “igualdade”. Vivemos em uma sociedade que possui uma Constituição, uma espécie de ordena</w:t>
      </w:r>
      <w:r>
        <w:t>mento jurídico onde se prega a questão da igualdade intimamente ligada ao que se entende por dignidade da pessoa humana. Falar em dignidade suscita falar em inúmeras outras coisas. A questão é que tudo está ligado a este principio de uma maneira inexplicáv</w:t>
      </w:r>
      <w:r>
        <w:t>el, ou seja, alguém pode transgredir o direito de liberdade de expressão de determinada pessoa e esta pessoa, além de ter sofrido essa agressão a um direito que é seu, pode ter sido também “atacada” no que diz respeito a sua dignidade, pois a dignidade é j</w:t>
      </w:r>
      <w:r>
        <w:t>ustamente isso, possui uma carga valorativa, subjetiva, imensurável e serve de alicerce para todos os demais direitos. E é</w:t>
      </w:r>
    </w:p>
    <w:p w:rsidR="00851CD3" w:rsidRDefault="00851CD3">
      <w:pPr>
        <w:spacing w:line="360" w:lineRule="auto"/>
        <w:jc w:val="both"/>
        <w:sectPr w:rsidR="00851CD3">
          <w:pgSz w:w="11910" w:h="16840"/>
          <w:pgMar w:top="920" w:right="500" w:bottom="280" w:left="1400" w:header="710" w:footer="0" w:gutter="0"/>
          <w:cols w:space="720"/>
        </w:sectPr>
      </w:pPr>
    </w:p>
    <w:p w:rsidR="00851CD3" w:rsidRDefault="00851CD3">
      <w:pPr>
        <w:pStyle w:val="Corpodetexto"/>
        <w:rPr>
          <w:sz w:val="20"/>
        </w:rPr>
      </w:pPr>
    </w:p>
    <w:p w:rsidR="00851CD3" w:rsidRDefault="00851CD3">
      <w:pPr>
        <w:pStyle w:val="Corpodetexto"/>
        <w:rPr>
          <w:sz w:val="20"/>
        </w:rPr>
      </w:pPr>
    </w:p>
    <w:p w:rsidR="00851CD3" w:rsidRDefault="00851CD3">
      <w:pPr>
        <w:pStyle w:val="Corpodetexto"/>
        <w:spacing w:before="8"/>
        <w:rPr>
          <w:sz w:val="18"/>
        </w:rPr>
      </w:pPr>
    </w:p>
    <w:p w:rsidR="00851CD3" w:rsidRDefault="00E11BE2">
      <w:pPr>
        <w:pStyle w:val="Corpodetexto"/>
        <w:spacing w:before="90" w:line="360" w:lineRule="auto"/>
        <w:ind w:left="302" w:right="628"/>
      </w:pPr>
      <w:proofErr w:type="gramStart"/>
      <w:r>
        <w:t>partindo</w:t>
      </w:r>
      <w:proofErr w:type="gramEnd"/>
      <w:r>
        <w:t xml:space="preserve"> dessa perspectiva que se irá adentrar no mérito deste artigo e mais especificamente este tópico.</w:t>
      </w:r>
    </w:p>
    <w:p w:rsidR="00851CD3" w:rsidRDefault="00E11BE2">
      <w:pPr>
        <w:pStyle w:val="Corpodetexto"/>
        <w:spacing w:line="360" w:lineRule="auto"/>
        <w:ind w:left="302" w:right="631" w:firstLine="1132"/>
        <w:jc w:val="both"/>
      </w:pPr>
      <w:r>
        <w:t>Levand</w:t>
      </w:r>
      <w:r>
        <w:t>o em consideração o que foi levantado no parágrafo anterior, indaga-se: será que vivemos em uma sociedade que segue com rigor o principio da igualdade? Bom, no que diz respeito a este questionamento, infelizmente a resposta é uma negativa. Falar em transgê</w:t>
      </w:r>
      <w:r>
        <w:t>neros, transexuais, travestis, homoafetivos, bem como tantos outros, hoje em dia, em outras palavras é falar do que não é socialmente “bem aceito”, ou “não é comum”, ou é considerado “fora do padrão”. Aparentemente não há problema nenhum no que foi descrit</w:t>
      </w:r>
      <w:r>
        <w:t>o logo mais, o problema de fato começa quando pessoas são vitimas de agressões verbais, físicas, ou sofrem constrangimentos, ou até mesmo quando sofrem violências, podendo até</w:t>
      </w:r>
      <w:proofErr w:type="gramStart"/>
      <w:r>
        <w:t xml:space="preserve">  </w:t>
      </w:r>
      <w:proofErr w:type="gramEnd"/>
      <w:r>
        <w:t>em algumas situações ir a óbito, tudo por conta da sua orientação sexual, aparê</w:t>
      </w:r>
      <w:r>
        <w:t>ncia ou em resumo, pelo simples fato de exercer o “ser” (seu</w:t>
      </w:r>
      <w:r>
        <w:rPr>
          <w:spacing w:val="-5"/>
        </w:rPr>
        <w:t xml:space="preserve"> </w:t>
      </w:r>
      <w:r>
        <w:t>gênero).</w:t>
      </w:r>
    </w:p>
    <w:p w:rsidR="00851CD3" w:rsidRDefault="00E11BE2">
      <w:pPr>
        <w:pStyle w:val="Corpodetexto"/>
        <w:spacing w:before="1" w:line="360" w:lineRule="auto"/>
        <w:ind w:left="302" w:right="629" w:firstLine="1132"/>
        <w:jc w:val="both"/>
      </w:pPr>
      <w:r>
        <w:t>No que diz respeito à questão da vulnerabilidade, o supracitado ordenamento jurídico prevê que a liberdade do individuo em suas relações intimas e familiares, independe de gênero e de su</w:t>
      </w:r>
      <w:r>
        <w:t>as opções pessoais sendo abarcados pelo mesmo. O estado agindo de acordo com principio da intervenção mínima, somente tem respaldo para intervir, quando a pessoa se encontra em estado de vulnerabilidade. E foi nessa perspectiva que a Lei Maria da Penha foi</w:t>
      </w:r>
      <w:r>
        <w:t xml:space="preserve"> criada, tendo como objetivo amparar o gênero feminino, uma vez que, este se apresenta como um grupo socialmente vulnerável. </w:t>
      </w:r>
      <w:r>
        <w:rPr>
          <w:color w:val="1A1A1A"/>
        </w:rPr>
        <w:t>As transexuais femininas, por sua vez, se encontram na maioria das vezes, em uma situação de dupla vulnerabilidade, onde por um lad</w:t>
      </w:r>
      <w:r>
        <w:rPr>
          <w:color w:val="1A1A1A"/>
        </w:rPr>
        <w:t>o, sofrem por conta da discriminação pelo gênero, e de outro, em razão da discriminação pela orientação sexual. Assim, são vitimas de várias formas de violência, especialmente no âmbito domestico e familiar. (HUDLER; TANNURI, 2015). Mas se a Lei fala clara</w:t>
      </w:r>
      <w:r>
        <w:rPr>
          <w:color w:val="1A1A1A"/>
        </w:rPr>
        <w:t>mente sobre a proteção do gênero feminino, qual o seria o motivo do não reconhecimento das transexuais femininas no âmbito de incidência da já mencionada lei? A resposta para essa indagação consiste na perspectiva de que a maioria dos aplicadores da lei ou</w:t>
      </w:r>
      <w:r>
        <w:rPr>
          <w:color w:val="1A1A1A"/>
        </w:rPr>
        <w:t xml:space="preserve"> daqueles que se encontram frente ao ordenamento jurídico com a função de julgar, determinar ou tomar decisões, muitas das vezes se nega a compreender ou entender que a questão do “gênero” está muito além da mera compreensão de caráter biológico que foi co</w:t>
      </w:r>
      <w:r>
        <w:rPr>
          <w:color w:val="1A1A1A"/>
        </w:rPr>
        <w:t>nstruída e perpetuada por gerações.</w:t>
      </w:r>
    </w:p>
    <w:p w:rsidR="00851CD3" w:rsidRDefault="00E11BE2">
      <w:pPr>
        <w:pStyle w:val="Corpodetexto"/>
        <w:spacing w:line="360" w:lineRule="auto"/>
        <w:ind w:left="302" w:right="630" w:firstLine="1132"/>
        <w:jc w:val="both"/>
      </w:pPr>
      <w:r>
        <w:rPr>
          <w:color w:val="1A1A1A"/>
        </w:rPr>
        <w:t>Vive-se em uma sociedade onde a todo instante pessoas são vitimas,</w:t>
      </w:r>
      <w:proofErr w:type="gramStart"/>
      <w:r>
        <w:rPr>
          <w:color w:val="1A1A1A"/>
        </w:rPr>
        <w:t xml:space="preserve">  </w:t>
      </w:r>
      <w:proofErr w:type="gramEnd"/>
      <w:r>
        <w:rPr>
          <w:color w:val="1A1A1A"/>
        </w:rPr>
        <w:t>simplesmente por pensar diferente, se vestir diferente, ou por possuir uma orientação sexual diferente, ou seja, no final das contas o termo “diferente”</w:t>
      </w:r>
      <w:r>
        <w:rPr>
          <w:color w:val="1A1A1A"/>
        </w:rPr>
        <w:t xml:space="preserve"> vem sendo usado aqui neste parágrafo para demonstrar que tudo aquilo que não segue o “padrão” imposto pela sociedade, acaba que por se tornar algo errado e ruim que precisa a ser combatido de todas</w:t>
      </w:r>
      <w:r>
        <w:rPr>
          <w:color w:val="1A1A1A"/>
          <w:spacing w:val="19"/>
        </w:rPr>
        <w:t xml:space="preserve"> </w:t>
      </w:r>
      <w:r>
        <w:rPr>
          <w:color w:val="1A1A1A"/>
        </w:rPr>
        <w:t>as formas.</w:t>
      </w:r>
    </w:p>
    <w:p w:rsidR="00851CD3" w:rsidRDefault="00851CD3">
      <w:pPr>
        <w:spacing w:line="360" w:lineRule="auto"/>
        <w:jc w:val="both"/>
        <w:sectPr w:rsidR="00851CD3">
          <w:pgSz w:w="11910" w:h="16840"/>
          <w:pgMar w:top="920" w:right="500" w:bottom="280" w:left="1400" w:header="710" w:footer="0" w:gutter="0"/>
          <w:cols w:space="720"/>
        </w:sectPr>
      </w:pPr>
    </w:p>
    <w:p w:rsidR="00851CD3" w:rsidRDefault="00851CD3">
      <w:pPr>
        <w:pStyle w:val="Corpodetexto"/>
        <w:rPr>
          <w:sz w:val="20"/>
        </w:rPr>
      </w:pPr>
    </w:p>
    <w:p w:rsidR="00851CD3" w:rsidRDefault="00851CD3">
      <w:pPr>
        <w:pStyle w:val="Corpodetexto"/>
        <w:rPr>
          <w:sz w:val="20"/>
        </w:rPr>
      </w:pPr>
    </w:p>
    <w:p w:rsidR="00851CD3" w:rsidRDefault="00851CD3">
      <w:pPr>
        <w:pStyle w:val="Corpodetexto"/>
        <w:spacing w:before="8"/>
        <w:rPr>
          <w:sz w:val="18"/>
        </w:rPr>
      </w:pPr>
    </w:p>
    <w:p w:rsidR="00851CD3" w:rsidRDefault="00E11BE2">
      <w:pPr>
        <w:pStyle w:val="Corpodetexto"/>
        <w:spacing w:before="90" w:line="360" w:lineRule="auto"/>
        <w:ind w:left="302" w:right="627"/>
        <w:jc w:val="both"/>
      </w:pPr>
      <w:r>
        <w:rPr>
          <w:color w:val="1A1A1A"/>
        </w:rPr>
        <w:t>Portanto, por mais superficial que possa parecer, este presente tópico em questão só vem para mostrar o quão necessário é à aplicação do principio da igualdade no que diz respeito não só as transexuais femininas, mas a todos os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transgêneros.</w:t>
      </w:r>
    </w:p>
    <w:p w:rsidR="00851CD3" w:rsidRDefault="00851CD3">
      <w:pPr>
        <w:pStyle w:val="Corpodetexto"/>
        <w:spacing w:before="5"/>
        <w:rPr>
          <w:sz w:val="36"/>
        </w:rPr>
      </w:pPr>
    </w:p>
    <w:p w:rsidR="00851CD3" w:rsidRDefault="00E11BE2">
      <w:pPr>
        <w:pStyle w:val="Ttulo1"/>
        <w:numPr>
          <w:ilvl w:val="0"/>
          <w:numId w:val="1"/>
        </w:numPr>
        <w:tabs>
          <w:tab w:val="left" w:pos="483"/>
        </w:tabs>
      </w:pPr>
      <w:r>
        <w:t xml:space="preserve">LEI MARIA DA </w:t>
      </w:r>
      <w:r>
        <w:t>PENHA: A transexual feminina como sinônimo de</w:t>
      </w:r>
      <w:r>
        <w:rPr>
          <w:spacing w:val="-5"/>
        </w:rPr>
        <w:t xml:space="preserve"> </w:t>
      </w:r>
      <w:r>
        <w:t>mulher.</w:t>
      </w:r>
    </w:p>
    <w:p w:rsidR="00851CD3" w:rsidRDefault="00851CD3">
      <w:pPr>
        <w:pStyle w:val="Corpodetexto"/>
        <w:rPr>
          <w:b/>
          <w:sz w:val="26"/>
        </w:rPr>
      </w:pPr>
    </w:p>
    <w:p w:rsidR="00851CD3" w:rsidRDefault="00851CD3">
      <w:pPr>
        <w:pStyle w:val="Corpodetexto"/>
        <w:spacing w:before="7"/>
        <w:rPr>
          <w:b/>
          <w:sz w:val="21"/>
        </w:rPr>
      </w:pPr>
    </w:p>
    <w:p w:rsidR="00851CD3" w:rsidRDefault="00E11BE2">
      <w:pPr>
        <w:pStyle w:val="Corpodetexto"/>
        <w:spacing w:line="360" w:lineRule="auto"/>
        <w:ind w:left="302" w:right="631" w:firstLine="1132"/>
        <w:jc w:val="both"/>
      </w:pPr>
      <w:r>
        <w:t>Como foi questionado na seção anterior, a própria Lei Maria da Penha traz em seus artigos que seu efeito independe da orientação sexual tendo como base também a dicção do artigo 5º desta lei que diz c</w:t>
      </w:r>
      <w:r>
        <w:t xml:space="preserve">laramente que “configura violência doméstica e familiar contra a mulher qualquer ação ou omissão baseada no </w:t>
      </w:r>
      <w:r>
        <w:rPr>
          <w:i/>
        </w:rPr>
        <w:t xml:space="preserve">gênero </w:t>
      </w:r>
      <w:r>
        <w:t>que lhe cause morte, lesão, sofrimento físico, sexual ou psicológico e dano moral ou patrimonial (...)”. Mas seria mesmo necessária uma inter</w:t>
      </w:r>
      <w:r>
        <w:t>pretação extensiva dessa lei às transexuais? (BRASIL,</w:t>
      </w:r>
      <w:r>
        <w:rPr>
          <w:spacing w:val="-1"/>
        </w:rPr>
        <w:t xml:space="preserve"> </w:t>
      </w:r>
      <w:r>
        <w:t>2006).</w:t>
      </w:r>
    </w:p>
    <w:p w:rsidR="00851CD3" w:rsidRDefault="00851CD3">
      <w:pPr>
        <w:pStyle w:val="Corpodetexto"/>
        <w:spacing w:before="4"/>
        <w:rPr>
          <w:sz w:val="36"/>
        </w:rPr>
      </w:pPr>
    </w:p>
    <w:p w:rsidR="00851CD3" w:rsidRDefault="00E11BE2">
      <w:pPr>
        <w:pStyle w:val="Ttulo1"/>
      </w:pPr>
      <w:proofErr w:type="gramStart"/>
      <w:r>
        <w:t>4.1 Violência</w:t>
      </w:r>
      <w:proofErr w:type="gramEnd"/>
      <w:r>
        <w:t xml:space="preserve"> contra a transexual feminina.</w:t>
      </w:r>
    </w:p>
    <w:p w:rsidR="00851CD3" w:rsidRDefault="00851CD3">
      <w:pPr>
        <w:pStyle w:val="Corpodetexto"/>
        <w:rPr>
          <w:b/>
          <w:sz w:val="26"/>
        </w:rPr>
      </w:pPr>
    </w:p>
    <w:p w:rsidR="00851CD3" w:rsidRDefault="00851CD3">
      <w:pPr>
        <w:pStyle w:val="Corpodetexto"/>
        <w:spacing w:before="7"/>
        <w:rPr>
          <w:b/>
          <w:sz w:val="21"/>
        </w:rPr>
      </w:pPr>
    </w:p>
    <w:p w:rsidR="00851CD3" w:rsidRDefault="00E11BE2">
      <w:pPr>
        <w:pStyle w:val="Corpodetexto"/>
        <w:spacing w:line="360" w:lineRule="auto"/>
        <w:ind w:left="302" w:right="630" w:firstLine="1132"/>
        <w:jc w:val="both"/>
      </w:pPr>
      <w:r>
        <w:t>Como já foi reiterada antes a vulnerabilidade existente em torno dos travestis e transexuais, etc., uma vez que, a sociedade, por conta de uma “imag</w:t>
      </w:r>
      <w:r>
        <w:t>em” equivocada socialmente construída ao longo do tempo, acaba que por deixar estas pessoas socialmente marginalizadas, sendo constantemente vitimas de uma violência física e simbólica, é uma realidade presente nos dias de hoje. (CRUZ; SOUSA, XXXX).</w:t>
      </w:r>
    </w:p>
    <w:p w:rsidR="00851CD3" w:rsidRDefault="00E11BE2">
      <w:pPr>
        <w:pStyle w:val="Corpodetexto"/>
        <w:spacing w:line="360" w:lineRule="auto"/>
        <w:ind w:left="302" w:right="635" w:firstLine="1132"/>
        <w:jc w:val="both"/>
      </w:pPr>
      <w:r>
        <w:t>De aco</w:t>
      </w:r>
      <w:r>
        <w:t>rdo com o entendimento da psicóloga Jaqueline Gomes de Jesus (2013) essa violência que os transexuais, transgêneros, etc., sofrem constantemente é resultado de um conglomerado de fatores que agregam e envolve preconceito, violação dos direitos humanos fund</w:t>
      </w:r>
      <w:r>
        <w:t>amentais que pode se dá através da proibição do uso do nome social ou ate mesmo na impossibilidade dessas pessoas terem seus registros alterados, bem como a exclusão no que diz respeito ao acesso à educação, ao mercado de trabalho ou também o uso de banhei</w:t>
      </w:r>
      <w:r>
        <w:t>ro correspondente ao gênero, ode este último tem sido alvo de diversas polêmicas. E infelizmente a alguns fatores mais graves, que por sua vez resultam em violências diversas, como ameaças, agressões e no pior das hipóteses até mesmo</w:t>
      </w:r>
      <w:r>
        <w:rPr>
          <w:spacing w:val="-3"/>
        </w:rPr>
        <w:t xml:space="preserve"> </w:t>
      </w:r>
      <w:r>
        <w:t>homicídios.</w:t>
      </w:r>
    </w:p>
    <w:p w:rsidR="00851CD3" w:rsidRDefault="00E11BE2">
      <w:pPr>
        <w:pStyle w:val="Corpodetexto"/>
        <w:spacing w:before="1" w:line="360" w:lineRule="auto"/>
        <w:ind w:left="302" w:right="633" w:firstLine="1132"/>
        <w:jc w:val="both"/>
      </w:pPr>
      <w:r>
        <w:t>E vale lem</w:t>
      </w:r>
      <w:r>
        <w:t xml:space="preserve">brar que através desse artigo que dá um enfoque especial especificamente às transexuais femininas, uma vez que se está discutindo a violência se faz necessário ampliar um pouco esse enfoque e ressaltar que não </w:t>
      </w:r>
      <w:proofErr w:type="gramStart"/>
      <w:r>
        <w:t>são</w:t>
      </w:r>
      <w:proofErr w:type="gramEnd"/>
      <w:r>
        <w:t xml:space="preserve"> apenas as transexuais que são “jogadas” a </w:t>
      </w:r>
      <w:r>
        <w:t>margem da sociedade, muito pelo contrário, esse tipo de violência tem como alvo toda classe de transgêneros. De acordo com Marcos Roberto Vieira Garcia (2007) em sua</w:t>
      </w:r>
    </w:p>
    <w:p w:rsidR="00851CD3" w:rsidRDefault="00851CD3">
      <w:pPr>
        <w:spacing w:line="360" w:lineRule="auto"/>
        <w:jc w:val="both"/>
        <w:sectPr w:rsidR="00851CD3">
          <w:pgSz w:w="11910" w:h="16840"/>
          <w:pgMar w:top="920" w:right="500" w:bottom="280" w:left="1400" w:header="710" w:footer="0" w:gutter="0"/>
          <w:cols w:space="720"/>
        </w:sectPr>
      </w:pPr>
    </w:p>
    <w:p w:rsidR="00851CD3" w:rsidRDefault="00851CD3">
      <w:pPr>
        <w:pStyle w:val="Corpodetexto"/>
        <w:rPr>
          <w:sz w:val="20"/>
        </w:rPr>
      </w:pPr>
    </w:p>
    <w:p w:rsidR="00851CD3" w:rsidRDefault="00851CD3">
      <w:pPr>
        <w:pStyle w:val="Corpodetexto"/>
        <w:rPr>
          <w:sz w:val="20"/>
        </w:rPr>
      </w:pPr>
    </w:p>
    <w:p w:rsidR="00851CD3" w:rsidRDefault="00851CD3">
      <w:pPr>
        <w:pStyle w:val="Corpodetexto"/>
        <w:spacing w:before="8"/>
        <w:rPr>
          <w:sz w:val="18"/>
        </w:rPr>
      </w:pPr>
    </w:p>
    <w:p w:rsidR="00851CD3" w:rsidRDefault="00E11BE2">
      <w:pPr>
        <w:pStyle w:val="Corpodetexto"/>
        <w:spacing w:before="90" w:line="360" w:lineRule="auto"/>
        <w:ind w:left="302" w:right="634"/>
        <w:jc w:val="both"/>
      </w:pPr>
      <w:proofErr w:type="gramStart"/>
      <w:r>
        <w:t>tese</w:t>
      </w:r>
      <w:proofErr w:type="gramEnd"/>
      <w:r>
        <w:t xml:space="preserve"> de doutorado ele comenta sobre a violência praticada contra travestis, onde segundo ele, estas violências que estão presente em diversas conjunturas, englobam desde abusos sexuais e espancamentos na infância até na marginalização social, relação com s</w:t>
      </w:r>
      <w:r>
        <w:t>eus maridos, na interação com clientes, bem como em perseguição policial, insultos e assassinatos de que acabam sendo vitimas frequentes dessa realidade brutal.</w:t>
      </w:r>
    </w:p>
    <w:p w:rsidR="00851CD3" w:rsidRDefault="00851CD3">
      <w:pPr>
        <w:pStyle w:val="Corpodetexto"/>
        <w:spacing w:before="5"/>
        <w:rPr>
          <w:sz w:val="36"/>
        </w:rPr>
      </w:pPr>
    </w:p>
    <w:p w:rsidR="00851CD3" w:rsidRDefault="00E11BE2">
      <w:pPr>
        <w:pStyle w:val="Ttulo1"/>
      </w:pPr>
      <w:proofErr w:type="gramStart"/>
      <w:r>
        <w:t>4.2 Expansão</w:t>
      </w:r>
      <w:proofErr w:type="gramEnd"/>
      <w:r>
        <w:t xml:space="preserve"> do termo “mulher” às transexuais femininas</w:t>
      </w:r>
    </w:p>
    <w:p w:rsidR="00851CD3" w:rsidRDefault="00851CD3">
      <w:pPr>
        <w:pStyle w:val="Corpodetexto"/>
        <w:rPr>
          <w:b/>
          <w:sz w:val="26"/>
        </w:rPr>
      </w:pPr>
    </w:p>
    <w:p w:rsidR="00851CD3" w:rsidRDefault="00851CD3">
      <w:pPr>
        <w:pStyle w:val="Corpodetexto"/>
        <w:spacing w:before="7"/>
        <w:rPr>
          <w:b/>
          <w:sz w:val="21"/>
        </w:rPr>
      </w:pPr>
    </w:p>
    <w:p w:rsidR="00851CD3" w:rsidRDefault="00E11BE2">
      <w:pPr>
        <w:pStyle w:val="Corpodetexto"/>
        <w:spacing w:line="360" w:lineRule="auto"/>
        <w:ind w:left="302" w:right="632" w:firstLine="1132"/>
        <w:jc w:val="both"/>
      </w:pPr>
      <w:r>
        <w:t>Todos os dias, há todas as horas, mi</w:t>
      </w:r>
      <w:r>
        <w:t>nutos e segundos, alguém é vitima da transfobia. O tema deste tópico que está relacionado diretamente com o tema deste artigo é nada mais, nada menos que o fruto de um questionamento proposto por esse paper, que deveria ter uma resposta bastante simples, p</w:t>
      </w:r>
      <w:r>
        <w:t xml:space="preserve">orém não é assim que acontece. Portanto se faz necessário apresentar a resposta desta problematização, a tão sonhada solução para essas séries de atrocidades que acontecem desde sempre com pessoas que só querem gozar da sua vida com plenitude da forma que </w:t>
      </w:r>
      <w:r>
        <w:t>lhe é</w:t>
      </w:r>
      <w:r>
        <w:rPr>
          <w:spacing w:val="-6"/>
        </w:rPr>
        <w:t xml:space="preserve"> </w:t>
      </w:r>
      <w:r>
        <w:t>conveniente.</w:t>
      </w:r>
    </w:p>
    <w:p w:rsidR="00851CD3" w:rsidRDefault="00E11BE2">
      <w:pPr>
        <w:pStyle w:val="Corpodetexto"/>
        <w:spacing w:line="360" w:lineRule="auto"/>
        <w:ind w:left="302" w:right="632" w:firstLine="1132"/>
        <w:jc w:val="both"/>
      </w:pPr>
      <w:r>
        <w:t>A solução consiste, em: estender o âmbito de incidência da Lei 11.340/2006 (Lei Maria da Penha) para que a mesma abarque todas as mulheres, inclusive as mulheres transexuais femininas. O problema talvez consista na dificuldade que alguns</w:t>
      </w:r>
      <w:r>
        <w:t xml:space="preserve"> legisladores ou professionais do judiciário demonstram na hora de entender que existe diferença entre sexo e gênero. O gênero jamais deve ser definido pela genitália, ou em outras palavras, por esse critério meramente biológico, critério esse que é usado </w:t>
      </w:r>
      <w:r>
        <w:t>a bel prazer daqueles que deveriam se preocupar com a vulnerabilidade não de uma classe, mas sim, a vulnerabilidade de um todo, que muita das vezes acaba que por suprimir o verdadeiro “ser” e “exercer” da pessoa, tudo por conta de um padrão pré-estabelecid</w:t>
      </w:r>
      <w:r>
        <w:t>o tido como o correto absoluto.</w:t>
      </w:r>
    </w:p>
    <w:p w:rsidR="00851CD3" w:rsidRDefault="00E11BE2">
      <w:pPr>
        <w:pStyle w:val="Corpodetexto"/>
        <w:spacing w:line="360" w:lineRule="auto"/>
        <w:ind w:left="302" w:right="631" w:firstLine="1132"/>
        <w:jc w:val="both"/>
      </w:pPr>
      <w:r>
        <w:t>A verdade é que não deve existir um padrão, mas sim, uma construção, na qual Guacira Lopes Louro (2000) explicita de forma brilhante e coerente que a “expressão” do corpo e da sexualidade pode ser meramente “construída”, pod</w:t>
      </w:r>
      <w:r>
        <w:t>endo afirmar que as transformações, sem sombra de dúvida, afetam as formas de se viver e de se construir identidades sexuais e de gêneros, que podem influir diretamente na questão do “ser” e “exercer” os papeis de homem e mulher.</w:t>
      </w:r>
    </w:p>
    <w:p w:rsidR="00851CD3" w:rsidRDefault="00851CD3">
      <w:pPr>
        <w:spacing w:line="360" w:lineRule="auto"/>
        <w:jc w:val="both"/>
        <w:sectPr w:rsidR="00851CD3">
          <w:pgSz w:w="11910" w:h="16840"/>
          <w:pgMar w:top="920" w:right="500" w:bottom="280" w:left="1400" w:header="710" w:footer="0" w:gutter="0"/>
          <w:cols w:space="720"/>
        </w:sectPr>
      </w:pPr>
    </w:p>
    <w:p w:rsidR="00851CD3" w:rsidRDefault="00851CD3">
      <w:pPr>
        <w:pStyle w:val="Corpodetexto"/>
        <w:rPr>
          <w:sz w:val="20"/>
        </w:rPr>
      </w:pPr>
    </w:p>
    <w:p w:rsidR="00851CD3" w:rsidRDefault="00851CD3">
      <w:pPr>
        <w:pStyle w:val="Corpodetexto"/>
        <w:rPr>
          <w:sz w:val="20"/>
        </w:rPr>
      </w:pPr>
    </w:p>
    <w:p w:rsidR="00851CD3" w:rsidRDefault="00851CD3">
      <w:pPr>
        <w:pStyle w:val="Corpodetexto"/>
        <w:spacing w:before="1"/>
        <w:rPr>
          <w:sz w:val="19"/>
        </w:rPr>
      </w:pPr>
    </w:p>
    <w:p w:rsidR="00851CD3" w:rsidRDefault="00E11BE2">
      <w:pPr>
        <w:pStyle w:val="Ttulo1"/>
        <w:numPr>
          <w:ilvl w:val="0"/>
          <w:numId w:val="1"/>
        </w:numPr>
        <w:tabs>
          <w:tab w:val="left" w:pos="483"/>
        </w:tabs>
        <w:spacing w:before="90"/>
      </w:pPr>
      <w:r>
        <w:t>A MUL</w:t>
      </w:r>
      <w:r>
        <w:t>HER SOB A ÈGIDE DA LEI MARIA DA PENHA</w:t>
      </w:r>
    </w:p>
    <w:p w:rsidR="00851CD3" w:rsidRDefault="00851CD3">
      <w:pPr>
        <w:pStyle w:val="Corpodetexto"/>
        <w:rPr>
          <w:b/>
          <w:sz w:val="26"/>
        </w:rPr>
      </w:pPr>
    </w:p>
    <w:p w:rsidR="00851CD3" w:rsidRDefault="00851CD3">
      <w:pPr>
        <w:pStyle w:val="Corpodetexto"/>
        <w:spacing w:before="7"/>
        <w:rPr>
          <w:b/>
          <w:sz w:val="21"/>
        </w:rPr>
      </w:pPr>
    </w:p>
    <w:p w:rsidR="00851CD3" w:rsidRDefault="00E11BE2">
      <w:pPr>
        <w:pStyle w:val="Corpodetexto"/>
        <w:spacing w:line="360" w:lineRule="auto"/>
        <w:ind w:left="302" w:right="630" w:firstLine="1132"/>
        <w:jc w:val="both"/>
      </w:pPr>
      <w:r>
        <w:t>A observação inicial que será realizada aqui é que “a violência contra a mulher é um dos fenômenos sociais mais complexos e preocupantes do mundo atual, revelando-se na sociedade como um elemento estrutural intrínseco ao próprio fato social, atingindo qual</w:t>
      </w:r>
      <w:r>
        <w:t>quer grupo humano ou civilização”. (PINTO, 2007, p. 2). E é nessa perspectiva que surge a lei 11.340/2006 (Lei Maria da Penha) trazendo como principal objetivo repelir qualquer tipo de violência de gênero, que seja decorrente de uma posição de hipossuficiê</w:t>
      </w:r>
      <w:r>
        <w:t xml:space="preserve">ncia física ou econômica que ocorra em qualquer âmbito. </w:t>
      </w:r>
      <w:r>
        <w:rPr>
          <w:color w:val="1A1A1A"/>
        </w:rPr>
        <w:t>(HUDLER; TANNURI, 2015).</w:t>
      </w:r>
    </w:p>
    <w:p w:rsidR="00851CD3" w:rsidRDefault="00E11BE2">
      <w:pPr>
        <w:pStyle w:val="Corpodetexto"/>
        <w:spacing w:line="360" w:lineRule="auto"/>
        <w:ind w:left="302" w:right="627" w:firstLine="1132"/>
        <w:jc w:val="both"/>
      </w:pPr>
      <w:r>
        <w:rPr>
          <w:color w:val="1A1A1A"/>
        </w:rPr>
        <w:t>E, apesar da realidade assustadora e preocupante sob qual a maioria dos transgêneros se encontram neste momento, se faz necessário mostrar que mesmo em passos lentos e mesmo a</w:t>
      </w:r>
      <w:r>
        <w:rPr>
          <w:color w:val="1A1A1A"/>
        </w:rPr>
        <w:t>inda alguns achando que a questão de gênero esta ligada diretamente à “genitália”, tem-se ascendido uma pequena chama de esperança no que tange a questão da abrangência da Lei Maria da Penha a todas as mulheres, sem distinção. Ou seja, já há decisões judic</w:t>
      </w:r>
      <w:r>
        <w:rPr>
          <w:color w:val="1A1A1A"/>
        </w:rPr>
        <w:t xml:space="preserve">iais em que se efetivou a proteção da transexual feminina, por meio de aplicação de diversas medidas protetivas da referida lei. E foi mais especificamente em Anápolis – GO, que a juíza Ana Claúdia Magalhães da 1º Vara Criminal de Anápolis, em determinado </w:t>
      </w:r>
      <w:r>
        <w:rPr>
          <w:color w:val="1A1A1A"/>
        </w:rPr>
        <w:t>caso onde uma transexual que sofreu maus tratos por parte do parceiro, conseguiu na justiça o direito à aplicação da Lei Maria da Penha. A juíza não só manteve o acusado em prisão, como em liberdade, o proibiu de estar a menos de mil metros da ofendida e d</w:t>
      </w:r>
      <w:r>
        <w:rPr>
          <w:color w:val="1A1A1A"/>
        </w:rPr>
        <w:t>e seus familiares e inclusive de manter contato com ela ou com qualquer um de seus entes em linha reta por qualquer meio de comunicação. Na decisão proferida pela Juíza de Direito em questão, a mesma explicitou a respeito da diferença entre sexo e gênero e</w:t>
      </w:r>
      <w:r>
        <w:rPr>
          <w:color w:val="1A1A1A"/>
        </w:rPr>
        <w:t xml:space="preserve"> ressalvou que ambos podem se referir a “mulher”, tanto no sexo feminino bem como no gênero feminino, ou seja, de acordo com a juíza, um não exclui o outro, muito pelo contrário, isso acaba que por aumentar consideravelmente o grau de incidência da Lei Mar</w:t>
      </w:r>
      <w:r>
        <w:rPr>
          <w:color w:val="1A1A1A"/>
        </w:rPr>
        <w:t>ia da Penha, pois nas palavras da juíza “o sexo é determinado quando uma pessoa nasce, mas o gênero é definido ao longo da vida” Portanto fica nítido o verdadeiro sentido da referida lei, que tem muito mais lógica se for aplicada a todas as mulheres, do qu</w:t>
      </w:r>
      <w:r>
        <w:rPr>
          <w:color w:val="1A1A1A"/>
        </w:rPr>
        <w:t>e caso contrário, fosse aplicada a determinado sexo biológico. (BRASIL, 2011).</w:t>
      </w:r>
    </w:p>
    <w:p w:rsidR="00851CD3" w:rsidRDefault="00E11BE2">
      <w:pPr>
        <w:pStyle w:val="Corpodetexto"/>
        <w:spacing w:line="360" w:lineRule="auto"/>
        <w:ind w:left="302" w:right="625" w:firstLine="1132"/>
        <w:jc w:val="both"/>
      </w:pPr>
      <w:r>
        <w:rPr>
          <w:color w:val="1A1A1A"/>
        </w:rPr>
        <w:t>Por fim, outro ponto que merece uma devida atenção diz respeito à questão da cirurgia de trasngenitalização, bem como também a alteração registral de prenome e estado sexual. Es</w:t>
      </w:r>
      <w:r>
        <w:rPr>
          <w:color w:val="1A1A1A"/>
        </w:rPr>
        <w:t xml:space="preserve">tes dois fatores tem sido levantados pela jurisprudência deixando meio que subtendido que para transexual feminina se tornar mulher de fato, num prisma jurídico, </w:t>
      </w:r>
      <w:proofErr w:type="gramStart"/>
      <w:r>
        <w:rPr>
          <w:color w:val="1A1A1A"/>
        </w:rPr>
        <w:t>seria</w:t>
      </w:r>
      <w:proofErr w:type="gramEnd"/>
    </w:p>
    <w:p w:rsidR="00851CD3" w:rsidRDefault="00851CD3">
      <w:pPr>
        <w:spacing w:line="360" w:lineRule="auto"/>
        <w:jc w:val="both"/>
        <w:sectPr w:rsidR="00851CD3">
          <w:pgSz w:w="11910" w:h="16840"/>
          <w:pgMar w:top="920" w:right="500" w:bottom="280" w:left="1400" w:header="710" w:footer="0" w:gutter="0"/>
          <w:cols w:space="720"/>
        </w:sectPr>
      </w:pPr>
    </w:p>
    <w:p w:rsidR="00851CD3" w:rsidRDefault="00851CD3">
      <w:pPr>
        <w:pStyle w:val="Corpodetexto"/>
        <w:rPr>
          <w:sz w:val="20"/>
        </w:rPr>
      </w:pPr>
    </w:p>
    <w:p w:rsidR="00851CD3" w:rsidRDefault="00851CD3">
      <w:pPr>
        <w:pStyle w:val="Corpodetexto"/>
        <w:rPr>
          <w:sz w:val="20"/>
        </w:rPr>
      </w:pPr>
    </w:p>
    <w:p w:rsidR="00851CD3" w:rsidRDefault="00851CD3">
      <w:pPr>
        <w:pStyle w:val="Corpodetexto"/>
        <w:spacing w:before="8"/>
        <w:rPr>
          <w:sz w:val="18"/>
        </w:rPr>
      </w:pPr>
    </w:p>
    <w:p w:rsidR="00851CD3" w:rsidRDefault="00E11BE2">
      <w:pPr>
        <w:pStyle w:val="Corpodetexto"/>
        <w:spacing w:before="90" w:line="360" w:lineRule="auto"/>
        <w:ind w:left="302" w:right="627"/>
        <w:jc w:val="both"/>
      </w:pPr>
      <w:proofErr w:type="gramStart"/>
      <w:r>
        <w:rPr>
          <w:color w:val="1A1A1A"/>
        </w:rPr>
        <w:t>ideal</w:t>
      </w:r>
      <w:proofErr w:type="gramEnd"/>
      <w:r>
        <w:rPr>
          <w:color w:val="1A1A1A"/>
        </w:rPr>
        <w:t xml:space="preserve"> que a transexual fosse adaptando os aspectos extrínsecos ao g</w:t>
      </w:r>
      <w:r>
        <w:rPr>
          <w:color w:val="1A1A1A"/>
        </w:rPr>
        <w:t>ênero preexistente, o que não deve ser visto dessa forma, pois como já foi explicitado anteriormente neste paper, as questões relacionadas a gênero vão muito da além de questões como a genitália ou o nome registral, pois a transexual feminina que em seu “s</w:t>
      </w:r>
      <w:r>
        <w:rPr>
          <w:color w:val="1A1A1A"/>
        </w:rPr>
        <w:t>er” se considera e se sente como uma mulher igual a qualquer outra, não precisa de fato ter que se submeter a uma cirurgia ou alterar seu nome para que seja considerada como tal. (HUDLER; TANNURI,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2015).</w:t>
      </w:r>
    </w:p>
    <w:p w:rsidR="00851CD3" w:rsidRDefault="00851CD3">
      <w:pPr>
        <w:pStyle w:val="Corpodetexto"/>
        <w:rPr>
          <w:sz w:val="26"/>
        </w:rPr>
      </w:pPr>
    </w:p>
    <w:p w:rsidR="00851CD3" w:rsidRDefault="00E11BE2">
      <w:pPr>
        <w:pStyle w:val="Ttulo1"/>
        <w:numPr>
          <w:ilvl w:val="0"/>
          <w:numId w:val="1"/>
        </w:numPr>
        <w:tabs>
          <w:tab w:val="left" w:pos="483"/>
        </w:tabs>
        <w:spacing w:before="162"/>
      </w:pPr>
      <w:r>
        <w:t>CONCLUSÃO</w:t>
      </w:r>
    </w:p>
    <w:p w:rsidR="00851CD3" w:rsidRDefault="00851CD3">
      <w:pPr>
        <w:pStyle w:val="Corpodetexto"/>
        <w:rPr>
          <w:b/>
          <w:sz w:val="26"/>
        </w:rPr>
      </w:pPr>
    </w:p>
    <w:p w:rsidR="00851CD3" w:rsidRDefault="00851CD3">
      <w:pPr>
        <w:pStyle w:val="Corpodetexto"/>
        <w:spacing w:before="7"/>
        <w:rPr>
          <w:b/>
          <w:sz w:val="21"/>
        </w:rPr>
      </w:pPr>
    </w:p>
    <w:p w:rsidR="00851CD3" w:rsidRDefault="00E11BE2">
      <w:pPr>
        <w:pStyle w:val="Corpodetexto"/>
        <w:spacing w:line="360" w:lineRule="auto"/>
        <w:ind w:left="302" w:right="630" w:firstLine="1132"/>
        <w:jc w:val="both"/>
      </w:pPr>
      <w:r>
        <w:t xml:space="preserve">Diante de tudo que foi apresentado, se </w:t>
      </w:r>
      <w:r>
        <w:t xml:space="preserve">faz necessário destacar alguns pontos importantes principalmente no que diz respeito à história do movimento dos transgêneros, perceber de que modo </w:t>
      </w:r>
      <w:proofErr w:type="gramStart"/>
      <w:r>
        <w:t>as</w:t>
      </w:r>
      <w:proofErr w:type="gramEnd"/>
      <w:r>
        <w:t xml:space="preserve"> pessoas atinentes a esse grupo começam a se organizar e propor lutas que buscam amoldar o sistema jurídic</w:t>
      </w:r>
      <w:r>
        <w:t>o com a intenção de reconhecimento dos seus direitos e buscar a efetividade dos direitos fundamentais de que propõe a Constituição Federal de</w:t>
      </w:r>
      <w:r>
        <w:rPr>
          <w:spacing w:val="-1"/>
        </w:rPr>
        <w:t xml:space="preserve"> </w:t>
      </w:r>
      <w:r>
        <w:t>1988.</w:t>
      </w:r>
    </w:p>
    <w:p w:rsidR="00851CD3" w:rsidRDefault="00E11BE2">
      <w:pPr>
        <w:pStyle w:val="Corpodetexto"/>
        <w:spacing w:before="1" w:line="360" w:lineRule="auto"/>
        <w:ind w:left="302" w:right="628" w:firstLine="1132"/>
        <w:jc w:val="both"/>
      </w:pPr>
      <w:r>
        <w:t>Percebemos também que o nosso ordenamento jurídico apesar de propor através de sua Constituição Federal de 1</w:t>
      </w:r>
      <w:r>
        <w:t>988, o direito fundamental à igualdade ainda não consegue gozar de uma efetividade. O que se buscou trabalhar neste artigo foram formas eficazes para a produção deste direito, principalmente atrelando ao principio da dignidade da pessoa humana onde todos d</w:t>
      </w:r>
      <w:r>
        <w:t>evem ser considerados iguais. Observando tão logo a percepção de que um transexual feminino se sente uma mulher e por isso deveria ser igualado e ter os mesmos direitos que esta. Uma vez que essas classes são marcadas pela discriminação e a toda sorte de v</w:t>
      </w:r>
      <w:r>
        <w:t>iolências, que são baseadas na maioria das vezes na questão do se sentir, do</w:t>
      </w:r>
      <w:r>
        <w:rPr>
          <w:spacing w:val="-6"/>
        </w:rPr>
        <w:t xml:space="preserve"> </w:t>
      </w:r>
      <w:r>
        <w:t>ser.</w:t>
      </w:r>
    </w:p>
    <w:p w:rsidR="00851CD3" w:rsidRDefault="00E11BE2">
      <w:pPr>
        <w:pStyle w:val="Corpodetexto"/>
        <w:spacing w:line="360" w:lineRule="auto"/>
        <w:ind w:left="302" w:right="631" w:firstLine="1132"/>
        <w:jc w:val="both"/>
      </w:pPr>
      <w:r>
        <w:t>Outro ponto a ser tocado é o principio da intervenção mínima do Estado, no caso das mulheres o poder legiferante criou a lei Maria da Penha para buscar a defesa das mulheres baseada numa questão de gênero, contudo não consegue tratar da mesma forma as tran</w:t>
      </w:r>
      <w:r>
        <w:t>sexuais femininas o que impede a realização da dignidade da pessoa humana e do direito à igualdade, o que poderia ser solucionado pela expansão do termo “mulher” prevista na Lei Maria da Penha.</w:t>
      </w:r>
    </w:p>
    <w:p w:rsidR="00851CD3" w:rsidRDefault="00E11BE2">
      <w:pPr>
        <w:pStyle w:val="Corpodetexto"/>
        <w:spacing w:before="1" w:line="360" w:lineRule="auto"/>
        <w:ind w:left="302" w:right="628" w:firstLine="1132"/>
        <w:jc w:val="both"/>
      </w:pPr>
      <w:r>
        <w:t>Por fim, criamos um pensamento crítico acerca de todos os tema</w:t>
      </w:r>
      <w:r>
        <w:t>s trabalhados por este artigo, entendendo que o fenômeno principal estudado aqui, pode ser vislumbrado</w:t>
      </w:r>
      <w:proofErr w:type="gramStart"/>
      <w:r>
        <w:t xml:space="preserve">  </w:t>
      </w:r>
      <w:proofErr w:type="gramEnd"/>
      <w:r>
        <w:t>quando houver um esforço hermenêutico para garantir os direitos previstos na Lei Maria da Penha às transexuais femininas, sem que com isso haja qualquer</w:t>
      </w:r>
      <w:r>
        <w:t xml:space="preserve"> desrespeito a</w:t>
      </w:r>
      <w:r>
        <w:rPr>
          <w:spacing w:val="22"/>
        </w:rPr>
        <w:t xml:space="preserve"> </w:t>
      </w:r>
      <w:r>
        <w:t>qualquer</w:t>
      </w:r>
    </w:p>
    <w:p w:rsidR="00851CD3" w:rsidRDefault="00851CD3">
      <w:pPr>
        <w:spacing w:line="360" w:lineRule="auto"/>
        <w:jc w:val="both"/>
        <w:sectPr w:rsidR="00851CD3">
          <w:pgSz w:w="11910" w:h="16840"/>
          <w:pgMar w:top="920" w:right="500" w:bottom="280" w:left="1400" w:header="710" w:footer="0" w:gutter="0"/>
          <w:cols w:space="720"/>
        </w:sectPr>
      </w:pPr>
    </w:p>
    <w:p w:rsidR="00851CD3" w:rsidRDefault="00851CD3">
      <w:pPr>
        <w:pStyle w:val="Corpodetexto"/>
        <w:rPr>
          <w:sz w:val="20"/>
        </w:rPr>
      </w:pPr>
    </w:p>
    <w:p w:rsidR="00851CD3" w:rsidRDefault="00851CD3">
      <w:pPr>
        <w:pStyle w:val="Corpodetexto"/>
        <w:rPr>
          <w:sz w:val="20"/>
        </w:rPr>
      </w:pPr>
    </w:p>
    <w:p w:rsidR="00851CD3" w:rsidRDefault="00851CD3">
      <w:pPr>
        <w:pStyle w:val="Corpodetexto"/>
        <w:spacing w:before="8"/>
        <w:rPr>
          <w:sz w:val="18"/>
        </w:rPr>
      </w:pPr>
    </w:p>
    <w:p w:rsidR="00851CD3" w:rsidRDefault="00E11BE2">
      <w:pPr>
        <w:pStyle w:val="Corpodetexto"/>
        <w:spacing w:before="90" w:line="360" w:lineRule="auto"/>
        <w:ind w:left="302" w:right="628"/>
      </w:pPr>
      <w:proofErr w:type="gramStart"/>
      <w:r>
        <w:t>legalidade</w:t>
      </w:r>
      <w:proofErr w:type="gramEnd"/>
      <w:r>
        <w:t>. Assim, o titular deste direito passa a exercê-lo conforme prevê a Constituição, e consegue-se assim a tal efetividade.</w:t>
      </w:r>
    </w:p>
    <w:p w:rsidR="00851CD3" w:rsidRDefault="00851CD3">
      <w:pPr>
        <w:spacing w:line="360" w:lineRule="auto"/>
        <w:sectPr w:rsidR="00851CD3">
          <w:pgSz w:w="11910" w:h="16840"/>
          <w:pgMar w:top="920" w:right="500" w:bottom="280" w:left="1400" w:header="710" w:footer="0" w:gutter="0"/>
          <w:cols w:space="720"/>
        </w:sectPr>
      </w:pPr>
    </w:p>
    <w:p w:rsidR="00851CD3" w:rsidRDefault="00851CD3">
      <w:pPr>
        <w:pStyle w:val="Corpodetexto"/>
        <w:rPr>
          <w:sz w:val="20"/>
        </w:rPr>
      </w:pPr>
    </w:p>
    <w:p w:rsidR="00851CD3" w:rsidRDefault="00851CD3">
      <w:pPr>
        <w:pStyle w:val="Corpodetexto"/>
        <w:rPr>
          <w:sz w:val="20"/>
        </w:rPr>
      </w:pPr>
    </w:p>
    <w:p w:rsidR="00851CD3" w:rsidRDefault="00851CD3">
      <w:pPr>
        <w:pStyle w:val="Corpodetexto"/>
        <w:spacing w:before="1"/>
        <w:rPr>
          <w:sz w:val="19"/>
        </w:rPr>
      </w:pPr>
    </w:p>
    <w:p w:rsidR="00851CD3" w:rsidRDefault="00E11BE2">
      <w:pPr>
        <w:pStyle w:val="Ttulo1"/>
        <w:spacing w:before="90"/>
        <w:ind w:left="3977"/>
      </w:pPr>
      <w:r>
        <w:t>REFERÊNCIAS</w:t>
      </w:r>
    </w:p>
    <w:p w:rsidR="00851CD3" w:rsidRDefault="00851CD3">
      <w:pPr>
        <w:pStyle w:val="Corpodetexto"/>
        <w:rPr>
          <w:b/>
          <w:sz w:val="26"/>
        </w:rPr>
      </w:pPr>
    </w:p>
    <w:p w:rsidR="00851CD3" w:rsidRDefault="00851CD3">
      <w:pPr>
        <w:pStyle w:val="Corpodetexto"/>
        <w:spacing w:before="4"/>
        <w:rPr>
          <w:b/>
          <w:sz w:val="21"/>
        </w:rPr>
      </w:pPr>
    </w:p>
    <w:p w:rsidR="00851CD3" w:rsidRDefault="00E11BE2">
      <w:pPr>
        <w:spacing w:before="1"/>
        <w:ind w:left="302"/>
        <w:rPr>
          <w:sz w:val="24"/>
        </w:rPr>
      </w:pPr>
      <w:r>
        <w:rPr>
          <w:sz w:val="24"/>
        </w:rPr>
        <w:t xml:space="preserve">BRASIL. </w:t>
      </w:r>
      <w:r>
        <w:rPr>
          <w:b/>
          <w:sz w:val="24"/>
        </w:rPr>
        <w:t>Lei Nº 11.340/2006</w:t>
      </w:r>
      <w:r>
        <w:rPr>
          <w:sz w:val="24"/>
        </w:rPr>
        <w:t>. Lei Maria da Penha. Disponível em:</w:t>
      </w:r>
    </w:p>
    <w:p w:rsidR="00851CD3" w:rsidRDefault="00E11BE2">
      <w:pPr>
        <w:pStyle w:val="Corpodetexto"/>
        <w:ind w:left="302" w:right="1079"/>
      </w:pPr>
      <w:r>
        <w:t>&lt;</w:t>
      </w:r>
      <w:proofErr w:type="gramStart"/>
      <w:r>
        <w:t>www2.</w:t>
      </w:r>
      <w:proofErr w:type="gramEnd"/>
      <w:r>
        <w:t>camara.leg.br/documentos-e-pesquisa/edições/paginas-individuais-dos-livros/lei- maria-da-penha&gt;. Acesso em: 09 mai. 2016</w:t>
      </w:r>
    </w:p>
    <w:p w:rsidR="00851CD3" w:rsidRDefault="00851CD3">
      <w:pPr>
        <w:pStyle w:val="Corpodetexto"/>
      </w:pPr>
    </w:p>
    <w:p w:rsidR="00851CD3" w:rsidRDefault="00E11BE2">
      <w:pPr>
        <w:pStyle w:val="Corpodetexto"/>
        <w:ind w:left="302" w:right="895"/>
      </w:pPr>
      <w:r>
        <w:t xml:space="preserve">BRASIL. Tribunal de Justiça do Estado de Góias. Autos protocolizados sob o nº 201103873908. 2011. Juíza de Direito Ana Cláudia Veloso Magalhâes. Disponível em:&lt; </w:t>
      </w:r>
      <w:hyperlink r:id="rId12">
        <w:r>
          <w:t>http://s.c</w:t>
        </w:r>
        <w:r>
          <w:t>onjur.com.br/dl/homologacao-flagrante-resolucao-cnj.pdf</w:t>
        </w:r>
      </w:hyperlink>
      <w:r>
        <w:t>&gt;. Acesso em: 07 de mai. 2016</w:t>
      </w:r>
    </w:p>
    <w:p w:rsidR="00851CD3" w:rsidRDefault="00851CD3">
      <w:pPr>
        <w:pStyle w:val="Corpodetexto"/>
      </w:pPr>
    </w:p>
    <w:p w:rsidR="00851CD3" w:rsidRDefault="00E11BE2">
      <w:pPr>
        <w:ind w:left="302" w:right="755"/>
        <w:rPr>
          <w:sz w:val="24"/>
        </w:rPr>
      </w:pPr>
      <w:r>
        <w:rPr>
          <w:sz w:val="24"/>
        </w:rPr>
        <w:t xml:space="preserve">CRUZ, Mônica da Silva; SOUSA, Tuanny Soeiro. </w:t>
      </w:r>
      <w:r>
        <w:rPr>
          <w:b/>
          <w:sz w:val="24"/>
        </w:rPr>
        <w:t xml:space="preserve">Transfobia Mata! </w:t>
      </w:r>
      <w:proofErr w:type="gramStart"/>
      <w:r>
        <w:rPr>
          <w:b/>
          <w:sz w:val="24"/>
        </w:rPr>
        <w:t>homicídio</w:t>
      </w:r>
      <w:proofErr w:type="gramEnd"/>
      <w:r>
        <w:rPr>
          <w:b/>
          <w:sz w:val="24"/>
        </w:rPr>
        <w:t xml:space="preserve"> e violência na experiência trans. </w:t>
      </w:r>
      <w:r>
        <w:rPr>
          <w:sz w:val="24"/>
        </w:rPr>
        <w:t>Disponível em:&lt;</w:t>
      </w:r>
      <w:hyperlink r:id="rId13">
        <w:r>
          <w:rPr>
            <w:sz w:val="24"/>
          </w:rPr>
          <w:t>http://www.publicadireito.com.br/artigos/?cod=4e00844f94e3625d&gt;</w:t>
        </w:r>
      </w:hyperlink>
      <w:r>
        <w:rPr>
          <w:sz w:val="24"/>
        </w:rPr>
        <w:t>. Acesso em: 25 mar. 2016</w:t>
      </w:r>
    </w:p>
    <w:p w:rsidR="00851CD3" w:rsidRDefault="00851CD3">
      <w:pPr>
        <w:pStyle w:val="Corpodetexto"/>
      </w:pPr>
    </w:p>
    <w:p w:rsidR="00851CD3" w:rsidRDefault="00E11BE2">
      <w:pPr>
        <w:spacing w:before="1"/>
        <w:ind w:left="302" w:right="675"/>
        <w:rPr>
          <w:sz w:val="24"/>
        </w:rPr>
      </w:pPr>
      <w:r>
        <w:rPr>
          <w:sz w:val="24"/>
        </w:rPr>
        <w:t xml:space="preserve">DIAS, Maria Berenice; ZENEVICH, Letícia. </w:t>
      </w:r>
      <w:r>
        <w:rPr>
          <w:b/>
          <w:sz w:val="24"/>
        </w:rPr>
        <w:t>Um histórico da patologização da transexualidade e uma conclusão evidente: a diversidade é s</w:t>
      </w:r>
      <w:r>
        <w:rPr>
          <w:b/>
          <w:sz w:val="24"/>
        </w:rPr>
        <w:t xml:space="preserve">audável. </w:t>
      </w:r>
      <w:r>
        <w:rPr>
          <w:i/>
          <w:sz w:val="24"/>
        </w:rPr>
        <w:t>Periódico do Núcleo de Estudos e Pesquisas sobre Gênero e Direito</w:t>
      </w:r>
      <w:r>
        <w:rPr>
          <w:sz w:val="24"/>
        </w:rPr>
        <w:t xml:space="preserve">. Centri de Ciências Jurídicas – UFPB. </w:t>
      </w:r>
      <w:proofErr w:type="gramStart"/>
      <w:r>
        <w:rPr>
          <w:sz w:val="24"/>
        </w:rPr>
        <w:t>n.</w:t>
      </w:r>
      <w:proofErr w:type="gramEnd"/>
      <w:r>
        <w:rPr>
          <w:sz w:val="24"/>
        </w:rPr>
        <w:t xml:space="preserve"> 02. Jul-Dez de 2014. Disponível em:</w:t>
      </w:r>
    </w:p>
    <w:p w:rsidR="00851CD3" w:rsidRDefault="00E11BE2">
      <w:pPr>
        <w:pStyle w:val="Corpodetexto"/>
        <w:ind w:left="302" w:right="812"/>
      </w:pPr>
      <w:r>
        <w:t>&lt;</w:t>
      </w:r>
      <w:hyperlink r:id="rId14">
        <w:r>
          <w:t>http://periodic</w:t>
        </w:r>
        <w:r>
          <w:t>os.ufpb.br/ojs/index.php/ged/article/view/20049/11794&gt;</w:t>
        </w:r>
      </w:hyperlink>
      <w:r>
        <w:t>. Acesso em: 20 abr. 2016</w:t>
      </w:r>
    </w:p>
    <w:p w:rsidR="00851CD3" w:rsidRDefault="00851CD3">
      <w:pPr>
        <w:pStyle w:val="Corpodetexto"/>
      </w:pPr>
    </w:p>
    <w:p w:rsidR="00851CD3" w:rsidRDefault="00E11BE2">
      <w:pPr>
        <w:ind w:left="302" w:right="892"/>
        <w:rPr>
          <w:sz w:val="24"/>
        </w:rPr>
      </w:pPr>
      <w:r>
        <w:rPr>
          <w:color w:val="212121"/>
          <w:sz w:val="24"/>
        </w:rPr>
        <w:t xml:space="preserve">ESUS, Jaqueline Gomes de. </w:t>
      </w:r>
      <w:r>
        <w:rPr>
          <w:b/>
          <w:color w:val="212121"/>
          <w:sz w:val="24"/>
        </w:rPr>
        <w:t>Transfobia e crimes de ódio: Assassinatos de pessoas transgênero como genocídio</w:t>
      </w:r>
      <w:r>
        <w:rPr>
          <w:color w:val="212121"/>
          <w:sz w:val="24"/>
        </w:rPr>
        <w:t>. In: MARANHÃO Fº, Eduardo Meinberg de Albuquerque (Org.). (In</w:t>
      </w:r>
      <w:proofErr w:type="gramStart"/>
      <w:r>
        <w:rPr>
          <w:color w:val="212121"/>
          <w:sz w:val="24"/>
        </w:rPr>
        <w:t>)Visibil</w:t>
      </w:r>
      <w:r>
        <w:rPr>
          <w:color w:val="212121"/>
          <w:sz w:val="24"/>
        </w:rPr>
        <w:t>idade</w:t>
      </w:r>
      <w:proofErr w:type="gramEnd"/>
      <w:r>
        <w:rPr>
          <w:color w:val="212121"/>
          <w:sz w:val="24"/>
        </w:rPr>
        <w:t xml:space="preserve"> Trans 2. História Agora, v.16, nº 2, pp.101-123, 2013. Disponível em:&lt; </w:t>
      </w:r>
      <w:hyperlink r:id="rId15">
        <w:r>
          <w:rPr>
            <w:color w:val="212121"/>
            <w:sz w:val="24"/>
          </w:rPr>
          <w:t xml:space="preserve">http://jaquejesus.blogspot.com.br/2015/08/transfobia-e-crimes-de-odio.html&gt;. </w:t>
        </w:r>
      </w:hyperlink>
      <w:r>
        <w:rPr>
          <w:color w:val="212121"/>
          <w:sz w:val="24"/>
        </w:rPr>
        <w:t>Acesso e</w:t>
      </w:r>
      <w:r>
        <w:rPr>
          <w:color w:val="212121"/>
          <w:sz w:val="24"/>
        </w:rPr>
        <w:t>m: 28 mar. 2016</w:t>
      </w:r>
    </w:p>
    <w:p w:rsidR="00851CD3" w:rsidRDefault="00851CD3">
      <w:pPr>
        <w:pStyle w:val="Corpodetexto"/>
        <w:spacing w:before="9"/>
        <w:rPr>
          <w:sz w:val="23"/>
        </w:rPr>
      </w:pPr>
    </w:p>
    <w:p w:rsidR="00851CD3" w:rsidRDefault="00E11BE2">
      <w:pPr>
        <w:pStyle w:val="Corpodetexto"/>
        <w:ind w:left="302" w:right="671"/>
      </w:pPr>
      <w:r>
        <w:t xml:space="preserve">GARCIA, Marcos Vieira Roberto. </w:t>
      </w:r>
      <w:r>
        <w:rPr>
          <w:b/>
        </w:rPr>
        <w:t>DRAGÕES</w:t>
      </w:r>
      <w:r>
        <w:t xml:space="preserve">. Gênero, corpo e violência na formação da identidade entre as travestis de baixa renda – tese apresentada ao Programa de Pós-Graduação em Psicologia social </w:t>
      </w:r>
      <w:proofErr w:type="gramStart"/>
      <w:r>
        <w:t>doInstituto</w:t>
      </w:r>
      <w:proofErr w:type="gramEnd"/>
      <w:r>
        <w:t xml:space="preserve"> de Psicologia da Universidade de</w:t>
      </w:r>
      <w:r>
        <w:t xml:space="preserve"> São Paulo: 2007.</w:t>
      </w:r>
    </w:p>
    <w:p w:rsidR="00851CD3" w:rsidRDefault="00E11BE2">
      <w:pPr>
        <w:pStyle w:val="Corpodetexto"/>
        <w:ind w:left="302" w:right="1612"/>
      </w:pPr>
      <w:r>
        <w:t xml:space="preserve">Disponível em:&lt; </w:t>
      </w:r>
      <w:hyperlink r:id="rId16">
        <w:r>
          <w:t>http://www.teses.usp.br/teses/disponiveis/47/47134/tde-04032010-</w:t>
        </w:r>
      </w:hyperlink>
      <w:r>
        <w:t xml:space="preserve"> 115652/</w:t>
      </w:r>
      <w:proofErr w:type="gramStart"/>
      <w:r>
        <w:t>pt</w:t>
      </w:r>
      <w:proofErr w:type="gramEnd"/>
      <w:r>
        <w:t>-br.php&gt;. Acesso em: 28 mar. 2016</w:t>
      </w:r>
    </w:p>
    <w:p w:rsidR="00851CD3" w:rsidRDefault="00851CD3">
      <w:pPr>
        <w:pStyle w:val="Corpodetexto"/>
      </w:pPr>
    </w:p>
    <w:p w:rsidR="00851CD3" w:rsidRDefault="00E11BE2">
      <w:pPr>
        <w:spacing w:before="1"/>
        <w:ind w:left="302" w:right="721"/>
        <w:rPr>
          <w:sz w:val="24"/>
        </w:rPr>
      </w:pPr>
      <w:r>
        <w:rPr>
          <w:sz w:val="24"/>
        </w:rPr>
        <w:t xml:space="preserve">LOURO, Guacira Lopes. </w:t>
      </w:r>
      <w:r>
        <w:rPr>
          <w:b/>
          <w:sz w:val="24"/>
        </w:rPr>
        <w:t>O Corpo</w:t>
      </w:r>
      <w:r>
        <w:rPr>
          <w:b/>
          <w:sz w:val="24"/>
        </w:rPr>
        <w:t xml:space="preserve"> Educado: pedagogias da sexualidade. </w:t>
      </w:r>
      <w:r>
        <w:rPr>
          <w:sz w:val="24"/>
        </w:rPr>
        <w:t>Disponível em:&lt;</w:t>
      </w:r>
      <w:hyperlink r:id="rId17">
        <w:r>
          <w:rPr>
            <w:sz w:val="24"/>
          </w:rPr>
          <w:t>http://www.clam.org.br/bibliotecadigital/uploads/publicacoes/867_1567_louroguaciralL</w:t>
        </w:r>
      </w:hyperlink>
      <w:r>
        <w:rPr>
          <w:sz w:val="24"/>
        </w:rPr>
        <w:t xml:space="preserve"> opescorpoeducad</w:t>
      </w:r>
      <w:r>
        <w:rPr>
          <w:sz w:val="24"/>
        </w:rPr>
        <w:t>o.pdf&gt;. Acesso em: 25 mar. 2016</w:t>
      </w:r>
    </w:p>
    <w:p w:rsidR="00851CD3" w:rsidRDefault="00851CD3">
      <w:pPr>
        <w:pStyle w:val="Corpodetexto"/>
      </w:pPr>
    </w:p>
    <w:p w:rsidR="00851CD3" w:rsidRDefault="00E11BE2">
      <w:pPr>
        <w:ind w:left="302" w:right="717"/>
        <w:rPr>
          <w:sz w:val="24"/>
        </w:rPr>
      </w:pPr>
      <w:r>
        <w:rPr>
          <w:sz w:val="24"/>
        </w:rPr>
        <w:t xml:space="preserve">PINTO, Gabriela Berlese. </w:t>
      </w:r>
      <w:r>
        <w:rPr>
          <w:b/>
          <w:sz w:val="24"/>
        </w:rPr>
        <w:t xml:space="preserve">Violência Doméstica e Familiar à Luz da Lei Nº 11.340/2006. </w:t>
      </w:r>
      <w:r>
        <w:rPr>
          <w:sz w:val="24"/>
        </w:rPr>
        <w:t xml:space="preserve">2007. Disponível em:&lt; </w:t>
      </w:r>
      <w:hyperlink r:id="rId18">
        <w:r>
          <w:rPr>
            <w:sz w:val="24"/>
          </w:rPr>
          <w:t>http</w:t>
        </w:r>
        <w:r>
          <w:rPr>
            <w:sz w:val="24"/>
          </w:rPr>
          <w:t>://www3.pucrs.br/pucrs/files/uni/poa/direito/graduacao/tcc/tcc2/trabalhos2007_1/gabriela</w:t>
        </w:r>
      </w:hyperlink>
    </w:p>
    <w:p w:rsidR="00851CD3" w:rsidRDefault="00E11BE2">
      <w:pPr>
        <w:pStyle w:val="Corpodetexto"/>
        <w:ind w:left="302"/>
      </w:pPr>
      <w:r>
        <w:t xml:space="preserve">_berlese.pdf&gt;. Acesso em: </w:t>
      </w:r>
      <w:proofErr w:type="gramStart"/>
      <w:r>
        <w:t>6</w:t>
      </w:r>
      <w:proofErr w:type="gramEnd"/>
      <w:r>
        <w:t xml:space="preserve"> de mai. 2016</w:t>
      </w:r>
    </w:p>
    <w:p w:rsidR="00851CD3" w:rsidRDefault="00851CD3">
      <w:pPr>
        <w:pStyle w:val="Corpodetexto"/>
      </w:pPr>
    </w:p>
    <w:p w:rsidR="00851CD3" w:rsidRDefault="00E11BE2">
      <w:pPr>
        <w:ind w:left="302" w:right="1091"/>
        <w:rPr>
          <w:sz w:val="24"/>
        </w:rPr>
      </w:pPr>
      <w:r>
        <w:rPr>
          <w:sz w:val="24"/>
        </w:rPr>
        <w:t xml:space="preserve">TANNURI, Claudia Aoun; HUDLER, Daniel Jacomelli. </w:t>
      </w:r>
      <w:r>
        <w:rPr>
          <w:b/>
          <w:sz w:val="24"/>
        </w:rPr>
        <w:t xml:space="preserve">Lei Maria da Penha também é aplicável às transexuais femininas. </w:t>
      </w:r>
      <w:r>
        <w:rPr>
          <w:sz w:val="24"/>
        </w:rPr>
        <w:t>Consultor Jurídico, 2015. Disponível em:&lt;</w:t>
      </w:r>
      <w:hyperlink r:id="rId19">
        <w:r>
          <w:rPr>
            <w:b/>
            <w:sz w:val="24"/>
          </w:rPr>
          <w:t>http://www.conjur.com.br/2015-out-02/lei-maria-penha-tambem-aplicavel-</w:t>
        </w:r>
      </w:hyperlink>
      <w:r>
        <w:rPr>
          <w:b/>
          <w:sz w:val="24"/>
        </w:rPr>
        <w:t xml:space="preserve"> </w:t>
      </w:r>
      <w:hyperlink r:id="rId20">
        <w:proofErr w:type="gramStart"/>
        <w:r>
          <w:rPr>
            <w:b/>
            <w:sz w:val="24"/>
          </w:rPr>
          <w:t>transexuais-femininas</w:t>
        </w:r>
        <w:proofErr w:type="gramEnd"/>
      </w:hyperlink>
      <w:r>
        <w:rPr>
          <w:sz w:val="24"/>
        </w:rPr>
        <w:t>&gt;. Acesso em: 25 mar. 2016</w:t>
      </w:r>
    </w:p>
    <w:sectPr w:rsidR="00851CD3">
      <w:pgSz w:w="11910" w:h="16840"/>
      <w:pgMar w:top="920" w:right="500" w:bottom="280" w:left="140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BE2" w:rsidRDefault="00E11BE2">
      <w:r>
        <w:separator/>
      </w:r>
    </w:p>
  </w:endnote>
  <w:endnote w:type="continuationSeparator" w:id="0">
    <w:p w:rsidR="00E11BE2" w:rsidRDefault="00E11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BE2" w:rsidRDefault="00E11BE2">
      <w:r>
        <w:separator/>
      </w:r>
    </w:p>
  </w:footnote>
  <w:footnote w:type="continuationSeparator" w:id="0">
    <w:p w:rsidR="00E11BE2" w:rsidRDefault="00E11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CD3" w:rsidRDefault="00E11BE2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33.25pt;margin-top:37.45pt;width:5.6pt;height:11.05pt;z-index:-10696;mso-position-horizontal-relative:page;mso-position-vertical-relative:page" filled="f" stroked="f">
          <v:textbox inset="0,0,0,0">
            <w:txbxContent>
              <w:p w:rsidR="00851CD3" w:rsidRDefault="00E11BE2">
                <w:pPr>
                  <w:spacing w:line="221" w:lineRule="exact"/>
                  <w:rPr>
                    <w:rFonts w:ascii="Calibri"/>
                  </w:rPr>
                </w:pPr>
                <w:proofErr w:type="gramStart"/>
                <w:r>
                  <w:rPr>
                    <w:rFonts w:ascii="Calibri"/>
                  </w:rPr>
                  <w:t>0</w:t>
                </w:r>
                <w:proofErr w:type="gramEnd"/>
              </w:p>
            </w:txbxContent>
          </v:textbox>
          <w10:wrap anchorx="page" anchory="page"/>
        </v:shape>
      </w:pict>
    </w:r>
    <w:r>
      <w:pict>
        <v:rect id="_x0000_s2052" style="position:absolute;margin-left:387.7pt;margin-top:29.05pt;width:181.3pt;height:33.35pt;z-index:-10672;mso-position-horizontal-relative:page;mso-position-vertical-relative:page" stroked="f">
          <w10:wrap anchorx="page" anchory="page"/>
        </v:rect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CD3" w:rsidRDefault="00851CD3">
    <w:pPr>
      <w:pStyle w:val="Corpodetexto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CD3" w:rsidRDefault="00E11BE2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3.75pt;margin-top:35.5pt;width:5pt;height:11.05pt;z-index:-10648;mso-position-horizontal-relative:page;mso-position-vertical-relative:page" filled="f" stroked="f">
          <v:textbox inset="0,0,0,0">
            <w:txbxContent>
              <w:p w:rsidR="00851CD3" w:rsidRDefault="00E11BE2">
                <w:pPr>
                  <w:spacing w:line="221" w:lineRule="exact"/>
                  <w:rPr>
                    <w:sz w:val="20"/>
                  </w:rPr>
                </w:pPr>
                <w:proofErr w:type="gramStart"/>
                <w:r>
                  <w:rPr>
                    <w:w w:val="99"/>
                    <w:sz w:val="20"/>
                  </w:rPr>
                  <w:t>2</w:t>
                </w:r>
                <w:proofErr w:type="gramEnd"/>
              </w:p>
            </w:txbxContent>
          </v:textbox>
          <w10:wrap anchorx="page" anchory="page"/>
        </v:shape>
      </w:pict>
    </w:r>
    <w:r>
      <w:pict>
        <v:rect id="_x0000_s2050" style="position:absolute;margin-left:383.55pt;margin-top:28.3pt;width:181.3pt;height:33.35pt;z-index:-10624;mso-position-horizontal-relative:page;mso-position-vertical-relative:page" stroked="f">
          <w10:wrap anchorx="page" anchory="page"/>
        </v:rect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CD3" w:rsidRDefault="00E11BE2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6.8pt;margin-top:34.5pt;width:14.1pt;height:13.05pt;z-index:-10600;mso-position-horizontal-relative:page;mso-position-vertical-relative:page" filled="f" stroked="f">
          <v:textbox inset="0,0,0,0">
            <w:txbxContent>
              <w:p w:rsidR="00851CD3" w:rsidRDefault="00E11BE2">
                <w:pPr>
                  <w:spacing w:before="10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B58B8">
                  <w:rPr>
                    <w:noProof/>
                    <w:sz w:val="20"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C2A09"/>
    <w:multiLevelType w:val="hybridMultilevel"/>
    <w:tmpl w:val="AB28A4BC"/>
    <w:lvl w:ilvl="0" w:tplc="2FDA087A">
      <w:start w:val="2"/>
      <w:numFmt w:val="decimal"/>
      <w:lvlText w:val="%1"/>
      <w:lvlJc w:val="left"/>
      <w:pPr>
        <w:ind w:left="482" w:hanging="18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pt-PT" w:eastAsia="pt-PT" w:bidi="pt-PT"/>
      </w:rPr>
    </w:lvl>
    <w:lvl w:ilvl="1" w:tplc="7E88AFF0">
      <w:numFmt w:val="bullet"/>
      <w:lvlText w:val="•"/>
      <w:lvlJc w:val="left"/>
      <w:pPr>
        <w:ind w:left="480" w:hanging="180"/>
      </w:pPr>
      <w:rPr>
        <w:rFonts w:hint="default"/>
        <w:lang w:val="pt-PT" w:eastAsia="pt-PT" w:bidi="pt-PT"/>
      </w:rPr>
    </w:lvl>
    <w:lvl w:ilvl="2" w:tplc="1D441998">
      <w:numFmt w:val="bullet"/>
      <w:lvlText w:val="•"/>
      <w:lvlJc w:val="left"/>
      <w:pPr>
        <w:ind w:left="660" w:hanging="180"/>
      </w:pPr>
      <w:rPr>
        <w:rFonts w:hint="default"/>
        <w:lang w:val="pt-PT" w:eastAsia="pt-PT" w:bidi="pt-PT"/>
      </w:rPr>
    </w:lvl>
    <w:lvl w:ilvl="3" w:tplc="23C6C8B0">
      <w:numFmt w:val="bullet"/>
      <w:lvlText w:val="•"/>
      <w:lvlJc w:val="left"/>
      <w:pPr>
        <w:ind w:left="1828" w:hanging="180"/>
      </w:pPr>
      <w:rPr>
        <w:rFonts w:hint="default"/>
        <w:lang w:val="pt-PT" w:eastAsia="pt-PT" w:bidi="pt-PT"/>
      </w:rPr>
    </w:lvl>
    <w:lvl w:ilvl="4" w:tplc="8DFEB85A">
      <w:numFmt w:val="bullet"/>
      <w:lvlText w:val="•"/>
      <w:lvlJc w:val="left"/>
      <w:pPr>
        <w:ind w:left="2996" w:hanging="180"/>
      </w:pPr>
      <w:rPr>
        <w:rFonts w:hint="default"/>
        <w:lang w:val="pt-PT" w:eastAsia="pt-PT" w:bidi="pt-PT"/>
      </w:rPr>
    </w:lvl>
    <w:lvl w:ilvl="5" w:tplc="0714DDC2">
      <w:numFmt w:val="bullet"/>
      <w:lvlText w:val="•"/>
      <w:lvlJc w:val="left"/>
      <w:pPr>
        <w:ind w:left="4164" w:hanging="180"/>
      </w:pPr>
      <w:rPr>
        <w:rFonts w:hint="default"/>
        <w:lang w:val="pt-PT" w:eastAsia="pt-PT" w:bidi="pt-PT"/>
      </w:rPr>
    </w:lvl>
    <w:lvl w:ilvl="6" w:tplc="13783EC8">
      <w:numFmt w:val="bullet"/>
      <w:lvlText w:val="•"/>
      <w:lvlJc w:val="left"/>
      <w:pPr>
        <w:ind w:left="5333" w:hanging="180"/>
      </w:pPr>
      <w:rPr>
        <w:rFonts w:hint="default"/>
        <w:lang w:val="pt-PT" w:eastAsia="pt-PT" w:bidi="pt-PT"/>
      </w:rPr>
    </w:lvl>
    <w:lvl w:ilvl="7" w:tplc="00365C2A">
      <w:numFmt w:val="bullet"/>
      <w:lvlText w:val="•"/>
      <w:lvlJc w:val="left"/>
      <w:pPr>
        <w:ind w:left="6501" w:hanging="180"/>
      </w:pPr>
      <w:rPr>
        <w:rFonts w:hint="default"/>
        <w:lang w:val="pt-PT" w:eastAsia="pt-PT" w:bidi="pt-PT"/>
      </w:rPr>
    </w:lvl>
    <w:lvl w:ilvl="8" w:tplc="26E8D7F2">
      <w:numFmt w:val="bullet"/>
      <w:lvlText w:val="•"/>
      <w:lvlJc w:val="left"/>
      <w:pPr>
        <w:ind w:left="7669" w:hanging="180"/>
      </w:pPr>
      <w:rPr>
        <w:rFonts w:hint="default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51CD3"/>
    <w:rsid w:val="000B58B8"/>
    <w:rsid w:val="00851CD3"/>
    <w:rsid w:val="00E1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3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82" w:hanging="180"/>
    </w:pPr>
  </w:style>
  <w:style w:type="paragraph" w:customStyle="1" w:styleId="TableParagraph">
    <w:name w:val="Table Paragraph"/>
    <w:basedOn w:val="Normal"/>
    <w:uiPriority w:val="1"/>
    <w:qFormat/>
    <w:pPr>
      <w:ind w:left="11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publicadireito.com.br/artigos/?cod=4e00844f94e3625d" TargetMode="External"/><Relationship Id="rId18" Type="http://schemas.openxmlformats.org/officeDocument/2006/relationships/hyperlink" Target="http://www3.pucrs.br/pucrs/files/uni/poa/direito/graduacao/tcc/tcc2/trabalhos2007_1/gabriela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s.conjur.com.br/dl/homologacao-flagrante-resolucao-cnj.pdf" TargetMode="External"/><Relationship Id="rId17" Type="http://schemas.openxmlformats.org/officeDocument/2006/relationships/hyperlink" Target="http://www.clam.org.br/bibliotecadigital/uploads/publicacoes/867_1567_louroguaciral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eses.usp.br/teses/disponiveis/47/47134/tde-04032010-" TargetMode="External"/><Relationship Id="rId20" Type="http://schemas.openxmlformats.org/officeDocument/2006/relationships/hyperlink" Target="http://www.conjur.com.br/2015-out-02/lei-maria-penha-tambem-aplicavel-transexuais-femininas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yperlink" Target="http://jaquejesus.blogspot.com.br/2015/08/transfobia-e-crimes-de-odio.html" TargetMode="External"/><Relationship Id="rId10" Type="http://schemas.openxmlformats.org/officeDocument/2006/relationships/header" Target="header3.xml"/><Relationship Id="rId19" Type="http://schemas.openxmlformats.org/officeDocument/2006/relationships/hyperlink" Target="http://www.conjur.com.br/2015-out-02/lei-maria-penha-tambem-aplicavel-transexuais-femininas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periodicos.ufpb.br/ojs/index.php/ged/article/view/20049/1179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4477</Words>
  <Characters>24180</Characters>
  <Application>Microsoft Office Word</Application>
  <DocSecurity>0</DocSecurity>
  <Lines>201</Lines>
  <Paragraphs>57</Paragraphs>
  <ScaleCrop>false</ScaleCrop>
  <Company/>
  <LinksUpToDate>false</LinksUpToDate>
  <CharactersWithSpaces>28600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Ismael Pimenta</dc:creator>
  <cp:lastModifiedBy>Gabriel</cp:lastModifiedBy>
  <cp:revision>2</cp:revision>
  <dcterms:created xsi:type="dcterms:W3CDTF">2018-06-20T03:18:00Z</dcterms:created>
  <dcterms:modified xsi:type="dcterms:W3CDTF">2018-06-20T03:22:00Z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2018-06-20T00:00:00Z</vt:filetime>
  </property>
</Properties>
</file>