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02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SINOPSE DO CASE: </w:t>
      </w:r>
      <w:r w:rsidRPr="00EA5902">
        <w:rPr>
          <w:rFonts w:ascii="Times New Roman" w:hAnsi="Times New Roman" w:cs="Times New Roman"/>
          <w:sz w:val="28"/>
        </w:rPr>
        <w:t>PENA PODE SER CUMPRIDA APÓS DECISÃO DE SEGUNDA INSTÂNCIA, DECIDE STF</w:t>
      </w:r>
      <w:r w:rsidRPr="00EA5902">
        <w:rPr>
          <w:rStyle w:val="Refdenotaderodap"/>
          <w:rFonts w:ascii="Times New Roman" w:hAnsi="Times New Roman" w:cs="Times New Roman"/>
          <w:sz w:val="28"/>
        </w:rPr>
        <w:footnoteReference w:id="1"/>
      </w:r>
    </w:p>
    <w:p w:rsidR="00EA5902" w:rsidRPr="00922DB1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64FE4" w:rsidRPr="00EA5902" w:rsidRDefault="00EA5902" w:rsidP="00EA590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A5902">
        <w:rPr>
          <w:rFonts w:ascii="Times New Roman" w:hAnsi="Times New Roman" w:cs="Times New Roman"/>
          <w:sz w:val="24"/>
        </w:rPr>
        <w:t>Renan Conde dos Santos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EA5902" w:rsidRDefault="00EA5902" w:rsidP="00EA590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5B4978" w:rsidRDefault="005B4978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902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760">
        <w:rPr>
          <w:rFonts w:ascii="Times New Roman" w:hAnsi="Times New Roman" w:cs="Times New Roman"/>
          <w:b/>
          <w:sz w:val="24"/>
          <w:szCs w:val="24"/>
        </w:rPr>
        <w:t>1. DESCRIÇÃO DO CASO</w:t>
      </w:r>
    </w:p>
    <w:p w:rsidR="005B4978" w:rsidRDefault="005B4978" w:rsidP="00EA5902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4978" w:rsidRDefault="007D1DF2" w:rsidP="00E86E0D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caso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ser exposto, versa sobre uma decisão proferida pelo Supremo Tribunal Federal sobre um Habeas Corpus HC 126.292, em que pela maioria dos votos no Plenário, chegou-se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conclusão do início da pena condenatória após a confirmação da sentença em segundo grau, não ofendendo o princípio da presunção da inocência.</w:t>
      </w:r>
    </w:p>
    <w:p w:rsidR="007D1DF2" w:rsidRPr="007D1DF2" w:rsidRDefault="007D1DF2" w:rsidP="00E86E0D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Essa decisão difere da tomada pela Corte em 2009, quando foi decido um Habeas Corpus em que condicionava a execução da pena ao trânsito em julgado da condenação.</w:t>
      </w:r>
    </w:p>
    <w:p w:rsidR="00E86E0D" w:rsidRDefault="00E86E0D" w:rsidP="00E86E0D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5902" w:rsidRPr="00373760" w:rsidRDefault="00EA5902" w:rsidP="00EA5902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60">
        <w:rPr>
          <w:rFonts w:ascii="Times New Roman" w:hAnsi="Times New Roman" w:cs="Times New Roman"/>
          <w:b/>
          <w:bCs/>
          <w:sz w:val="24"/>
          <w:szCs w:val="24"/>
        </w:rPr>
        <w:t>2. IDENTIFICAÇÃO E ANÁLISE DO CASO</w:t>
      </w:r>
    </w:p>
    <w:p w:rsidR="00EA5902" w:rsidRPr="00373760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760">
        <w:rPr>
          <w:rFonts w:ascii="Times New Roman" w:hAnsi="Times New Roman" w:cs="Times New Roman"/>
          <w:b/>
          <w:sz w:val="24"/>
          <w:szCs w:val="24"/>
        </w:rPr>
        <w:t>2.1 DESCRIÇÃO DAS DECISÕES POSSÍVEIS</w:t>
      </w:r>
      <w:bookmarkStart w:id="0" w:name="_GoBack"/>
      <w:bookmarkEnd w:id="0"/>
    </w:p>
    <w:p w:rsidR="00EA5902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4B" w:rsidRPr="00557B4B" w:rsidRDefault="00557B4B" w:rsidP="00EA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2.1.1 </w:t>
      </w:r>
      <w:r>
        <w:rPr>
          <w:rFonts w:ascii="Times New Roman" w:hAnsi="Times New Roman" w:cs="Times New Roman"/>
          <w:sz w:val="24"/>
          <w:szCs w:val="24"/>
        </w:rPr>
        <w:t>O princípio da Proibição do Excesso deve prevalecer sobre o da Proibição de Defesa Deficiente.</w:t>
      </w:r>
    </w:p>
    <w:p w:rsidR="00557B4B" w:rsidRDefault="00557B4B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4B" w:rsidRDefault="00557B4B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</w:t>
      </w:r>
      <w:r w:rsidRPr="00557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princípio da Proibição de Defesa Deficiente deve prevalecer sobre o da Proibição do Excesso.</w:t>
      </w:r>
    </w:p>
    <w:p w:rsidR="00557B4B" w:rsidRPr="00373760" w:rsidRDefault="00557B4B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902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760">
        <w:rPr>
          <w:rFonts w:ascii="Times New Roman" w:hAnsi="Times New Roman" w:cs="Times New Roman"/>
          <w:b/>
          <w:sz w:val="24"/>
          <w:szCs w:val="24"/>
        </w:rPr>
        <w:t>2.2 ARGUMENTOS CAPAZES DE FUNDAMENTAR CADA DECISÃO</w:t>
      </w:r>
    </w:p>
    <w:p w:rsidR="005B4978" w:rsidRDefault="005B4978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5902" w:rsidRDefault="00EA5902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2.2.1</w:t>
      </w:r>
      <w:r w:rsidR="00557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C93" w:rsidRPr="00676C93">
        <w:rPr>
          <w:rFonts w:ascii="Times New Roman" w:hAnsi="Times New Roman" w:cs="Times New Roman"/>
          <w:b/>
          <w:sz w:val="24"/>
          <w:szCs w:val="24"/>
        </w:rPr>
        <w:t>O princípio da Proibição do Excesso deve prevalecer sobre o da Proibição de Defesa Deficiente.</w:t>
      </w:r>
    </w:p>
    <w:p w:rsidR="005924D4" w:rsidRDefault="005924D4" w:rsidP="005924D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B9663F">
        <w:rPr>
          <w:rFonts w:ascii="Times New Roman" w:hAnsi="Times New Roman" w:cs="Times New Roman"/>
          <w:bCs/>
          <w:sz w:val="24"/>
          <w:szCs w:val="24"/>
        </w:rPr>
        <w:t xml:space="preserve"> princípio da proibição de proteção deficiente, surge como uma nova face do princípio da proporcionalidade, este, encontrando amparo no novo modelo de Estado, dando </w:t>
      </w:r>
      <w:r w:rsidR="00B9663F">
        <w:rPr>
          <w:rFonts w:ascii="Times New Roman" w:hAnsi="Times New Roman" w:cs="Times New Roman"/>
          <w:bCs/>
          <w:sz w:val="24"/>
          <w:szCs w:val="24"/>
        </w:rPr>
        <w:lastRenderedPageBreak/>
        <w:t>novas respostas d</w:t>
      </w:r>
      <w:r>
        <w:rPr>
          <w:rFonts w:ascii="Times New Roman" w:hAnsi="Times New Roman" w:cs="Times New Roman"/>
          <w:bCs/>
          <w:sz w:val="24"/>
          <w:szCs w:val="24"/>
        </w:rPr>
        <w:t>e segurança. Segundo Conti (2014, p. 01), todo excesso é prejudicial ao ser, e ao longo dos anos, vários foram os filósofos que discorrem sobre este assunto.</w:t>
      </w:r>
    </w:p>
    <w:p w:rsidR="005924D4" w:rsidRDefault="005924D4" w:rsidP="005924D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 acordo com o Código Penal, mas especificamente em seu artigo 23, parágrafo único, o agente será responsabilizado pelo excesso causado em determinadas circunstâncias, portanto, há uma necessidade, que para que isso não ocorra, é preciso que o a gente não exceda os limites prescritos pela lei. 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(CONTI, 2014, p. 01)</w:t>
      </w:r>
    </w:p>
    <w:p w:rsidR="005924D4" w:rsidRDefault="005B4978" w:rsidP="005924D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Com a nova decisão tomada pelo Supremo Tribunal Federal, entende-se que ao longo dos anos a população carcerária brasileira irá aumentar de forma expressiva, contribuindo ainda mais para a superlotação que hojé é enfre</w:t>
      </w:r>
      <w:r w:rsidR="00672723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tada em vários presídios no Brasil. De acordo com dados disponibilizados pelo Governo, a população prisional do Brasil ultrapassa os 600.000 mil presos, estando entre as 5 maiores populações carcerárias do mundo</w:t>
      </w:r>
      <w:r w:rsidR="00557B4B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Moura e Ribeiro (2014, p. 11)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.</w:t>
      </w:r>
      <w:r w:rsidR="00557B4B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Se com esse contigente, vários direito fundamentais não são aplicados, imagine se essa população viesse a crescer mais com a decisão do Supremo Tribunal Federal.</w:t>
      </w:r>
    </w:p>
    <w:p w:rsidR="005B4978" w:rsidRDefault="00F2656D" w:rsidP="005924D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Dessa forma, a prisão só irá se just</w:t>
      </w:r>
      <w:r w:rsidR="00344747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ificar caso seja feita após uma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sentença condenatória com o trânsito em julgado, co</w:t>
      </w:r>
      <w:r w:rsidR="00344747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mo não decidido, 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pela maiora do votos no Plenár</w:t>
      </w:r>
      <w:r w:rsidR="00344747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io do Supremo Tribunal Federal.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</w:t>
      </w:r>
      <w:r w:rsidR="00344747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Isso seria considerado uma uma ofensa ao princípio da Proibição do Excesso, como defende os Ministros Marco Aurélio, Celso de Mello e Ricado Lewandowski, </w:t>
      </w:r>
      <w:r w:rsidR="00672723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assim, </w:t>
      </w:r>
      <w:r w:rsidR="00344747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garantido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que o Estado não se exceda no cumprimento da pena</w:t>
      </w:r>
      <w:r w:rsidR="00344747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do indivíduo.</w:t>
      </w:r>
    </w:p>
    <w:p w:rsidR="00672723" w:rsidRDefault="00672723" w:rsidP="005924D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Dessa forma, com os argumento expostos, a utilização do princípio da Proibição do Excesso, seria </w:t>
      </w:r>
      <w:r w:rsidR="00C6773E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>melhor utilizado para solucionar esse impasse, uma vez que aumenta o prazo da o réu se defender das acusações e de não aumentar a população carcerário sem motivo,</w:t>
      </w:r>
      <w:r w:rsidR="00C6773E"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observando-se a presunção da inocência,</w:t>
      </w:r>
      <w:r>
        <w:rPr>
          <w:rFonts w:ascii="Times New Roman" w:eastAsia="Times New Roman" w:hAnsi="Times New Roman" w:cs="Times New Roman"/>
          <w:sz w:val="24"/>
          <w:szCs w:val="20"/>
          <w:lang w:val="pt-PT" w:eastAsia="pt-BR"/>
        </w:rPr>
        <w:t xml:space="preserve"> a não ser na prisão preventiva ou temporárias, que estas devem obedecer certos requisitos para seu cumprimento.</w:t>
      </w:r>
    </w:p>
    <w:p w:rsidR="00344747" w:rsidRDefault="00344747" w:rsidP="005B497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0"/>
          <w:lang w:val="pt-PT" w:eastAsia="pt-BR"/>
        </w:rPr>
      </w:pPr>
    </w:p>
    <w:p w:rsidR="00676C93" w:rsidRDefault="005B4978" w:rsidP="00676C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2.2.2 </w:t>
      </w:r>
      <w:r w:rsidR="00676C93" w:rsidRPr="00676C93">
        <w:rPr>
          <w:rFonts w:ascii="Times New Roman" w:hAnsi="Times New Roman" w:cs="Times New Roman"/>
          <w:b/>
          <w:sz w:val="24"/>
          <w:szCs w:val="24"/>
        </w:rPr>
        <w:t>O princípio da Proibição de Defesa Deficiente deve prevalecer sobre o da Proibição do Excesso.</w:t>
      </w:r>
    </w:p>
    <w:p w:rsidR="005B4978" w:rsidRDefault="005B4978" w:rsidP="005B497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773E" w:rsidRPr="00C6773E" w:rsidRDefault="00E86E0D" w:rsidP="00C6773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Entende-se pelo princípio</w:t>
      </w:r>
      <w:r w:rsidR="00C6773E">
        <w:rPr>
          <w:rFonts w:ascii="Times New Roman" w:hAnsi="Times New Roman" w:cs="Times New Roman"/>
          <w:bCs/>
          <w:sz w:val="24"/>
          <w:szCs w:val="24"/>
        </w:rPr>
        <w:t xml:space="preserve"> da Proibição da Defesa Deficiente, </w:t>
      </w:r>
      <w:r>
        <w:rPr>
          <w:rFonts w:ascii="Times New Roman" w:hAnsi="Times New Roman" w:cs="Times New Roman"/>
          <w:bCs/>
          <w:sz w:val="24"/>
          <w:szCs w:val="24"/>
        </w:rPr>
        <w:t>que o Estado deve prover segurança para seus cidadãos, uma vez isto não ocorrendo, ele estaria cometendo um crime, passível de sanção. O Estado tem como função primordial a proteção dos direitos fundamentais, o que por ventura, acarreta no surgimento de um novo modelo de proteção de direitos.</w:t>
      </w:r>
      <w:r w:rsidR="007D1DF2">
        <w:rPr>
          <w:rFonts w:ascii="Times New Roman" w:hAnsi="Times New Roman" w:cs="Times New Roman"/>
          <w:bCs/>
          <w:sz w:val="24"/>
          <w:szCs w:val="24"/>
        </w:rPr>
        <w:t xml:space="preserve"> (GAVIÃO, 2008, p.95)</w:t>
      </w:r>
    </w:p>
    <w:p w:rsidR="002240ED" w:rsidRDefault="002240ED" w:rsidP="002240E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devido processo legal foi cumprido durante o procedimento e, por isto, o indivíduo é considerado culpado, tendo o princípio da presunção de inocência resguardada,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dessa forma não haveria o porquê de se falar do excesso praticado pelo Estado, pois este cumpriu com todos os requisitos necessários para o que indivíduo fosse preso.</w:t>
      </w:r>
    </w:p>
    <w:p w:rsidR="00B9663F" w:rsidRDefault="00C6773E" w:rsidP="00C6773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Como o novo entendimento do Supremo Tribunal Federal, acabou por contemplar o anseio popular, uma vez que estes queriam uma devida punição para os infratores da lei e culpavam o Estado por não os punir de forma adequada, no entendimento do povo. Outro motivo por gera uma insegurança na população Brasileira, seria a demora nos julgamentos e o sistema recursal no Código de Processo Penal, tendo em vista a morosidade processual enfrentada no ordenamento jurídico brasileiro, e provavelmente, com a decisão tomada pelo STF, essa morosidade diminuiria, e os julgamentos seriam acelerados, contri</w:t>
      </w:r>
      <w:r w:rsidR="002240ED">
        <w:rPr>
          <w:rFonts w:ascii="Times New Roman" w:hAnsi="Times New Roman" w:cs="Times New Roman"/>
          <w:bCs/>
          <w:sz w:val="24"/>
          <w:szCs w:val="24"/>
        </w:rPr>
        <w:t>buindo com toda a sociedade.</w:t>
      </w:r>
    </w:p>
    <w:p w:rsidR="00C6773E" w:rsidRPr="00B9663F" w:rsidRDefault="00C6773E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5902" w:rsidRDefault="00EA5902" w:rsidP="00EA5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DESCRIÇÃO DOS CRITÉRIOS E VALORES CONTIDOS EM CADA DECISÃO POSSÍVEL</w:t>
      </w:r>
    </w:p>
    <w:p w:rsidR="00557B4B" w:rsidRDefault="00557B4B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5902" w:rsidRPr="004B457F" w:rsidRDefault="00557B4B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2.3.1</w:t>
      </w:r>
      <w:r w:rsidR="004B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57F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4B457F">
        <w:rPr>
          <w:rFonts w:ascii="Times New Roman" w:hAnsi="Times New Roman" w:cs="Times New Roman"/>
          <w:bCs/>
          <w:sz w:val="24"/>
          <w:szCs w:val="24"/>
        </w:rPr>
        <w:t xml:space="preserve"> presente decisão conclui-se que, foi utilizado como teoria principal, o princípio da Proibição do Excesso, tendo como principais fundamentos o princípio da Presunção da Inocência e pelo voto vencido do Supremo Tribunal Federal.</w:t>
      </w:r>
    </w:p>
    <w:p w:rsidR="00F2656D" w:rsidRDefault="00F2656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7B4B" w:rsidRPr="00CF3479" w:rsidRDefault="00557B4B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2.3.2</w:t>
      </w:r>
      <w:r w:rsidR="00CF34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479">
        <w:rPr>
          <w:rFonts w:ascii="Times New Roman" w:hAnsi="Times New Roman" w:cs="Times New Roman"/>
          <w:bCs/>
          <w:sz w:val="24"/>
          <w:szCs w:val="24"/>
        </w:rPr>
        <w:t>Presencia-se</w:t>
      </w:r>
      <w:proofErr w:type="gramEnd"/>
      <w:r w:rsidR="00CF3479">
        <w:rPr>
          <w:rFonts w:ascii="Times New Roman" w:hAnsi="Times New Roman" w:cs="Times New Roman"/>
          <w:bCs/>
          <w:sz w:val="24"/>
          <w:szCs w:val="24"/>
        </w:rPr>
        <w:t xml:space="preserve"> nessa resposta, que pelo princípio da Proibição de Defesa Deficiente, em que o Estado deve proporcionar respostas úteis</w:t>
      </w:r>
      <w:r w:rsidR="004B457F">
        <w:rPr>
          <w:rFonts w:ascii="Times New Roman" w:hAnsi="Times New Roman" w:cs="Times New Roman"/>
          <w:bCs/>
          <w:sz w:val="24"/>
          <w:szCs w:val="24"/>
        </w:rPr>
        <w:t xml:space="preserve"> em um tempo que seja adequado à sociedade, no que se refere a segurança.</w:t>
      </w: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7D1DF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D1DF2" w:rsidRDefault="007D1DF2" w:rsidP="007D1DF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0D" w:rsidRDefault="00E86E0D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5902" w:rsidRDefault="00EA5902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76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:rsidR="00557B4B" w:rsidRDefault="00557B4B" w:rsidP="00EA59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978" w:rsidRDefault="005B4978" w:rsidP="005B4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CONTI, Matilde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Do Princípio da Proibição do Excesso.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F94F56">
        <w:t xml:space="preserve"> </w:t>
      </w:r>
      <w:r w:rsidRPr="007648D3">
        <w:rPr>
          <w:rFonts w:ascii="Times New Roman" w:hAnsi="Times New Roman" w:cs="Times New Roman"/>
          <w:sz w:val="24"/>
          <w:szCs w:val="24"/>
        </w:rPr>
        <w:t>www.cristinagutierrez.pro.br/variedades/artigos/varid_art1.doc</w:t>
      </w:r>
      <w:r>
        <w:rPr>
          <w:rFonts w:ascii="Times New Roman" w:hAnsi="Times New Roman" w:cs="Times New Roman"/>
          <w:sz w:val="24"/>
          <w:szCs w:val="24"/>
        </w:rPr>
        <w:t>&gt;. Acesso em: 03 out. 2016</w:t>
      </w:r>
    </w:p>
    <w:p w:rsidR="007D1DF2" w:rsidRDefault="007D1DF2" w:rsidP="007D1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DF2" w:rsidRDefault="007D1DF2" w:rsidP="007D1DF2">
      <w:pPr>
        <w:autoSpaceDE w:val="0"/>
        <w:autoSpaceDN w:val="0"/>
        <w:adjustRightInd w:val="0"/>
        <w:spacing w:after="0" w:line="240" w:lineRule="auto"/>
        <w:rPr>
          <w:rStyle w:val="char-style-override-1"/>
          <w:rFonts w:ascii="Times New Roman" w:hAnsi="Times New Roman" w:cs="Times New Roman"/>
          <w:color w:val="231F2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GAVIÃO,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Venturella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 proibição de proteção deficiente.</w:t>
      </w:r>
      <w:r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Pr="00E13A2C">
        <w:t xml:space="preserve"> </w:t>
      </w:r>
      <w:r w:rsidRPr="00E13A2C">
        <w:rPr>
          <w:rFonts w:ascii="Times New Roman" w:hAnsi="Times New Roman" w:cs="Times New Roman"/>
          <w:sz w:val="24"/>
          <w:szCs w:val="24"/>
        </w:rPr>
        <w:t>http://www.amprs.org.br/arquivos/revista_artigo/arquivo_1246460827.pdf</w:t>
      </w:r>
      <w:r>
        <w:rPr>
          <w:rFonts w:ascii="Times New Roman" w:hAnsi="Times New Roman" w:cs="Times New Roman"/>
          <w:sz w:val="24"/>
          <w:szCs w:val="24"/>
        </w:rPr>
        <w:t>&gt;. Acesso em: 01 out. 2016.</w:t>
      </w:r>
      <w:r>
        <w:rPr>
          <w:rStyle w:val="char-style-override-1"/>
          <w:rFonts w:ascii="Times New Roman" w:hAnsi="Times New Roman" w:cs="Times New Roman"/>
          <w:color w:val="231F20"/>
          <w:sz w:val="24"/>
          <w:szCs w:val="21"/>
          <w:shd w:val="clear" w:color="auto" w:fill="FFFFFF"/>
        </w:rPr>
        <w:t xml:space="preserve"> </w:t>
      </w:r>
    </w:p>
    <w:p w:rsidR="00EA5902" w:rsidRDefault="00EA5902" w:rsidP="00EA590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B4978" w:rsidRPr="00EA5902" w:rsidRDefault="00557B4B" w:rsidP="00EA590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MOURA, Tatiana </w:t>
      </w:r>
      <w:proofErr w:type="spellStart"/>
      <w:r>
        <w:rPr>
          <w:rFonts w:ascii="Times New Roman" w:hAnsi="Times New Roman" w:cs="Times New Roman"/>
          <w:sz w:val="24"/>
        </w:rPr>
        <w:t>Whately</w:t>
      </w:r>
      <w:proofErr w:type="spellEnd"/>
      <w:r>
        <w:rPr>
          <w:rFonts w:ascii="Times New Roman" w:hAnsi="Times New Roman" w:cs="Times New Roman"/>
          <w:sz w:val="24"/>
        </w:rPr>
        <w:t xml:space="preserve"> de; RIBEIRO, Natália Caruso Theodoro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557B4B">
        <w:rPr>
          <w:rFonts w:ascii="Times New Roman" w:hAnsi="Times New Roman" w:cs="Times New Roman"/>
          <w:b/>
          <w:sz w:val="24"/>
        </w:rPr>
        <w:t xml:space="preserve">Levantamento Nacional DE INFORMAÇÕES PENITENCIÁRIAS INFOPEN - </w:t>
      </w:r>
      <w:proofErr w:type="gramStart"/>
      <w:r w:rsidRPr="00557B4B">
        <w:rPr>
          <w:rFonts w:ascii="Times New Roman" w:hAnsi="Times New Roman" w:cs="Times New Roman"/>
          <w:b/>
          <w:sz w:val="24"/>
        </w:rPr>
        <w:t>JUNHO</w:t>
      </w:r>
      <w:proofErr w:type="gramEnd"/>
      <w:r w:rsidRPr="00557B4B">
        <w:rPr>
          <w:rFonts w:ascii="Times New Roman" w:hAnsi="Times New Roman" w:cs="Times New Roman"/>
          <w:b/>
          <w:sz w:val="24"/>
        </w:rPr>
        <w:t xml:space="preserve"> DE 2014</w:t>
      </w:r>
      <w:r>
        <w:rPr>
          <w:rFonts w:ascii="Times New Roman" w:hAnsi="Times New Roman" w:cs="Times New Roman"/>
          <w:sz w:val="24"/>
        </w:rPr>
        <w:t xml:space="preserve">. </w:t>
      </w:r>
      <w:r w:rsidR="005B4978">
        <w:rPr>
          <w:rFonts w:ascii="Times New Roman" w:hAnsi="Times New Roman" w:cs="Times New Roman"/>
          <w:sz w:val="24"/>
        </w:rPr>
        <w:t>Disponível em: &lt;</w:t>
      </w:r>
      <w:r w:rsidR="005B4978" w:rsidRPr="005B4978">
        <w:t xml:space="preserve"> </w:t>
      </w:r>
      <w:r w:rsidR="005B4978" w:rsidRPr="005B4978">
        <w:rPr>
          <w:rFonts w:ascii="Times New Roman" w:hAnsi="Times New Roman" w:cs="Times New Roman"/>
          <w:sz w:val="24"/>
        </w:rPr>
        <w:t>http://www.justica.gov.br/seus-direitos/politica-penal/relatorio-depen-versao-web.pdf</w:t>
      </w:r>
      <w:r w:rsidR="005B4978">
        <w:rPr>
          <w:rFonts w:ascii="Times New Roman" w:hAnsi="Times New Roman" w:cs="Times New Roman"/>
          <w:sz w:val="24"/>
        </w:rPr>
        <w:t>&gt;. Acesso em: 03 out. 2016</w:t>
      </w:r>
    </w:p>
    <w:sectPr w:rsidR="005B4978" w:rsidRPr="00EA5902" w:rsidSect="00A2325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8" w:rsidRDefault="00FD4CA8" w:rsidP="00EA5902">
      <w:pPr>
        <w:spacing w:after="0" w:line="240" w:lineRule="auto"/>
      </w:pPr>
      <w:r>
        <w:separator/>
      </w:r>
    </w:p>
  </w:endnote>
  <w:endnote w:type="continuationSeparator" w:id="0">
    <w:p w:rsidR="00FD4CA8" w:rsidRDefault="00FD4CA8" w:rsidP="00EA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8" w:rsidRDefault="00FD4CA8" w:rsidP="00EA5902">
      <w:pPr>
        <w:spacing w:after="0" w:line="240" w:lineRule="auto"/>
      </w:pPr>
      <w:r>
        <w:separator/>
      </w:r>
    </w:p>
  </w:footnote>
  <w:footnote w:type="continuationSeparator" w:id="0">
    <w:p w:rsidR="00FD4CA8" w:rsidRDefault="00FD4CA8" w:rsidP="00EA5902">
      <w:pPr>
        <w:spacing w:after="0" w:line="240" w:lineRule="auto"/>
      </w:pPr>
      <w:r>
        <w:continuationSeparator/>
      </w:r>
    </w:p>
  </w:footnote>
  <w:footnote w:id="1">
    <w:p w:rsidR="00EA5902" w:rsidRDefault="00EA59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Case apresentado à disciplina Direito Processual Penal II</w:t>
      </w:r>
      <w:r w:rsidRPr="000A5B56">
        <w:rPr>
          <w:rFonts w:ascii="Times New Roman" w:hAnsi="Times New Roman" w:cs="Times New Roman"/>
        </w:rPr>
        <w:t>, da Unidade de Ensino Superior Dom Bosco - UNDB.</w:t>
      </w:r>
    </w:p>
  </w:footnote>
  <w:footnote w:id="2">
    <w:p w:rsidR="00EA5902" w:rsidRDefault="00EA59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A5B56">
        <w:rPr>
          <w:rFonts w:ascii="Times New Roman" w:hAnsi="Times New Roman" w:cs="Times New Roman"/>
        </w:rPr>
        <w:t>Alun</w:t>
      </w:r>
      <w:r>
        <w:rPr>
          <w:rFonts w:ascii="Times New Roman" w:hAnsi="Times New Roman" w:cs="Times New Roman"/>
        </w:rPr>
        <w:t>o do 7</w:t>
      </w:r>
      <w:r w:rsidRPr="000A5B56">
        <w:rPr>
          <w:rFonts w:ascii="Times New Roman" w:hAnsi="Times New Roman" w:cs="Times New Roman"/>
        </w:rPr>
        <w:t xml:space="preserve">º Período, do Curso de </w:t>
      </w:r>
      <w:r>
        <w:rPr>
          <w:rFonts w:ascii="Times New Roman" w:hAnsi="Times New Roman" w:cs="Times New Roman"/>
        </w:rPr>
        <w:t>Direito</w:t>
      </w:r>
      <w:r w:rsidRPr="000A5B56">
        <w:rPr>
          <w:rFonts w:ascii="Times New Roman" w:hAnsi="Times New Roman" w:cs="Times New Roman"/>
        </w:rPr>
        <w:t>, da UNDB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8" w:rsidRDefault="005B4978" w:rsidP="005B4978">
    <w:pPr>
      <w:pStyle w:val="Cabealho"/>
      <w:tabs>
        <w:tab w:val="clear" w:pos="4252"/>
        <w:tab w:val="clear" w:pos="8504"/>
        <w:tab w:val="left" w:pos="3120"/>
      </w:tabs>
    </w:pPr>
    <w:r w:rsidRPr="003D3B5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F308D1D" wp14:editId="14A2744B">
          <wp:simplePos x="0" y="0"/>
          <wp:positionH relativeFrom="margin">
            <wp:posOffset>1720215</wp:posOffset>
          </wp:positionH>
          <wp:positionV relativeFrom="page">
            <wp:posOffset>247650</wp:posOffset>
          </wp:positionV>
          <wp:extent cx="2070100" cy="542925"/>
          <wp:effectExtent l="0" t="0" r="6350" b="9525"/>
          <wp:wrapNone/>
          <wp:docPr id="2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02"/>
    <w:rsid w:val="00142F7A"/>
    <w:rsid w:val="002240ED"/>
    <w:rsid w:val="00344747"/>
    <w:rsid w:val="003D3A9A"/>
    <w:rsid w:val="004B457F"/>
    <w:rsid w:val="004F2537"/>
    <w:rsid w:val="00557B4B"/>
    <w:rsid w:val="005924D4"/>
    <w:rsid w:val="005B4978"/>
    <w:rsid w:val="00672723"/>
    <w:rsid w:val="00676C93"/>
    <w:rsid w:val="007D1DF2"/>
    <w:rsid w:val="007D602A"/>
    <w:rsid w:val="00A20AC4"/>
    <w:rsid w:val="00A2175A"/>
    <w:rsid w:val="00A23251"/>
    <w:rsid w:val="00B9663F"/>
    <w:rsid w:val="00C6773E"/>
    <w:rsid w:val="00CF3479"/>
    <w:rsid w:val="00E86E0D"/>
    <w:rsid w:val="00EA5902"/>
    <w:rsid w:val="00F2656D"/>
    <w:rsid w:val="00F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1D26"/>
  <w15:chartTrackingRefBased/>
  <w15:docId w15:val="{5D160871-5301-428D-A1F2-8127DBD8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902"/>
  </w:style>
  <w:style w:type="paragraph" w:styleId="Rodap">
    <w:name w:val="footer"/>
    <w:basedOn w:val="Normal"/>
    <w:link w:val="RodapChar"/>
    <w:uiPriority w:val="99"/>
    <w:unhideWhenUsed/>
    <w:rsid w:val="00EA5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90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59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59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59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B4978"/>
    <w:rPr>
      <w:color w:val="0563C1" w:themeColor="hyperlink"/>
      <w:u w:val="single"/>
    </w:rPr>
  </w:style>
  <w:style w:type="character" w:customStyle="1" w:styleId="char-style-override-1">
    <w:name w:val="char-style-override-1"/>
    <w:basedOn w:val="Fontepargpadro"/>
    <w:rsid w:val="007D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E644-DF76-4030-A9C1-29A336D1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santos</dc:creator>
  <cp:keywords/>
  <dc:description/>
  <cp:lastModifiedBy>conceicao santos</cp:lastModifiedBy>
  <cp:revision>3</cp:revision>
  <dcterms:created xsi:type="dcterms:W3CDTF">2016-10-03T21:50:00Z</dcterms:created>
  <dcterms:modified xsi:type="dcterms:W3CDTF">2018-06-20T02:20:00Z</dcterms:modified>
</cp:coreProperties>
</file>