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AD" w:rsidRPr="00922DB1" w:rsidRDefault="00DE27AD" w:rsidP="00DE2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SINOPSE DO CASE: </w:t>
      </w:r>
      <w:r w:rsidRPr="00DE27AD">
        <w:rPr>
          <w:rFonts w:ascii="Times New Roman" w:hAnsi="Times New Roman" w:cs="Times New Roman"/>
          <w:b/>
          <w:sz w:val="28"/>
        </w:rPr>
        <w:t>EXECUÇÃO POR QUANTIA CERTA FUNDADA EM TÍTULO EXTRAJUDICIAL</w:t>
      </w:r>
      <w:r>
        <w:rPr>
          <w:rStyle w:val="Refdenotaderodap"/>
          <w:rFonts w:ascii="Times New Roman" w:hAnsi="Times New Roman" w:cs="Times New Roman"/>
          <w:b/>
          <w:sz w:val="28"/>
        </w:rPr>
        <w:footnoteReference w:id="1"/>
      </w:r>
    </w:p>
    <w:p w:rsidR="003C2D41" w:rsidRDefault="003C2D41" w:rsidP="00243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D41" w:rsidRDefault="00DE27AD" w:rsidP="00DE27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Renan Conde dos Santos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DE27AD" w:rsidRDefault="00DE27AD" w:rsidP="00DE27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2777" w:rsidRDefault="00842777" w:rsidP="00DE27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27AD" w:rsidRDefault="00DE27AD" w:rsidP="00DE27A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r w:rsidRPr="00922DB1">
        <w:rPr>
          <w:rFonts w:ascii="Times New Roman" w:hAnsi="Times New Roman" w:cs="Times New Roman"/>
          <w:b/>
          <w:sz w:val="24"/>
        </w:rPr>
        <w:t>1. DESCRIÇÃO DO CASO</w:t>
      </w:r>
    </w:p>
    <w:p w:rsidR="00DE27AD" w:rsidRDefault="00DE27AD" w:rsidP="00DE27A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0E462C" w:rsidRDefault="004C3235" w:rsidP="004C323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caso, versa sobre a empresa </w:t>
      </w:r>
      <w:proofErr w:type="spellStart"/>
      <w:r>
        <w:rPr>
          <w:rFonts w:ascii="Times New Roman" w:hAnsi="Times New Roman" w:cs="Times New Roman"/>
          <w:sz w:val="24"/>
        </w:rPr>
        <w:t>Betsaida</w:t>
      </w:r>
      <w:proofErr w:type="spellEnd"/>
      <w:r>
        <w:rPr>
          <w:rFonts w:ascii="Times New Roman" w:hAnsi="Times New Roman" w:cs="Times New Roman"/>
          <w:sz w:val="24"/>
        </w:rPr>
        <w:t xml:space="preserve"> Veículos Ltda., que trocou de diversos sócios e que atua no comércio varejistas de automóveis novos mediante concessão comercial. </w:t>
      </w:r>
      <w:proofErr w:type="spellStart"/>
      <w:r>
        <w:rPr>
          <w:rFonts w:ascii="Times New Roman" w:hAnsi="Times New Roman" w:cs="Times New Roman"/>
          <w:sz w:val="24"/>
        </w:rPr>
        <w:t>Moabe</w:t>
      </w:r>
      <w:proofErr w:type="spellEnd"/>
      <w:r>
        <w:rPr>
          <w:rFonts w:ascii="Times New Roman" w:hAnsi="Times New Roman" w:cs="Times New Roman"/>
          <w:sz w:val="24"/>
        </w:rPr>
        <w:t xml:space="preserve"> tornou-se detentor de 100% das quotas do capital social da referida empresa. Calebe ficou interessado em investir na empresa e logo depois assinou em fevereiro de 2010, um protocolo de intenções, juntamente com duas testemunhas. O instrumento também foi firmado por </w:t>
      </w:r>
      <w:proofErr w:type="spellStart"/>
      <w:r>
        <w:rPr>
          <w:rFonts w:ascii="Times New Roman" w:hAnsi="Times New Roman" w:cs="Times New Roman"/>
          <w:sz w:val="24"/>
        </w:rPr>
        <w:t>Raabe</w:t>
      </w:r>
      <w:proofErr w:type="spellEnd"/>
      <w:r w:rsidR="00595CAB">
        <w:rPr>
          <w:rFonts w:ascii="Times New Roman" w:hAnsi="Times New Roman" w:cs="Times New Roman"/>
          <w:sz w:val="24"/>
        </w:rPr>
        <w:t>, esposa de Calebe, pois eles são casados em regime de comunhão universal de bens.</w:t>
      </w:r>
    </w:p>
    <w:p w:rsidR="00595CAB" w:rsidRDefault="00595CAB" w:rsidP="004C323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Calebe manifestou sua intenção em adquirir 50% das quotas do capital da empresa, cujo preço seria ajustado depois por ambas as partes. Contudo, Calebe, ao examinar a situação contábil-financeira de </w:t>
      </w:r>
      <w:proofErr w:type="spellStart"/>
      <w:r>
        <w:rPr>
          <w:rFonts w:ascii="Times New Roman" w:hAnsi="Times New Roman" w:cs="Times New Roman"/>
          <w:sz w:val="24"/>
        </w:rPr>
        <w:t>Betsaida</w:t>
      </w:r>
      <w:proofErr w:type="spellEnd"/>
      <w:r>
        <w:rPr>
          <w:rFonts w:ascii="Times New Roman" w:hAnsi="Times New Roman" w:cs="Times New Roman"/>
          <w:sz w:val="24"/>
        </w:rPr>
        <w:t>, descobriu que esta encontrava-se a beira da falência, sendo</w:t>
      </w:r>
      <w:r w:rsidR="005C6E8C">
        <w:rPr>
          <w:rFonts w:ascii="Times New Roman" w:hAnsi="Times New Roman" w:cs="Times New Roman"/>
          <w:sz w:val="24"/>
        </w:rPr>
        <w:t xml:space="preserve"> inviável qualquer investimento e optou por desistir dessa sociedade.</w:t>
      </w:r>
    </w:p>
    <w:p w:rsidR="005C6E8C" w:rsidRPr="0083452E" w:rsidRDefault="005C6E8C" w:rsidP="004C323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Moabe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Betsaida</w:t>
      </w:r>
      <w:proofErr w:type="spellEnd"/>
      <w:r>
        <w:rPr>
          <w:rFonts w:ascii="Times New Roman" w:hAnsi="Times New Roman" w:cs="Times New Roman"/>
          <w:sz w:val="24"/>
        </w:rPr>
        <w:t xml:space="preserve"> ajuizaram uma ação em 18 de março de 2016, de execução fundada do Protocolo de Intenções. O juízo competente indeferiu o pedido de penhora de 05 ônibus gravados de alienação fiduciária perante um banco.</w:t>
      </w:r>
    </w:p>
    <w:bookmarkEnd w:id="0"/>
    <w:p w:rsidR="0083452E" w:rsidRDefault="0083452E" w:rsidP="00DE27A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DE27AD" w:rsidRDefault="00DE27AD" w:rsidP="00DE27A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IDENTIFICAÇÃO E ANÁLISE DO CASO</w:t>
      </w:r>
    </w:p>
    <w:p w:rsidR="0083452E" w:rsidRDefault="0083452E" w:rsidP="00DE27A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DE27AD" w:rsidRDefault="00DE27AD" w:rsidP="00DE27A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2.1 Descrição das Análises Possíveis</w:t>
      </w:r>
    </w:p>
    <w:p w:rsidR="00DE27AD" w:rsidRDefault="00DE27AD" w:rsidP="00DE27A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0E462C" w:rsidRDefault="000E462C" w:rsidP="000E462C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Diante do caso exposto anteriormente, pode-se estudar o contrato de intenções, também chamada de carta de intenções, chegando </w:t>
      </w:r>
      <w:r w:rsidR="0083452E">
        <w:rPr>
          <w:rFonts w:ascii="Times New Roman" w:hAnsi="Times New Roman" w:cs="Times New Roman"/>
          <w:sz w:val="24"/>
        </w:rPr>
        <w:t>à</w:t>
      </w:r>
      <w:r>
        <w:rPr>
          <w:rFonts w:ascii="Times New Roman" w:hAnsi="Times New Roman" w:cs="Times New Roman"/>
          <w:sz w:val="24"/>
        </w:rPr>
        <w:t xml:space="preserve"> conclusão que é um título executivo extrajudicial, líquido, certo e exigível em que estas e as demais questões secundárias, serão solucionadas nos argumentos a seguir.</w:t>
      </w:r>
    </w:p>
    <w:p w:rsidR="000E462C" w:rsidRPr="000E462C" w:rsidRDefault="000E462C" w:rsidP="00DE27A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E27AD" w:rsidRDefault="00DE27AD" w:rsidP="00DE27A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2.2 Argumentos capazes de fundamentar cada decisão</w:t>
      </w:r>
    </w:p>
    <w:p w:rsidR="00547BEF" w:rsidRDefault="00547BEF" w:rsidP="00DE27A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E27AD" w:rsidRPr="00DE27AD" w:rsidRDefault="00DE27AD" w:rsidP="00DE27A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</w:t>
      </w:r>
      <w:r w:rsidRPr="00DE27AD">
        <w:rPr>
          <w:rFonts w:ascii="Times New Roman" w:hAnsi="Times New Roman" w:cs="Times New Roman"/>
          <w:sz w:val="24"/>
        </w:rPr>
        <w:t>O título apontado na inicial de execução é líquido, certo e exigível?</w:t>
      </w:r>
    </w:p>
    <w:p w:rsidR="00DE27AD" w:rsidRDefault="00DE27AD" w:rsidP="00DE27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2D41" w:rsidRDefault="003C2D41" w:rsidP="00FF24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que pode se perceber pelo caso concreto, em que </w:t>
      </w:r>
      <w:r w:rsidR="001A3048">
        <w:rPr>
          <w:rFonts w:ascii="Times New Roman" w:hAnsi="Times New Roman" w:cs="Times New Roman"/>
          <w:sz w:val="24"/>
          <w:szCs w:val="24"/>
        </w:rPr>
        <w:t>Calebe, em fevereiro de 2010, assinou uma carta de intenções, na presença de 2 (duas) testemunhas, ato totalmente amparado pelo Novo Código de</w:t>
      </w:r>
      <w:r w:rsidR="00554F9D">
        <w:rPr>
          <w:rFonts w:ascii="Times New Roman" w:hAnsi="Times New Roman" w:cs="Times New Roman"/>
          <w:sz w:val="24"/>
          <w:szCs w:val="24"/>
        </w:rPr>
        <w:t xml:space="preserve"> Processo Civil, em seu artigo </w:t>
      </w:r>
      <w:r w:rsidR="000A5C94">
        <w:rPr>
          <w:rFonts w:ascii="Times New Roman" w:hAnsi="Times New Roman" w:cs="Times New Roman"/>
          <w:sz w:val="24"/>
          <w:szCs w:val="24"/>
        </w:rPr>
        <w:t>7</w:t>
      </w:r>
      <w:r w:rsidR="001A3048">
        <w:rPr>
          <w:rFonts w:ascii="Times New Roman" w:hAnsi="Times New Roman" w:cs="Times New Roman"/>
          <w:sz w:val="24"/>
          <w:szCs w:val="24"/>
        </w:rPr>
        <w:t>84, inciso III, logo, este documento seria um título executivo extrajudicial, sendo ainda considerado de acordo com o ordenamento jurídico, um título de execução líquida, certa e exigível.</w:t>
      </w:r>
    </w:p>
    <w:p w:rsidR="00DE27AD" w:rsidRDefault="00830E92" w:rsidP="00554F9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certeza de um título, constitui pré-requisito para os demais, ou seja, só vai haver liquidez e exigibilidade, se houver a certeza. Então, é certo quando houver uma obrigação expressamente representada no título</w:t>
      </w:r>
      <w:r w:rsidR="00554F9D">
        <w:rPr>
          <w:rFonts w:ascii="Times New Roman" w:hAnsi="Times New Roman" w:cs="Times New Roman"/>
          <w:sz w:val="24"/>
          <w:szCs w:val="24"/>
        </w:rPr>
        <w:t xml:space="preserve">, podendo-se, ainda, se constar quem é o credor, o devedor e o que se deve ser cumprido. </w:t>
      </w:r>
    </w:p>
    <w:p w:rsidR="00830E92" w:rsidRDefault="00554F9D" w:rsidP="00554F9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a liquidez, refere-se à determinação do seu objeto, como concorda Theodoro</w:t>
      </w:r>
      <w:r w:rsidR="00DE27AD">
        <w:rPr>
          <w:rFonts w:ascii="Times New Roman" w:hAnsi="Times New Roman" w:cs="Times New Roman"/>
          <w:sz w:val="24"/>
          <w:szCs w:val="24"/>
        </w:rPr>
        <w:t xml:space="preserve"> Júnior (1999, p. 174),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7AD">
        <w:rPr>
          <w:rFonts w:ascii="Times New Roman" w:hAnsi="Times New Roman" w:cs="Times New Roman"/>
          <w:sz w:val="24"/>
          <w:szCs w:val="24"/>
        </w:rPr>
        <w:t>“</w:t>
      </w:r>
      <w:r w:rsidRPr="00554F9D">
        <w:rPr>
          <w:rFonts w:ascii="Times New Roman" w:hAnsi="Times New Roman" w:cs="Times New Roman"/>
          <w:sz w:val="24"/>
          <w:szCs w:val="24"/>
        </w:rPr>
        <w:t xml:space="preserve">A liquidez </w:t>
      </w:r>
      <w:proofErr w:type="gramStart"/>
      <w:r w:rsidRPr="00554F9D">
        <w:rPr>
          <w:rFonts w:ascii="Times New Roman" w:hAnsi="Times New Roman" w:cs="Times New Roman"/>
          <w:sz w:val="24"/>
          <w:szCs w:val="24"/>
        </w:rPr>
        <w:t>consiste</w:t>
      </w:r>
      <w:proofErr w:type="gramEnd"/>
      <w:r w:rsidRPr="00554F9D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554F9D"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se acrescenta à certeza da </w:t>
      </w:r>
      <w:r w:rsidRPr="00554F9D">
        <w:rPr>
          <w:rFonts w:ascii="Times New Roman" w:hAnsi="Times New Roman" w:cs="Times New Roman"/>
          <w:sz w:val="24"/>
          <w:szCs w:val="24"/>
        </w:rPr>
        <w:t>obrigação. Por ela demon</w:t>
      </w:r>
      <w:r>
        <w:rPr>
          <w:rFonts w:ascii="Times New Roman" w:hAnsi="Times New Roman" w:cs="Times New Roman"/>
          <w:sz w:val="24"/>
          <w:szCs w:val="24"/>
        </w:rPr>
        <w:t xml:space="preserve">stra-se não somente se sabe que </w:t>
      </w:r>
      <w:r w:rsidRPr="00554F9D">
        <w:rPr>
          <w:rFonts w:ascii="Times New Roman" w:hAnsi="Times New Roman" w:cs="Times New Roman"/>
          <w:sz w:val="24"/>
          <w:szCs w:val="24"/>
        </w:rPr>
        <w:t>‘se dev</w:t>
      </w:r>
      <w:r w:rsidR="00DE27AD">
        <w:rPr>
          <w:rFonts w:ascii="Times New Roman" w:hAnsi="Times New Roman" w:cs="Times New Roman"/>
          <w:sz w:val="24"/>
          <w:szCs w:val="24"/>
        </w:rPr>
        <w:t>e’, mas também ‘quanto se deve’”.</w:t>
      </w:r>
    </w:p>
    <w:p w:rsidR="00830E92" w:rsidRDefault="00DE27AD" w:rsidP="000E462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 exigibilidade</w:t>
      </w:r>
      <w:r w:rsidR="00547BEF">
        <w:rPr>
          <w:rFonts w:ascii="Times New Roman" w:hAnsi="Times New Roman" w:cs="Times New Roman"/>
          <w:sz w:val="24"/>
          <w:szCs w:val="24"/>
        </w:rPr>
        <w:t>, versa Caldas (</w:t>
      </w:r>
      <w:r w:rsidR="000E462C">
        <w:rPr>
          <w:rFonts w:ascii="Times New Roman" w:hAnsi="Times New Roman" w:cs="Times New Roman"/>
          <w:sz w:val="24"/>
          <w:szCs w:val="24"/>
        </w:rPr>
        <w:t>2011, p. 48</w:t>
      </w:r>
      <w:r w:rsidR="00547BEF">
        <w:rPr>
          <w:rFonts w:ascii="Times New Roman" w:hAnsi="Times New Roman" w:cs="Times New Roman"/>
          <w:sz w:val="24"/>
          <w:szCs w:val="24"/>
        </w:rPr>
        <w:t>) “</w:t>
      </w:r>
      <w:r w:rsidR="00547BEF" w:rsidRPr="00547BEF">
        <w:rPr>
          <w:rFonts w:ascii="Times New Roman" w:hAnsi="Times New Roman" w:cs="Times New Roman"/>
          <w:sz w:val="24"/>
          <w:szCs w:val="24"/>
        </w:rPr>
        <w:t>Para que haja a exigibilidade, é</w:t>
      </w:r>
      <w:r w:rsidR="00547BEF">
        <w:rPr>
          <w:rFonts w:ascii="Times New Roman" w:hAnsi="Times New Roman" w:cs="Times New Roman"/>
          <w:sz w:val="24"/>
          <w:szCs w:val="24"/>
        </w:rPr>
        <w:t xml:space="preserve"> preciso que exista o direito à </w:t>
      </w:r>
      <w:r w:rsidR="00547BEF" w:rsidRPr="00547BEF">
        <w:rPr>
          <w:rFonts w:ascii="Times New Roman" w:hAnsi="Times New Roman" w:cs="Times New Roman"/>
          <w:sz w:val="24"/>
          <w:szCs w:val="24"/>
        </w:rPr>
        <w:t>prestação (certeza da obrigação) e que o deve</w:t>
      </w:r>
      <w:r w:rsidR="00547BEF">
        <w:rPr>
          <w:rFonts w:ascii="Times New Roman" w:hAnsi="Times New Roman" w:cs="Times New Roman"/>
          <w:sz w:val="24"/>
          <w:szCs w:val="24"/>
        </w:rPr>
        <w:t xml:space="preserve">r de </w:t>
      </w:r>
      <w:proofErr w:type="gramStart"/>
      <w:r w:rsidR="00547BEF">
        <w:rPr>
          <w:rFonts w:ascii="Times New Roman" w:hAnsi="Times New Roman" w:cs="Times New Roman"/>
          <w:sz w:val="24"/>
          <w:szCs w:val="24"/>
        </w:rPr>
        <w:t>cumpri-la</w:t>
      </w:r>
      <w:proofErr w:type="gramEnd"/>
      <w:r w:rsidR="00547BEF">
        <w:rPr>
          <w:rFonts w:ascii="Times New Roman" w:hAnsi="Times New Roman" w:cs="Times New Roman"/>
          <w:sz w:val="24"/>
          <w:szCs w:val="24"/>
        </w:rPr>
        <w:t xml:space="preserve"> seja atual. Ou </w:t>
      </w:r>
      <w:r w:rsidR="00547BEF" w:rsidRPr="00547BEF">
        <w:rPr>
          <w:rFonts w:ascii="Times New Roman" w:hAnsi="Times New Roman" w:cs="Times New Roman"/>
          <w:sz w:val="24"/>
          <w:szCs w:val="24"/>
        </w:rPr>
        <w:t>seja, não estando sujeita a termo ou a condição suspensiva, a obrigação</w:t>
      </w:r>
      <w:r w:rsidR="00547BEF">
        <w:rPr>
          <w:rFonts w:ascii="Times New Roman" w:hAnsi="Times New Roman" w:cs="Times New Roman"/>
          <w:sz w:val="24"/>
          <w:szCs w:val="24"/>
        </w:rPr>
        <w:t xml:space="preserve"> </w:t>
      </w:r>
      <w:r w:rsidR="00547BEF" w:rsidRPr="00547BEF">
        <w:rPr>
          <w:rFonts w:ascii="Times New Roman" w:hAnsi="Times New Roman" w:cs="Times New Roman"/>
          <w:sz w:val="24"/>
          <w:szCs w:val="24"/>
        </w:rPr>
        <w:t>é exigível.</w:t>
      </w:r>
      <w:r w:rsidR="00547BEF">
        <w:rPr>
          <w:rFonts w:ascii="Times New Roman" w:hAnsi="Times New Roman" w:cs="Times New Roman"/>
          <w:sz w:val="24"/>
          <w:szCs w:val="24"/>
        </w:rPr>
        <w:t xml:space="preserve"> ”</w:t>
      </w:r>
      <w:r w:rsidR="000E4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62C" w:rsidRDefault="000E462C" w:rsidP="000E462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isso, pode-se dizer que é um contrato particular de promessa de compra e venda, bem exemplificado anteriormente, tendo como alguns requisitos, ser certo, líquido e exigível.</w:t>
      </w:r>
      <w:r w:rsidR="0083452E">
        <w:rPr>
          <w:rFonts w:ascii="Times New Roman" w:hAnsi="Times New Roman" w:cs="Times New Roman"/>
          <w:sz w:val="24"/>
          <w:szCs w:val="24"/>
        </w:rPr>
        <w:t xml:space="preserve"> </w:t>
      </w:r>
      <w:r w:rsidR="003C05B6">
        <w:rPr>
          <w:rFonts w:ascii="Times New Roman" w:hAnsi="Times New Roman" w:cs="Times New Roman"/>
          <w:sz w:val="24"/>
          <w:szCs w:val="24"/>
        </w:rPr>
        <w:t>Sendo assim um pré-contrato, podendo ser finalizado posteriormente por ambas as partes, porém, este não foi realizado no caso concreto.</w:t>
      </w:r>
    </w:p>
    <w:p w:rsidR="00FF2442" w:rsidRDefault="00FF2442" w:rsidP="00FF244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Sobre a prescrição, trata o Código Civil em seu artigo 205, </w:t>
      </w:r>
      <w:r w:rsidRPr="00FF244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§ 5º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que prescreve em 5 (cinco) anos, “</w:t>
      </w:r>
      <w:r w:rsidRPr="00FF244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I - a pretensão de cobrança de dívidas líquidas constantes de instrumento público ou particular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”, ou seja, como a carta de intenções assinada por Calebe foi realizada em fevereiro de 2010 e a ação de execução em f</w:t>
      </w:r>
      <w:r w:rsidR="00AC1A7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ace de Calebe e sua esposa foi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ajuizada em 18 de março de 2016, é notório que esta ação estava prescrita, pois o tempo foi maior que o previsto em lei.</w:t>
      </w:r>
    </w:p>
    <w:p w:rsidR="0083452E" w:rsidRDefault="003C4C3A" w:rsidP="00FF24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Como Calebe assinou a carta de intenções com o intuito de investir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Betsaida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Veículos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Ltda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este não pensava que sua situação financeira estava crític</w:t>
      </w:r>
      <w:r w:rsidR="0083452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a, ou seja, a beira da falência, e só teve conhecimento dessa situação, após de já ter feito a transferência de </w:t>
      </w:r>
      <w:r w:rsidR="0083452E">
        <w:rPr>
          <w:rFonts w:ascii="Times New Roman" w:hAnsi="Times New Roman" w:cs="Times New Roman"/>
          <w:sz w:val="24"/>
          <w:szCs w:val="24"/>
        </w:rPr>
        <w:t>R$ 200.000,00 (duzentos mil reais) para tal empresa.</w:t>
      </w:r>
    </w:p>
    <w:p w:rsidR="00AC1A7D" w:rsidRDefault="003C4C3A" w:rsidP="00FF24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 xml:space="preserve"> Por tanto, pelo fato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Moabe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ter agido de má-fé, escondendo esse detalhe de grande relevância de Calebe e também por este ter agido com erro perante o negócio jurídico, esse anulável, como prevê o artigo 138 do Código Civil: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F267B">
        <w:rPr>
          <w:rFonts w:ascii="Times New Roman" w:hAnsi="Times New Roman" w:cs="Times New Roman"/>
          <w:sz w:val="24"/>
          <w:szCs w:val="24"/>
        </w:rPr>
        <w:t>São anuláveis os negócios jurídicos, quando as declarações de vontade emanarem de erro substancial que poderia ser percebido por pessoa de diligência normal, em face das circunstâncias do negócio.</w:t>
      </w:r>
      <w:r>
        <w:rPr>
          <w:rFonts w:ascii="Times New Roman" w:hAnsi="Times New Roman" w:cs="Times New Roman"/>
          <w:sz w:val="24"/>
          <w:szCs w:val="24"/>
        </w:rPr>
        <w:t xml:space="preserve"> ” (BRASIL, 2002).</w:t>
      </w:r>
    </w:p>
    <w:p w:rsidR="003C4C3A" w:rsidRDefault="003C4C3A" w:rsidP="00FF244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Além do dispositivo mencionado anteriormente, outro também serve para explicar que esse negócio jurídico se</w:t>
      </w:r>
      <w:r w:rsidR="00830E9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ja anulável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sendo o artigo 171 do Código Civil, em que por este entende-se que por vício resultante de erro, dentre outros.</w:t>
      </w:r>
    </w:p>
    <w:p w:rsidR="0083452E" w:rsidRDefault="0083452E" w:rsidP="00FF244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Sobre a questão </w:t>
      </w:r>
      <w:r w:rsidR="000A5C9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da penhora de direitos do devedor sobre bem financiado via contrato de alienação fiduciária, a decisão tomada pelo juízo não foi correta, tendo em vista que a medida cabível em face da decisão de indeferimento da penhora seria por agravo de instrumento, prevista no artigo 1.015 do Novo C</w:t>
      </w:r>
      <w:r w:rsidR="00EB18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ódigo de Processo Civil, porém, como esse título já está prescrito, não há o que se falar em agravo de instrumento para ter penhora. Porém, é sim cabível a penhora de direitos sobre o bem de alienação fiduciária, recaindo esta ação sobre a instituição </w:t>
      </w:r>
      <w:r w:rsidR="009C4A1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financeira, que é o credor no contrato de alienação fiduciária. Sendo sobre o</w:t>
      </w:r>
      <w:r w:rsidR="003C05B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s</w:t>
      </w:r>
      <w:r w:rsidR="009C4A1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direitos da coisa alienada.</w:t>
      </w:r>
    </w:p>
    <w:p w:rsidR="009C4A15" w:rsidRPr="009C4A15" w:rsidRDefault="009C4A15" w:rsidP="00FF244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De acordo com legitimidade </w:t>
      </w:r>
      <w:r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  <w:t xml:space="preserve">ad causam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do caso em questão, a legitimidade do polo ativo diz respeito a figura da sociedade empresária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Betsaida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Veículos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Ltda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em face de Calebe e sua esposa,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Raabe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sendo os últimos o executado, sendo o legítimo devedor da obrigação e uma vez que estes são casados do regime comunhão universal de bens, tendo por dispositivo legal o artigo 1.667 do Código Civil, seus bens irão se comunicar</w:t>
      </w:r>
      <w:r w:rsidR="003C05B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9C4A15" w:rsidRDefault="009C4A15" w:rsidP="00554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A15" w:rsidRDefault="009C4A15" w:rsidP="009C4A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Descrição dos critérios e valores contidos em cada decisão possível</w:t>
      </w:r>
    </w:p>
    <w:p w:rsidR="009C4A15" w:rsidRDefault="009C4A15" w:rsidP="00554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5B6" w:rsidRDefault="003C05B6" w:rsidP="00554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2.3.1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presente decisão, conclui-se que foi levado em consideração procedimentos fundamentais presentes no Código de Processo Civil, mas especificamente o processo de execução, em que seu objetivo é de fazer cumprir determinada obrigação. Ainda, o protocolo de intenções, sendo considerado um pré-contrato.</w:t>
      </w:r>
    </w:p>
    <w:p w:rsidR="003C05B6" w:rsidRDefault="003C05B6" w:rsidP="00554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E8C" w:rsidRDefault="005C6E8C" w:rsidP="00554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E8C" w:rsidRDefault="005C6E8C" w:rsidP="00554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E8C" w:rsidRDefault="005C6E8C" w:rsidP="00554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E8C" w:rsidRDefault="005C6E8C" w:rsidP="00554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E8C" w:rsidRDefault="005C6E8C" w:rsidP="00554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F9D" w:rsidRPr="00554F9D" w:rsidRDefault="00554F9D" w:rsidP="00554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554F9D" w:rsidRDefault="00554F9D" w:rsidP="00554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DB4" w:rsidRDefault="00275DB4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DB4">
        <w:rPr>
          <w:rFonts w:ascii="Times New Roman" w:hAnsi="Times New Roman" w:cs="Times New Roman"/>
          <w:b/>
          <w:sz w:val="24"/>
          <w:szCs w:val="24"/>
        </w:rPr>
        <w:t>ARTIGO 771 ao 788</w:t>
      </w:r>
      <w:r>
        <w:rPr>
          <w:rFonts w:ascii="Times New Roman" w:hAnsi="Times New Roman" w:cs="Times New Roman"/>
          <w:sz w:val="24"/>
          <w:szCs w:val="24"/>
        </w:rPr>
        <w:t xml:space="preserve">. Disponível em: </w:t>
      </w:r>
      <w:r w:rsidRPr="00275DB4">
        <w:rPr>
          <w:rFonts w:ascii="Times New Roman" w:hAnsi="Times New Roman" w:cs="Times New Roman"/>
          <w:sz w:val="24"/>
          <w:szCs w:val="24"/>
        </w:rPr>
        <w:t>https://estudosnovocpc.com.br/2015/08/17/artigo-771-ao-788/</w:t>
      </w:r>
      <w:r>
        <w:rPr>
          <w:rFonts w:ascii="Times New Roman" w:hAnsi="Times New Roman" w:cs="Times New Roman"/>
          <w:sz w:val="24"/>
          <w:szCs w:val="24"/>
        </w:rPr>
        <w:t>&gt; Acesso em: 11 out 2016.</w:t>
      </w:r>
    </w:p>
    <w:p w:rsidR="00275DB4" w:rsidRDefault="00275DB4" w:rsidP="00275D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75DB4" w:rsidRDefault="00275DB4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3EE">
        <w:rPr>
          <w:rFonts w:ascii="Times New Roman" w:hAnsi="Times New Roman" w:cs="Times New Roman"/>
          <w:sz w:val="24"/>
        </w:rPr>
        <w:t>BRASIL.</w:t>
      </w:r>
      <w:r>
        <w:rPr>
          <w:rFonts w:ascii="Times New Roman" w:hAnsi="Times New Roman" w:cs="Times New Roman"/>
          <w:b/>
          <w:sz w:val="24"/>
        </w:rPr>
        <w:t xml:space="preserve"> Lei Nº 10.406 (Institui o Código Civil de 2002). </w:t>
      </w:r>
      <w:r w:rsidRPr="003D5D1C">
        <w:rPr>
          <w:rFonts w:ascii="Times New Roman" w:hAnsi="Times New Roman" w:cs="Times New Roman"/>
          <w:sz w:val="24"/>
          <w:szCs w:val="24"/>
        </w:rPr>
        <w:t>Disponível em: &lt;http://www.planalto.gov.br/ccivil_03/leis/2002/l10406.htm</w:t>
      </w:r>
      <w:r>
        <w:rPr>
          <w:rFonts w:ascii="Times New Roman" w:hAnsi="Times New Roman" w:cs="Times New Roman"/>
          <w:sz w:val="24"/>
          <w:szCs w:val="24"/>
        </w:rPr>
        <w:t>&gt;. Acesso em: 11 out. 2016.</w:t>
      </w:r>
    </w:p>
    <w:p w:rsidR="00275DB4" w:rsidRDefault="00275DB4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DB4" w:rsidRDefault="00275DB4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3EE">
        <w:rPr>
          <w:rFonts w:ascii="Times New Roman" w:hAnsi="Times New Roman" w:cs="Times New Roman"/>
          <w:sz w:val="24"/>
        </w:rPr>
        <w:t>BRASIL.</w:t>
      </w:r>
      <w:r>
        <w:rPr>
          <w:rFonts w:ascii="Times New Roman" w:hAnsi="Times New Roman" w:cs="Times New Roman"/>
          <w:b/>
          <w:sz w:val="24"/>
        </w:rPr>
        <w:t xml:space="preserve"> Lei Nº 13.105 (Código de Processo Civil). </w:t>
      </w:r>
      <w:r w:rsidRPr="003D5D1C">
        <w:rPr>
          <w:rFonts w:ascii="Times New Roman" w:hAnsi="Times New Roman" w:cs="Times New Roman"/>
          <w:sz w:val="24"/>
          <w:szCs w:val="24"/>
        </w:rPr>
        <w:t>Disponível em: &lt;</w:t>
      </w:r>
      <w:r w:rsidRPr="00BC1863">
        <w:t xml:space="preserve"> </w:t>
      </w:r>
      <w:r w:rsidRPr="00BC1863">
        <w:rPr>
          <w:rFonts w:ascii="Times New Roman" w:hAnsi="Times New Roman" w:cs="Times New Roman"/>
          <w:sz w:val="24"/>
          <w:szCs w:val="24"/>
        </w:rPr>
        <w:t>http://www.planalto.gov.br/ccivil_03/_ato2015-2018/2015/lei/l13105.htm</w:t>
      </w:r>
      <w:r>
        <w:rPr>
          <w:rFonts w:ascii="Times New Roman" w:hAnsi="Times New Roman" w:cs="Times New Roman"/>
          <w:sz w:val="24"/>
          <w:szCs w:val="24"/>
        </w:rPr>
        <w:t>&gt;. Acesso em: 11 out. 2016.</w:t>
      </w:r>
    </w:p>
    <w:p w:rsidR="00275DB4" w:rsidRDefault="00275DB4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BEF" w:rsidRPr="000E462C" w:rsidRDefault="00547BEF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CALDAS, Felipe de Ornelas. </w:t>
      </w:r>
      <w:r w:rsidRPr="000E462C">
        <w:rPr>
          <w:rFonts w:ascii="Times New Roman" w:hAnsi="Times New Roman" w:cs="Times New Roman"/>
          <w:b/>
          <w:sz w:val="24"/>
          <w:szCs w:val="24"/>
        </w:rPr>
        <w:t>A Execução de Título Extrajudicial sobre a qual se Aplicam as Regras da Provisória Exequibi</w:t>
      </w:r>
      <w:r w:rsidR="000E462C">
        <w:rPr>
          <w:rFonts w:ascii="Times New Roman" w:hAnsi="Times New Roman" w:cs="Times New Roman"/>
          <w:b/>
          <w:sz w:val="24"/>
          <w:szCs w:val="24"/>
        </w:rPr>
        <w:t>lidade (Discussões acerca do Arti</w:t>
      </w:r>
      <w:r w:rsidRPr="000E462C">
        <w:rPr>
          <w:rFonts w:ascii="Times New Roman" w:hAnsi="Times New Roman" w:cs="Times New Roman"/>
          <w:b/>
          <w:sz w:val="24"/>
          <w:szCs w:val="24"/>
        </w:rPr>
        <w:t xml:space="preserve">go 587 </w:t>
      </w:r>
      <w:r w:rsidR="000E462C">
        <w:rPr>
          <w:rFonts w:ascii="Times New Roman" w:hAnsi="Times New Roman" w:cs="Times New Roman"/>
          <w:b/>
          <w:sz w:val="24"/>
          <w:szCs w:val="24"/>
        </w:rPr>
        <w:t xml:space="preserve">do Código de Processo </w:t>
      </w:r>
      <w:r w:rsidRPr="000E462C">
        <w:rPr>
          <w:rFonts w:ascii="Times New Roman" w:hAnsi="Times New Roman" w:cs="Times New Roman"/>
          <w:b/>
          <w:sz w:val="24"/>
          <w:szCs w:val="24"/>
        </w:rPr>
        <w:t>Civil)</w:t>
      </w:r>
      <w:r w:rsidR="000E46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62C">
        <w:rPr>
          <w:rFonts w:ascii="Times New Roman" w:hAnsi="Times New Roman" w:cs="Times New Roman"/>
          <w:sz w:val="24"/>
          <w:szCs w:val="24"/>
        </w:rPr>
        <w:t>Disponível em: &lt;</w:t>
      </w:r>
      <w:r w:rsidR="000E462C" w:rsidRPr="000E462C">
        <w:t xml:space="preserve"> </w:t>
      </w:r>
      <w:r w:rsidR="000E462C" w:rsidRPr="000E462C">
        <w:rPr>
          <w:rFonts w:ascii="Times New Roman" w:hAnsi="Times New Roman" w:cs="Times New Roman"/>
          <w:sz w:val="24"/>
          <w:szCs w:val="24"/>
        </w:rPr>
        <w:t>http://www.emerj.tjrj.jus.br/revistaemerj_online/edicoes/revista54/Revista54_40.pdf</w:t>
      </w:r>
      <w:r w:rsidR="000E462C">
        <w:rPr>
          <w:rFonts w:ascii="Times New Roman" w:hAnsi="Times New Roman" w:cs="Times New Roman"/>
          <w:sz w:val="24"/>
          <w:szCs w:val="24"/>
        </w:rPr>
        <w:t xml:space="preserve"> &gt;Acesso em: 11 out 2016.</w:t>
      </w:r>
    </w:p>
    <w:p w:rsidR="00547BEF" w:rsidRDefault="00547BEF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7AD" w:rsidRDefault="00554F9D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9D">
        <w:rPr>
          <w:rFonts w:ascii="Times New Roman" w:hAnsi="Times New Roman" w:cs="Times New Roman"/>
          <w:sz w:val="24"/>
          <w:szCs w:val="24"/>
        </w:rPr>
        <w:t xml:space="preserve">THEODORO JÚNIOR, Humberto. </w:t>
      </w:r>
      <w:r w:rsidRPr="00547BEF">
        <w:rPr>
          <w:rFonts w:ascii="Times New Roman" w:hAnsi="Times New Roman" w:cs="Times New Roman"/>
          <w:b/>
          <w:sz w:val="24"/>
          <w:szCs w:val="24"/>
        </w:rPr>
        <w:t>Processo de Execução</w:t>
      </w:r>
      <w:r w:rsidRPr="00554F9D">
        <w:rPr>
          <w:rFonts w:ascii="Times New Roman" w:hAnsi="Times New Roman" w:cs="Times New Roman"/>
          <w:sz w:val="24"/>
          <w:szCs w:val="24"/>
        </w:rPr>
        <w:t>. 19 ed. São Paulo: LEUD, 1999. P. 174</w:t>
      </w:r>
      <w:r w:rsidR="00DE27AD">
        <w:rPr>
          <w:rFonts w:ascii="Times New Roman" w:hAnsi="Times New Roman" w:cs="Times New Roman"/>
          <w:sz w:val="24"/>
          <w:szCs w:val="24"/>
        </w:rPr>
        <w:t>.</w:t>
      </w:r>
    </w:p>
    <w:p w:rsidR="00DE27AD" w:rsidRDefault="00DE27AD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7AD" w:rsidRDefault="00DE27AD" w:rsidP="0027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7AD" w:rsidRDefault="00DE27AD" w:rsidP="00DE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7AD" w:rsidRDefault="00DE27AD" w:rsidP="00DE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7AD" w:rsidRDefault="00DE27AD" w:rsidP="00DE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7AD" w:rsidRDefault="00DE27AD" w:rsidP="00DE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7AD" w:rsidRDefault="00DE27AD" w:rsidP="00DE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442" w:rsidRPr="00243DA0" w:rsidRDefault="00FF2442" w:rsidP="00554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2442" w:rsidRPr="00243DA0" w:rsidSect="00DE27AD">
      <w:headerReference w:type="firs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B0" w:rsidRDefault="007621B0" w:rsidP="00DE27AD">
      <w:pPr>
        <w:spacing w:after="0" w:line="240" w:lineRule="auto"/>
      </w:pPr>
      <w:r>
        <w:separator/>
      </w:r>
    </w:p>
  </w:endnote>
  <w:endnote w:type="continuationSeparator" w:id="0">
    <w:p w:rsidR="007621B0" w:rsidRDefault="007621B0" w:rsidP="00DE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B0" w:rsidRDefault="007621B0" w:rsidP="00DE27AD">
      <w:pPr>
        <w:spacing w:after="0" w:line="240" w:lineRule="auto"/>
      </w:pPr>
      <w:r>
        <w:separator/>
      </w:r>
    </w:p>
  </w:footnote>
  <w:footnote w:type="continuationSeparator" w:id="0">
    <w:p w:rsidR="007621B0" w:rsidRDefault="007621B0" w:rsidP="00DE27AD">
      <w:pPr>
        <w:spacing w:after="0" w:line="240" w:lineRule="auto"/>
      </w:pPr>
      <w:r>
        <w:continuationSeparator/>
      </w:r>
    </w:p>
  </w:footnote>
  <w:footnote w:id="1">
    <w:p w:rsidR="00DE27AD" w:rsidRDefault="00DE27A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547BEF">
        <w:rPr>
          <w:rFonts w:ascii="Times New Roman" w:hAnsi="Times New Roman" w:cs="Times New Roman"/>
        </w:rPr>
        <w:t>Case apresentado à disciplina Processo de Execução, da Unidade de Ensino Superior Dom Bosco - UNDB.</w:t>
      </w:r>
    </w:p>
  </w:footnote>
  <w:footnote w:id="2">
    <w:p w:rsidR="00DE27AD" w:rsidRDefault="00DE27A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547BEF">
        <w:rPr>
          <w:rFonts w:ascii="Times New Roman" w:hAnsi="Times New Roman" w:cs="Times New Roman"/>
        </w:rPr>
        <w:t>Aluno do 7</w:t>
      </w:r>
      <w:r w:rsidR="00547BEF" w:rsidRPr="00255C8E">
        <w:rPr>
          <w:rFonts w:ascii="Times New Roman" w:hAnsi="Times New Roman" w:cs="Times New Roman"/>
        </w:rPr>
        <w:t>º Período, do curso de Direito, da UNDB.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AD" w:rsidRDefault="00547BEF">
    <w:pPr>
      <w:pStyle w:val="Cabealho"/>
    </w:pPr>
    <w:r w:rsidRPr="003D3B5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F75789" wp14:editId="31E5EA07">
          <wp:simplePos x="0" y="0"/>
          <wp:positionH relativeFrom="margin">
            <wp:posOffset>1609725</wp:posOffset>
          </wp:positionH>
          <wp:positionV relativeFrom="paragraph">
            <wp:posOffset>-95885</wp:posOffset>
          </wp:positionV>
          <wp:extent cx="2070100" cy="542925"/>
          <wp:effectExtent l="19050" t="0" r="6350" b="0"/>
          <wp:wrapNone/>
          <wp:docPr id="2" name="Imagem 0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2E"/>
    <w:rsid w:val="000A5C94"/>
    <w:rsid w:val="000E462C"/>
    <w:rsid w:val="001A3048"/>
    <w:rsid w:val="00243DA0"/>
    <w:rsid w:val="00275DB4"/>
    <w:rsid w:val="002A292E"/>
    <w:rsid w:val="002B76D3"/>
    <w:rsid w:val="003C05B6"/>
    <w:rsid w:val="003C2D41"/>
    <w:rsid w:val="003C4C3A"/>
    <w:rsid w:val="004C3235"/>
    <w:rsid w:val="004F2537"/>
    <w:rsid w:val="00547BEF"/>
    <w:rsid w:val="00554F9D"/>
    <w:rsid w:val="00595CAB"/>
    <w:rsid w:val="005C6E8C"/>
    <w:rsid w:val="007621B0"/>
    <w:rsid w:val="007D602A"/>
    <w:rsid w:val="00830E92"/>
    <w:rsid w:val="0083452E"/>
    <w:rsid w:val="00842777"/>
    <w:rsid w:val="009C4A15"/>
    <w:rsid w:val="00A2175A"/>
    <w:rsid w:val="00A23251"/>
    <w:rsid w:val="00AC1A7D"/>
    <w:rsid w:val="00D04E3E"/>
    <w:rsid w:val="00DE27AD"/>
    <w:rsid w:val="00EB1895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31B7"/>
  <w15:chartTrackingRefBased/>
  <w15:docId w15:val="{ACE75F76-4B29-43A8-BAFA-4ABD4D71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7AD"/>
  </w:style>
  <w:style w:type="paragraph" w:styleId="Rodap">
    <w:name w:val="footer"/>
    <w:basedOn w:val="Normal"/>
    <w:link w:val="RodapChar"/>
    <w:uiPriority w:val="99"/>
    <w:unhideWhenUsed/>
    <w:rsid w:val="00DE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7AD"/>
  </w:style>
  <w:style w:type="paragraph" w:styleId="Textodenotaderodap">
    <w:name w:val="footnote text"/>
    <w:basedOn w:val="Normal"/>
    <w:link w:val="TextodenotaderodapChar"/>
    <w:uiPriority w:val="99"/>
    <w:unhideWhenUsed/>
    <w:rsid w:val="00DE27A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E27A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27A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E27A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E4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DEF6-663F-43DD-9137-6C884740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1107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santos</dc:creator>
  <cp:keywords/>
  <dc:description/>
  <cp:lastModifiedBy>conceicao santos</cp:lastModifiedBy>
  <cp:revision>4</cp:revision>
  <dcterms:created xsi:type="dcterms:W3CDTF">2016-10-11T17:21:00Z</dcterms:created>
  <dcterms:modified xsi:type="dcterms:W3CDTF">2018-06-18T21:44:00Z</dcterms:modified>
</cp:coreProperties>
</file>