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119" w:rsidRDefault="002B6BFF" w:rsidP="007F7F00">
      <w:pPr>
        <w:jc w:val="center"/>
      </w:pPr>
      <w:r>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435.45pt;margin-top:-52.05pt;width:29.25pt;height:18.75pt;z-index:251658240" strokecolor="white [3212]">
            <v:textbox>
              <w:txbxContent>
                <w:p w:rsidR="00D237A0" w:rsidRDefault="00D237A0"/>
              </w:txbxContent>
            </v:textbox>
          </v:shape>
        </w:pict>
      </w:r>
      <w:r w:rsidR="007F7F00" w:rsidRPr="007F7F00">
        <w:rPr>
          <w:noProof/>
          <w:lang w:eastAsia="pt-BR"/>
        </w:rPr>
        <w:drawing>
          <wp:inline distT="0" distB="0" distL="0" distR="0">
            <wp:extent cx="2828259" cy="818707"/>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srcRect/>
                    <a:stretch>
                      <a:fillRect/>
                    </a:stretch>
                  </pic:blipFill>
                  <pic:spPr bwMode="auto">
                    <a:xfrm>
                      <a:off x="0" y="0"/>
                      <a:ext cx="2829248" cy="818993"/>
                    </a:xfrm>
                    <a:prstGeom prst="rect">
                      <a:avLst/>
                    </a:prstGeom>
                    <a:noFill/>
                    <a:ln w="9525">
                      <a:noFill/>
                      <a:miter lim="800000"/>
                      <a:headEnd/>
                      <a:tailEnd/>
                    </a:ln>
                  </pic:spPr>
                </pic:pic>
              </a:graphicData>
            </a:graphic>
          </wp:inline>
        </w:drawing>
      </w:r>
    </w:p>
    <w:p w:rsidR="007F7F00" w:rsidRDefault="007F7F00" w:rsidP="002268C7">
      <w:pPr>
        <w:jc w:val="center"/>
        <w:rPr>
          <w:rFonts w:cs="Times New Roman"/>
          <w:b/>
          <w:sz w:val="28"/>
          <w:szCs w:val="24"/>
        </w:rPr>
      </w:pPr>
      <w:r w:rsidRPr="002268C7">
        <w:rPr>
          <w:rFonts w:cs="Times New Roman"/>
          <w:b/>
          <w:sz w:val="28"/>
          <w:szCs w:val="24"/>
        </w:rPr>
        <w:t>A devida importância jurídica de um laudo médico na decisão da temporali</w:t>
      </w:r>
      <w:r w:rsidR="002268C7" w:rsidRPr="002268C7">
        <w:rPr>
          <w:rFonts w:cs="Times New Roman"/>
          <w:b/>
          <w:sz w:val="28"/>
          <w:szCs w:val="24"/>
        </w:rPr>
        <w:t>dade de uma medida de segurança</w:t>
      </w:r>
    </w:p>
    <w:p w:rsidR="000E1BD3" w:rsidRPr="002268C7" w:rsidRDefault="000E1BD3" w:rsidP="002268C7">
      <w:pPr>
        <w:jc w:val="center"/>
        <w:rPr>
          <w:rFonts w:cs="Times New Roman"/>
          <w:b/>
          <w:sz w:val="28"/>
          <w:szCs w:val="24"/>
        </w:rPr>
      </w:pPr>
    </w:p>
    <w:p w:rsidR="000E1BD3" w:rsidRDefault="000E1BD3" w:rsidP="000E1BD3">
      <w:pPr>
        <w:jc w:val="right"/>
      </w:pPr>
      <w:r>
        <w:t>Gabriel de Souza Gomes Feitosa</w:t>
      </w:r>
    </w:p>
    <w:p w:rsidR="000E1BD3" w:rsidRDefault="000E1BD3" w:rsidP="000E1BD3">
      <w:pPr>
        <w:jc w:val="right"/>
      </w:pPr>
      <w:r>
        <w:t>Renan Conde dos Santos</w:t>
      </w:r>
      <w:r>
        <w:rPr>
          <w:rStyle w:val="Refdenotaderodap"/>
        </w:rPr>
        <w:footnoteReference w:id="1"/>
      </w:r>
    </w:p>
    <w:p w:rsidR="000E1BD3" w:rsidRDefault="000E1BD3" w:rsidP="000E1BD3">
      <w:pPr>
        <w:jc w:val="both"/>
        <w:rPr>
          <w:b/>
        </w:rPr>
      </w:pPr>
    </w:p>
    <w:p w:rsidR="002268C7" w:rsidRPr="002268C7" w:rsidRDefault="002268C7" w:rsidP="002268C7">
      <w:pPr>
        <w:ind w:firstLine="851"/>
        <w:rPr>
          <w:rFonts w:cs="Times New Roman"/>
          <w:szCs w:val="24"/>
        </w:rPr>
      </w:pPr>
    </w:p>
    <w:p w:rsidR="007F7F00" w:rsidRDefault="007F7F00" w:rsidP="007F7F00">
      <w:pPr>
        <w:jc w:val="center"/>
        <w:rPr>
          <w:b/>
        </w:rPr>
      </w:pPr>
      <w:r>
        <w:rPr>
          <w:b/>
        </w:rPr>
        <w:t>RESUMO</w:t>
      </w:r>
    </w:p>
    <w:p w:rsidR="000E1BD3" w:rsidRDefault="000E1BD3" w:rsidP="007F7F00">
      <w:pPr>
        <w:jc w:val="center"/>
        <w:rPr>
          <w:b/>
        </w:rPr>
      </w:pPr>
    </w:p>
    <w:p w:rsidR="0046707E" w:rsidRPr="0046707E" w:rsidRDefault="0046707E" w:rsidP="000E1BD3">
      <w:pPr>
        <w:spacing w:line="240" w:lineRule="auto"/>
        <w:jc w:val="both"/>
      </w:pPr>
      <w:r>
        <w:t>O presente trabalho versa sobre alguns pontos fundamentais em relação à medida de segurança no ordenamento jurídico brasileiro. Destaca e fundamenta sobre a importância da medida de segurança para os inimputáveis</w:t>
      </w:r>
      <w:r w:rsidR="009E4D5C">
        <w:t xml:space="preserve"> ou semi-imputável</w:t>
      </w:r>
      <w:r>
        <w:t>. Dessa forma, aborda o contexto histórico, importância dos profissionais de saúde, métodos e locais de aplicação dessa medida, cessação da periculosidade e para isso, buscamos uma melhor fundamentação no entendimento de alguns doutrinadores das ciências criminais, utilizando também o Código Penal, Lei de Execução Penal e artigos contidos em sites jurídicos.</w:t>
      </w:r>
      <w:r w:rsidR="009511C6">
        <w:t xml:space="preserve"> Outro ponto discorrido é </w:t>
      </w:r>
      <w:r w:rsidR="00966E21">
        <w:t>presença dos profissionais da área da saúde, que buscam tratar os subord</w:t>
      </w:r>
      <w:r w:rsidR="009511C6">
        <w:t>inados a medida, alem da sua delimitação temporal e medica destes inseridos. A questão do judiciário quanto a sua importância também é tratada dispondo estes da delimitação da pena.</w:t>
      </w:r>
    </w:p>
    <w:p w:rsidR="007F7F00" w:rsidRDefault="007F7F00" w:rsidP="007F7F00">
      <w:pPr>
        <w:jc w:val="both"/>
        <w:rPr>
          <w:b/>
        </w:rPr>
      </w:pPr>
    </w:p>
    <w:p w:rsidR="007F7F00" w:rsidRPr="0046707E" w:rsidRDefault="007F7F00" w:rsidP="007F7F00">
      <w:pPr>
        <w:jc w:val="both"/>
      </w:pPr>
      <w:r>
        <w:rPr>
          <w:b/>
        </w:rPr>
        <w:t>Palavras-chave:</w:t>
      </w:r>
      <w:r w:rsidR="0046707E">
        <w:rPr>
          <w:b/>
        </w:rPr>
        <w:t xml:space="preserve"> </w:t>
      </w:r>
      <w:r w:rsidR="002268C7">
        <w:t>Laudo médico.</w:t>
      </w:r>
      <w:r w:rsidR="002268C7">
        <w:t xml:space="preserve"> </w:t>
      </w:r>
      <w:r w:rsidR="0046707E">
        <w:t xml:space="preserve">Medida de segurança. Periculosidade. </w:t>
      </w:r>
    </w:p>
    <w:p w:rsidR="007F7F00" w:rsidRDefault="007F7F00" w:rsidP="007F7F00">
      <w:pPr>
        <w:jc w:val="both"/>
        <w:rPr>
          <w:b/>
        </w:rPr>
      </w:pPr>
    </w:p>
    <w:p w:rsidR="007F7F00" w:rsidRDefault="007F7F00" w:rsidP="007F7F00">
      <w:pPr>
        <w:jc w:val="both"/>
        <w:rPr>
          <w:b/>
        </w:rPr>
      </w:pPr>
      <w:r>
        <w:rPr>
          <w:b/>
        </w:rPr>
        <w:t>1 INTRODUÇÃO</w:t>
      </w:r>
    </w:p>
    <w:p w:rsidR="005A50BE" w:rsidRDefault="005A50BE" w:rsidP="007F7F00">
      <w:pPr>
        <w:jc w:val="both"/>
        <w:rPr>
          <w:b/>
        </w:rPr>
      </w:pPr>
    </w:p>
    <w:p w:rsidR="005A50BE" w:rsidRDefault="005A50BE" w:rsidP="00044A74">
      <w:pPr>
        <w:ind w:firstLine="1134"/>
        <w:jc w:val="both"/>
      </w:pPr>
      <w:r>
        <w:t xml:space="preserve">Este estudo foi elaborado para analisar a aplicação da medida de segurança no ordenamento jurídico brasileiro, apontando quais são suas características, requisitos para sua aplicação, espécies e a importância do laudo dos profissionais de saúde </w:t>
      </w:r>
      <w:r w:rsidR="00044A74">
        <w:t>no cumprimento desta medida.</w:t>
      </w:r>
    </w:p>
    <w:p w:rsidR="00044A74" w:rsidRDefault="00044A74" w:rsidP="00044A74">
      <w:pPr>
        <w:ind w:firstLine="1134"/>
        <w:jc w:val="both"/>
      </w:pPr>
      <w:r>
        <w:t>Foi abordado no presente trabalho, seu contexto histórico, a importância do laudo dos profissionais na sessão da periculosidade e da temporalidade indeterminada da medida de segurança, bem como a diferença da indeterminação temporal e a prisão perpétua.</w:t>
      </w:r>
    </w:p>
    <w:p w:rsidR="007D0189" w:rsidRDefault="007D0189" w:rsidP="00044A74">
      <w:pPr>
        <w:ind w:firstLine="1134"/>
        <w:jc w:val="both"/>
      </w:pPr>
      <w:r>
        <w:lastRenderedPageBreak/>
        <w:t>Saber a diferença entra pena e medida de segurança é um fator primordial para o estudo da medida de segurança, pois a pena não se refere aos inimputáveis e não tem o mesmo caráter de ressocializar o individuo que tem doença mental.</w:t>
      </w:r>
    </w:p>
    <w:p w:rsidR="00044A74" w:rsidRPr="005A50BE" w:rsidRDefault="009511C6" w:rsidP="00044A74">
      <w:pPr>
        <w:ind w:firstLine="1134"/>
        <w:jc w:val="both"/>
      </w:pPr>
      <w:r>
        <w:t>Foi utilizado para o enriquecimento desde trabalho, artigos do Código Penal, Lei de Execução Penal, autores de livros e artigos científicos da internet sitiados no assunto</w:t>
      </w:r>
      <w:r w:rsidR="00D237A0">
        <w:t xml:space="preserve">. </w:t>
      </w:r>
    </w:p>
    <w:p w:rsidR="007F7F00" w:rsidRDefault="007F7F00" w:rsidP="007F7F00">
      <w:pPr>
        <w:jc w:val="both"/>
        <w:rPr>
          <w:b/>
        </w:rPr>
      </w:pPr>
    </w:p>
    <w:p w:rsidR="007F7F00" w:rsidRDefault="007F7F00" w:rsidP="007F7F00">
      <w:pPr>
        <w:jc w:val="both"/>
        <w:rPr>
          <w:b/>
        </w:rPr>
      </w:pPr>
      <w:r>
        <w:rPr>
          <w:b/>
        </w:rPr>
        <w:t xml:space="preserve">2 </w:t>
      </w:r>
      <w:r w:rsidR="00C80208">
        <w:rPr>
          <w:b/>
        </w:rPr>
        <w:t>LAUDO DOS PROFISSIONAIS DE SAÚDE: SEU PODER SOBRE A TEMPORALIDADE DAS MEDIDAS DE SEGURANÇA.</w:t>
      </w:r>
    </w:p>
    <w:p w:rsidR="007F7F00" w:rsidRDefault="007F7F00" w:rsidP="007F7F00">
      <w:pPr>
        <w:jc w:val="both"/>
        <w:rPr>
          <w:b/>
        </w:rPr>
      </w:pPr>
    </w:p>
    <w:p w:rsidR="00B84F86" w:rsidRDefault="009E052C" w:rsidP="00B84F86">
      <w:pPr>
        <w:ind w:firstLine="1134"/>
        <w:jc w:val="both"/>
      </w:pPr>
      <w:r>
        <w:t>O laudo dos profissionais de saúde é</w:t>
      </w:r>
      <w:r w:rsidR="00B84F86">
        <w:t xml:space="preserve"> muito </w:t>
      </w:r>
      <w:r>
        <w:t>importante</w:t>
      </w:r>
      <w:r w:rsidR="00B84F86">
        <w:t xml:space="preserve"> para a aplicação da medida de segurança, pois este que vai através de exames afirmar que se o agente em questão sofre de doença mental, classificando-o em inimputável ou semi-imputável. Este profissional também terá á função de classificá-lo, informando com o grau de sua doença.</w:t>
      </w:r>
    </w:p>
    <w:p w:rsidR="00B84F86" w:rsidRDefault="00B84F86" w:rsidP="00B84F86">
      <w:pPr>
        <w:ind w:firstLine="1134"/>
        <w:jc w:val="both"/>
      </w:pPr>
      <w:r>
        <w:t>Dessa forma, o juiz, responsável pelo caso, terá mais conhecimento sobre o réu e definirá quanto tempo ele vai ficar internado</w:t>
      </w:r>
      <w:r w:rsidR="009E052C">
        <w:t>, ou submetê-lo a tratamento ambulatorial,</w:t>
      </w:r>
      <w:r>
        <w:t xml:space="preserve"> </w:t>
      </w:r>
      <w:r w:rsidR="009E052C">
        <w:t>verificando</w:t>
      </w:r>
      <w:r>
        <w:t xml:space="preserve"> qual o local mais adequado para a sua reabilitação e ressocialização para conviver harmoniosamente com a sociedade.</w:t>
      </w:r>
    </w:p>
    <w:p w:rsidR="000A23F7" w:rsidRDefault="00B84F86" w:rsidP="009E052C">
      <w:pPr>
        <w:ind w:firstLine="1134"/>
        <w:jc w:val="both"/>
      </w:pPr>
      <w:r>
        <w:t>Com os exames realizados, o médico encaminhará ao órgão responsável pelo julgamento que será o Juízo da Execução e o Ministério Público para a boa execução da medida de segurança.</w:t>
      </w:r>
    </w:p>
    <w:p w:rsidR="009E052C" w:rsidRDefault="00553662" w:rsidP="009E052C">
      <w:pPr>
        <w:ind w:firstLine="1134"/>
        <w:jc w:val="both"/>
      </w:pPr>
      <w:r>
        <w:t>De acordo com o Supremo Tribunal Federal,</w:t>
      </w:r>
    </w:p>
    <w:p w:rsidR="00553662" w:rsidRPr="00553662" w:rsidRDefault="00553662" w:rsidP="00553662">
      <w:pPr>
        <w:spacing w:line="240" w:lineRule="auto"/>
        <w:ind w:left="2268"/>
        <w:jc w:val="both"/>
        <w:rPr>
          <w:sz w:val="20"/>
        </w:rPr>
      </w:pPr>
      <w:r w:rsidRPr="00553662">
        <w:rPr>
          <w:sz w:val="20"/>
        </w:rPr>
        <w:t>MEDIDA DE SEGURANÇA - INTERNAÇÃO - TRATAMENTO AMBULATORIAL - INIMPUTAVEL - DEFINIÇÃO. TANTO A INTERNAÇÃO EM HOSPITAL DE CUSTODIA E TRATAMENTO PSIQUIATRICO QUANTO O ACOMPANHAMENTO MEDICO-AMBULATORIAL PRESSUPOEM, AO LADO DO FATO TIPICO, A PERICULOSIDADE, OU SEJA, QUE O AGENTE POSSA VIR A PRATICAR OUTRO CRIME. TRATANDO-SE DE INIMPUTAVEL, A DEFINIÇÃO DA MEDIDA CABIVEL OCORRE, EM UM PRIMEIRO PLANO, CONSIDERADO O ASPECTO OBJETIVO - A NATUREZA DA PENA PRIVATIVA DE LIBERDADE PREVISTA PARA O TIPO PENAL. SE O E DE RECLUSÃO, IMPÕE-SE A INTERNAÇÃO. SOMENTE NA HIPÓTESE DE DETENÇÃO E QUE FICA A CRITÉRIO DO JUIZ A ESTIPULAÇÃO, OU NÃO, DA MEDIDA MENOS GRAVOSA - DE TRATAMENTO AMBULATORIAL. A RAZÃO DE SER DA DISTINÇÃO ESTA NA GRAVIDADE DA FIGURA PENAL NA QUAL O INIMPUTAVEL ESTEVE ENVOLVIDO, A NORTEAR O GRAU DE PERICULOSIDADE - ARTIG</w:t>
      </w:r>
      <w:r w:rsidR="002D217C">
        <w:rPr>
          <w:sz w:val="20"/>
        </w:rPr>
        <w:t>OS 26, 96 E 97 DO CÓDIGO PENAL.</w:t>
      </w:r>
      <w:r w:rsidRPr="00553662">
        <w:rPr>
          <w:sz w:val="20"/>
        </w:rPr>
        <w:t xml:space="preserve"> (HC 69375 / RJ - Rel. Min. Marco Aurélio. Julgamento:  25/08/1992. Órgão Julgador:  SEGUNDA TURMA).</w:t>
      </w:r>
    </w:p>
    <w:p w:rsidR="00553662" w:rsidRDefault="002D217C" w:rsidP="002D217C">
      <w:pPr>
        <w:tabs>
          <w:tab w:val="left" w:pos="7230"/>
        </w:tabs>
        <w:ind w:firstLine="1134"/>
        <w:jc w:val="both"/>
      </w:pPr>
      <w:r>
        <w:tab/>
      </w:r>
    </w:p>
    <w:p w:rsidR="00553662" w:rsidRDefault="002D217C" w:rsidP="00553662">
      <w:pPr>
        <w:ind w:firstLine="1134"/>
        <w:jc w:val="both"/>
      </w:pPr>
      <w:r>
        <w:t xml:space="preserve">Assim conclui-se que o STF reconhece que se tratando de um inimputável, e sendo a medida cabível para seu crime a de reclusão, o agente será submetido às medidas </w:t>
      </w:r>
      <w:r>
        <w:lastRenderedPageBreak/>
        <w:t>cabíveis, como em hospital de custódia e tratamento ou ambulatorial, devendo ter assistência médica no decorrer do tempo determinado pelo juiz.</w:t>
      </w:r>
    </w:p>
    <w:p w:rsidR="00244FEF" w:rsidRDefault="00244FEF" w:rsidP="007F7F00">
      <w:pPr>
        <w:jc w:val="both"/>
        <w:rPr>
          <w:b/>
        </w:rPr>
      </w:pPr>
    </w:p>
    <w:p w:rsidR="007F7F00" w:rsidRDefault="007F7F00" w:rsidP="007F7F00">
      <w:pPr>
        <w:jc w:val="both"/>
        <w:rPr>
          <w:b/>
        </w:rPr>
      </w:pPr>
      <w:r>
        <w:rPr>
          <w:b/>
        </w:rPr>
        <w:t>3</w:t>
      </w:r>
      <w:r w:rsidR="00C80208">
        <w:rPr>
          <w:b/>
        </w:rPr>
        <w:t xml:space="preserve"> MEDIDA DE SEGURANÇA: MÉTODOS, LOCAL DE APLICAÇÃO E CONTEXTO HISTÓRICO.</w:t>
      </w:r>
    </w:p>
    <w:p w:rsidR="00EC2C8D" w:rsidRDefault="00EC2C8D" w:rsidP="007F7F00">
      <w:pPr>
        <w:jc w:val="both"/>
        <w:rPr>
          <w:b/>
        </w:rPr>
      </w:pPr>
    </w:p>
    <w:p w:rsidR="007F7F00" w:rsidRDefault="009D413B" w:rsidP="009D413B">
      <w:pPr>
        <w:ind w:firstLine="1134"/>
        <w:jc w:val="both"/>
        <w:rPr>
          <w:color w:val="000000"/>
          <w:szCs w:val="27"/>
        </w:rPr>
      </w:pPr>
      <w:r>
        <w:t xml:space="preserve">A expressão medida de segurança tem relação com cautela, ou algo que se precise de cuidado. </w:t>
      </w:r>
      <w:r w:rsidRPr="009D413B">
        <w:rPr>
          <w:color w:val="000000"/>
          <w:szCs w:val="27"/>
        </w:rPr>
        <w:t>Conforme Nelson Hungria (2009, p. 167): “A medida de segurança é um tratamento de medida acauteladora contra indivíduos perigosos e a sua duração está subordinada à permanência dessa periculosidade”.</w:t>
      </w:r>
    </w:p>
    <w:p w:rsidR="009D413B" w:rsidRPr="00FA3F76" w:rsidRDefault="009D413B" w:rsidP="009D413B">
      <w:pPr>
        <w:ind w:firstLine="1134"/>
        <w:jc w:val="both"/>
        <w:rPr>
          <w:rFonts w:cs="Times New Roman"/>
          <w:szCs w:val="28"/>
        </w:rPr>
      </w:pPr>
      <w:r w:rsidRPr="00FA3F76">
        <w:rPr>
          <w:rFonts w:cs="Times New Roman"/>
          <w:szCs w:val="28"/>
        </w:rPr>
        <w:t>O instituto ora em debate, aborda o tema sobre a medida de segurança, ou seja, o tratamento aplicado aos inimputáveis que cometem um delito penal.</w:t>
      </w:r>
    </w:p>
    <w:p w:rsidR="009D413B" w:rsidRPr="00FA3F76" w:rsidRDefault="009D413B" w:rsidP="009D413B">
      <w:pPr>
        <w:ind w:firstLine="1134"/>
        <w:jc w:val="both"/>
        <w:rPr>
          <w:rFonts w:cs="Times New Roman"/>
          <w:szCs w:val="28"/>
        </w:rPr>
      </w:pPr>
      <w:r>
        <w:rPr>
          <w:rFonts w:cs="Times New Roman"/>
          <w:szCs w:val="28"/>
        </w:rPr>
        <w:t>A medida de segurança é</w:t>
      </w:r>
      <w:r w:rsidRPr="00FA3F76">
        <w:rPr>
          <w:rFonts w:cs="Times New Roman"/>
          <w:szCs w:val="28"/>
        </w:rPr>
        <w:t xml:space="preserve"> destinada para agentes que, por motivo de doenças mentais não são plenamente responsáveis pelos seus atos, portanto, estes devem ser tratados de forma diferenciada, tendo e</w:t>
      </w:r>
      <w:r>
        <w:rPr>
          <w:rFonts w:cs="Times New Roman"/>
          <w:szCs w:val="28"/>
        </w:rPr>
        <w:t>m vista a</w:t>
      </w:r>
      <w:r w:rsidRPr="00FA3F76">
        <w:rPr>
          <w:rFonts w:cs="Times New Roman"/>
          <w:szCs w:val="28"/>
        </w:rPr>
        <w:t xml:space="preserve"> sua deficiência mental, que ocasiona a não percepção dos atos por eles realizados.</w:t>
      </w:r>
    </w:p>
    <w:p w:rsidR="009D413B" w:rsidRDefault="009D413B" w:rsidP="009D413B">
      <w:pPr>
        <w:ind w:firstLine="1134"/>
        <w:jc w:val="both"/>
        <w:rPr>
          <w:rFonts w:cs="Times New Roman"/>
          <w:szCs w:val="28"/>
        </w:rPr>
      </w:pPr>
      <w:r w:rsidRPr="00FA3F76">
        <w:rPr>
          <w:rFonts w:cs="Times New Roman"/>
          <w:szCs w:val="28"/>
        </w:rPr>
        <w:t>Muitos acreditam que a medida de segurança é uma forma de pena, porém, o instituto não tem essa característica, e sim, de um tratamento aos inimputáveis.</w:t>
      </w:r>
    </w:p>
    <w:p w:rsidR="00700ED9" w:rsidRDefault="00700ED9" w:rsidP="009D413B">
      <w:pPr>
        <w:ind w:firstLine="1134"/>
        <w:jc w:val="both"/>
        <w:rPr>
          <w:rFonts w:cs="Times New Roman"/>
          <w:szCs w:val="28"/>
        </w:rPr>
      </w:pPr>
      <w:r>
        <w:rPr>
          <w:rFonts w:cs="Times New Roman"/>
          <w:szCs w:val="28"/>
        </w:rPr>
        <w:t>A pena é dividida entre privativa de liberdade e restritiva de direito e sua característica principal é de punir o autor do crime penal, e sua consequência seria prevenir para que o agente não voltasse a cometer o ato ilícito.</w:t>
      </w:r>
    </w:p>
    <w:p w:rsidR="00700ED9" w:rsidRDefault="00700ED9" w:rsidP="00A75457">
      <w:pPr>
        <w:ind w:firstLine="1134"/>
        <w:jc w:val="both"/>
        <w:rPr>
          <w:rFonts w:cs="Times New Roman"/>
          <w:szCs w:val="28"/>
        </w:rPr>
      </w:pPr>
      <w:r>
        <w:rPr>
          <w:rFonts w:cs="Times New Roman"/>
          <w:szCs w:val="28"/>
        </w:rPr>
        <w:t xml:space="preserve">Algumas diferenças </w:t>
      </w:r>
      <w:r w:rsidR="00A75457">
        <w:rPr>
          <w:rFonts w:cs="Times New Roman"/>
          <w:szCs w:val="28"/>
        </w:rPr>
        <w:t>entre penas e medidas de segurança serão abordadas à diante, que foi postado em no site boletim jurídico.</w:t>
      </w:r>
    </w:p>
    <w:p w:rsidR="00A75457" w:rsidRPr="00A75457" w:rsidRDefault="00A75457" w:rsidP="00A75457">
      <w:pPr>
        <w:pStyle w:val="NormalWeb"/>
        <w:shd w:val="clear" w:color="auto" w:fill="FFFFFF"/>
        <w:spacing w:before="40" w:beforeAutospacing="0" w:after="0" w:afterAutospacing="0"/>
        <w:ind w:left="2268"/>
        <w:jc w:val="both"/>
      </w:pPr>
      <w:r w:rsidRPr="00A75457">
        <w:rPr>
          <w:sz w:val="20"/>
          <w:szCs w:val="20"/>
        </w:rPr>
        <w:t>a) As penas têm função retributiva - preventiva, e as Medidas de segurança tem função preventiva. A pena tem um efeito de prevenção geral e individual, quanto que as medidas de Segurança a prevenção e meramente especial, busca afastar o delinqüente do convívio social.</w:t>
      </w:r>
    </w:p>
    <w:p w:rsidR="00A75457" w:rsidRPr="00A75457" w:rsidRDefault="00A75457" w:rsidP="00A75457">
      <w:pPr>
        <w:pStyle w:val="NormalWeb"/>
        <w:shd w:val="clear" w:color="auto" w:fill="FFFFFF"/>
        <w:spacing w:before="40" w:beforeAutospacing="0" w:after="0" w:afterAutospacing="0"/>
        <w:ind w:left="2268"/>
        <w:jc w:val="both"/>
      </w:pPr>
      <w:r w:rsidRPr="00A75457">
        <w:rPr>
          <w:sz w:val="20"/>
          <w:szCs w:val="20"/>
        </w:rPr>
        <w:t>b) A pena e aplicada por tempo determinado , pis deve ser proporcional ao valor causal do crime, ao passo que a Medida de Segurança e aplicada por tempo determinado no mínimo e absolutamente indeterminado no Maximo, cessando somente com os desaparecimentos da periculosidade do agente.</w:t>
      </w:r>
    </w:p>
    <w:p w:rsidR="00A75457" w:rsidRPr="00A75457" w:rsidRDefault="00A75457" w:rsidP="00A75457">
      <w:pPr>
        <w:pStyle w:val="NormalWeb"/>
        <w:shd w:val="clear" w:color="auto" w:fill="FFFFFF"/>
        <w:spacing w:before="40" w:beforeAutospacing="0" w:after="0" w:afterAutospacing="0"/>
        <w:ind w:left="2268"/>
        <w:jc w:val="both"/>
      </w:pPr>
      <w:r w:rsidRPr="00A75457">
        <w:rPr>
          <w:sz w:val="20"/>
          <w:szCs w:val="20"/>
        </w:rPr>
        <w:t>c) A culpabilidade e condição da pena , a periculosidade social e condição da Medida de Segurança.</w:t>
      </w:r>
    </w:p>
    <w:p w:rsidR="00A75457" w:rsidRPr="00A75457" w:rsidRDefault="00A75457" w:rsidP="00A75457">
      <w:pPr>
        <w:pStyle w:val="NormalWeb"/>
        <w:shd w:val="clear" w:color="auto" w:fill="FFFFFF"/>
        <w:spacing w:before="40" w:beforeAutospacing="0" w:after="0" w:afterAutospacing="0"/>
        <w:ind w:left="2268"/>
        <w:jc w:val="both"/>
      </w:pPr>
      <w:r w:rsidRPr="00A75457">
        <w:rPr>
          <w:sz w:val="20"/>
          <w:szCs w:val="20"/>
        </w:rPr>
        <w:t>d) As penas podem ser impostas aos imputáveis e semi- imputáveis; as medidas de Segurança são aplicáveis aos inimputáveis e semi- imputáveis, nunca aos imputáveis. Só cabe há pessoas que contenham um certo distúrbio.</w:t>
      </w:r>
      <w:r>
        <w:rPr>
          <w:sz w:val="20"/>
          <w:szCs w:val="20"/>
        </w:rPr>
        <w:t>(RIOS, 2004, p.[?])</w:t>
      </w:r>
    </w:p>
    <w:p w:rsidR="00A75457" w:rsidRPr="00700ED9" w:rsidRDefault="00A75457" w:rsidP="00A75457">
      <w:pPr>
        <w:ind w:firstLine="1134"/>
        <w:jc w:val="both"/>
        <w:rPr>
          <w:rFonts w:cs="Times New Roman"/>
          <w:sz w:val="20"/>
          <w:szCs w:val="28"/>
        </w:rPr>
      </w:pPr>
    </w:p>
    <w:p w:rsidR="009D413B" w:rsidRPr="00FA3F76" w:rsidRDefault="009D413B" w:rsidP="009D413B">
      <w:pPr>
        <w:ind w:firstLine="1134"/>
        <w:jc w:val="both"/>
        <w:rPr>
          <w:rFonts w:cs="Times New Roman"/>
          <w:szCs w:val="28"/>
        </w:rPr>
      </w:pPr>
      <w:r w:rsidRPr="00FA3F76">
        <w:rPr>
          <w:rFonts w:cs="Times New Roman"/>
          <w:szCs w:val="28"/>
        </w:rPr>
        <w:t xml:space="preserve">Porém, para que fique comprovado no caso concreto, que se trata de pessoa inimputável e por via de consequência estar acobertada pelo instituo ora em análise, é </w:t>
      </w:r>
      <w:r w:rsidRPr="00FA3F76">
        <w:rPr>
          <w:rFonts w:cs="Times New Roman"/>
          <w:szCs w:val="28"/>
        </w:rPr>
        <w:lastRenderedPageBreak/>
        <w:t>indispensável o laudo pericial, ou seja, uma junta médica que atest</w:t>
      </w:r>
      <w:r>
        <w:rPr>
          <w:rFonts w:cs="Times New Roman"/>
          <w:szCs w:val="28"/>
        </w:rPr>
        <w:t>ará de forma clara e precisa que</w:t>
      </w:r>
      <w:r w:rsidRPr="00FA3F76">
        <w:rPr>
          <w:rFonts w:cs="Times New Roman"/>
          <w:szCs w:val="28"/>
        </w:rPr>
        <w:t xml:space="preserve"> o ag</w:t>
      </w:r>
      <w:r>
        <w:rPr>
          <w:rFonts w:cs="Times New Roman"/>
          <w:szCs w:val="28"/>
        </w:rPr>
        <w:t>ente sofra</w:t>
      </w:r>
      <w:r w:rsidRPr="00FA3F76">
        <w:rPr>
          <w:rFonts w:cs="Times New Roman"/>
          <w:szCs w:val="28"/>
        </w:rPr>
        <w:t xml:space="preserve"> de alguma deficiência.</w:t>
      </w:r>
    </w:p>
    <w:p w:rsidR="009D413B" w:rsidRDefault="009D413B" w:rsidP="009D413B">
      <w:pPr>
        <w:ind w:firstLine="1134"/>
        <w:jc w:val="both"/>
        <w:rPr>
          <w:rFonts w:cs="Times New Roman"/>
          <w:szCs w:val="28"/>
        </w:rPr>
      </w:pPr>
      <w:r w:rsidRPr="00FA3F76">
        <w:rPr>
          <w:rFonts w:cs="Times New Roman"/>
          <w:szCs w:val="28"/>
        </w:rPr>
        <w:t>A nossa jurisprudência já possui entendimento firmado no sentido de que, para que seja atestado a imputabilidade do agente é necessário o laudo médico, e que o tratamento perdur</w:t>
      </w:r>
      <w:r>
        <w:rPr>
          <w:rFonts w:cs="Times New Roman"/>
          <w:szCs w:val="28"/>
        </w:rPr>
        <w:t>ará até cessar a periculosidade</w:t>
      </w:r>
      <w:r w:rsidRPr="00FA3F76">
        <w:rPr>
          <w:rFonts w:cs="Times New Roman"/>
          <w:szCs w:val="28"/>
        </w:rPr>
        <w:t>, senão vejamos:</w:t>
      </w:r>
    </w:p>
    <w:p w:rsidR="00EC2C8D" w:rsidRPr="00FA3F76" w:rsidRDefault="00EC2C8D" w:rsidP="009D413B">
      <w:pPr>
        <w:ind w:firstLine="1134"/>
        <w:jc w:val="both"/>
        <w:rPr>
          <w:rFonts w:cs="Times New Roman"/>
          <w:szCs w:val="28"/>
        </w:rPr>
      </w:pPr>
    </w:p>
    <w:p w:rsidR="009D413B" w:rsidRPr="00FA3F76" w:rsidRDefault="009D413B" w:rsidP="009D413B">
      <w:pPr>
        <w:spacing w:line="240" w:lineRule="auto"/>
        <w:ind w:left="2268"/>
        <w:jc w:val="both"/>
        <w:rPr>
          <w:rFonts w:cs="Times New Roman"/>
          <w:sz w:val="20"/>
          <w:szCs w:val="28"/>
        </w:rPr>
      </w:pPr>
      <w:r w:rsidRPr="00FA3F76">
        <w:rPr>
          <w:rFonts w:cs="Times New Roman"/>
          <w:sz w:val="20"/>
          <w:szCs w:val="28"/>
        </w:rPr>
        <w:t>TJPI-004400) HABEAS CORPUS. HOMICÍDIO QUALIFICADO. DÚVIDAS QUANTO HIGIDEZ MENTAL DO PACIENTE INIMPUTABILIDADE CONSTATADA. MEDIDA DE SEGURANÇA APLICADA. INTERNAÇÃO. PEDIDO DE MUDANÇA DO LOCAL DE INTERNAÇÃO. IMPOSSIBILIDADE. DESINTERNAÇÃO. NECESSIDADE DE LAUDO FAVORÁVEL NESSE SENTIDO. ORDEM DENEGADA. 1. Paciente que praticou crime de homicídio, mas que era inimputável segundo laudo médico-criminológico, medida de segurança aplicada internação junto ao Hospital Psiquiátrico Walter Alencar na Penitenciária Major César Oliveira. 2. Pedido de mudança do local indeferido em razão de não haver local apropriado na Comarca de Picos. 3. Pedido de desinternação deve obedecer ao art. 175 da LEP, que exige o reconhecimento de cessação de periculosidade que deve ser feito após a expedição de relatório administrativo acompanhado de parecer psiquiátrico, o que exige dilação probatória, inviável no rito célere do habeas corpus. 4. Ordem denegada. (Habeas Corpus nº 2010.0001.001318-8, 2ª Câmara Especializada Criminal do TJPI, Rel. Joaquim Dias de Santana Filho. j. 10.05.2010, unânime).</w:t>
      </w:r>
    </w:p>
    <w:p w:rsidR="009D413B" w:rsidRDefault="009D413B" w:rsidP="007F7F00">
      <w:pPr>
        <w:jc w:val="both"/>
      </w:pPr>
    </w:p>
    <w:p w:rsidR="009D413B" w:rsidRDefault="00907193" w:rsidP="00A54A78">
      <w:pPr>
        <w:ind w:firstLine="1134"/>
        <w:jc w:val="both"/>
      </w:pPr>
      <w:r>
        <w:t>De acordo com o Código Penal, existe</w:t>
      </w:r>
      <w:r w:rsidR="00A54A78">
        <w:t>m</w:t>
      </w:r>
      <w:r>
        <w:t xml:space="preserve"> duas espécies de medida de segurança: a detentiva e a restritiva. De acordo com a detentiva, o tratamento do agente inimputável ou semi-imputável deverá ser feito em hospital de custódia ou de tratamento ps</w:t>
      </w:r>
      <w:r w:rsidR="00381712">
        <w:t>iquiátrico. Já na medida de segurança restritiva, consiste em tratamento ambulatorial, devendo o agente comparecer ao hospital nos dias em que for determinado pelo médico</w:t>
      </w:r>
      <w:r w:rsidR="00A54A78">
        <w:t>, estas espécies constam no artigo 96 do Código Penal.</w:t>
      </w:r>
    </w:p>
    <w:p w:rsidR="00A54A78" w:rsidRDefault="00A54A78" w:rsidP="00A54A78">
      <w:pPr>
        <w:ind w:firstLine="1134"/>
        <w:jc w:val="both"/>
      </w:pPr>
      <w:r>
        <w:t xml:space="preserve">Caso se o agente for inimputável, o juiz determinará sua internação, previsto no artigo 26 do código em questão. Contudo, se o fato for considerado crime e </w:t>
      </w:r>
      <w:r w:rsidR="003C7775">
        <w:t>tiver</w:t>
      </w:r>
      <w:r>
        <w:t xml:space="preserve"> como sentença a detenção, poderá o juiz a submetê-lo a tratamento </w:t>
      </w:r>
      <w:r w:rsidR="003C7775">
        <w:t>ambulatorial</w:t>
      </w:r>
      <w:r>
        <w:t xml:space="preserve">, presente no artigo 97 do mesmo código. Com relação ao prazo desta medida, observa-se o </w:t>
      </w:r>
      <w:r w:rsidR="003C7775" w:rsidRPr="003C7775">
        <w:t>§</w:t>
      </w:r>
      <w:r w:rsidR="003C7775">
        <w:t xml:space="preserve"> 1º do artigo 97, relatando que será por tempo indeterminado, no caso de internação, ou tratamento ambulatorial, o prazo mínimo será de um a três ano, perdurando enquanto não houver a pericia médica, para averiguar a cessação de periculosidade.</w:t>
      </w:r>
    </w:p>
    <w:p w:rsidR="00A23358" w:rsidRDefault="00A23358" w:rsidP="00A54A78">
      <w:pPr>
        <w:ind w:firstLine="1134"/>
        <w:jc w:val="both"/>
      </w:pPr>
      <w:r>
        <w:t>Com relação ao local onde o internado será recolhido, deve seguir os requisitos do artigo 99, que relata que o local deve ter características hospitales onde o paciente será submetido a tratamento.</w:t>
      </w:r>
      <w:r w:rsidR="00383F78">
        <w:t xml:space="preserve"> Na Lei de Execução Penal, título IV, dos Estabelecimentos Penais, no capítulo II, artigo 88 e capítulo VI, artigos 99, 100 e 101 versam sobre as condições em devem ser mantidos os locais que imputáveis e semi-imputáveis iram ocupar.</w:t>
      </w:r>
    </w:p>
    <w:p w:rsidR="009D413B" w:rsidRPr="009D413B" w:rsidRDefault="009D413B" w:rsidP="007F7F00">
      <w:pPr>
        <w:jc w:val="both"/>
      </w:pPr>
    </w:p>
    <w:p w:rsidR="007F7F00" w:rsidRDefault="007F7F00" w:rsidP="007F7F00">
      <w:pPr>
        <w:jc w:val="both"/>
        <w:rPr>
          <w:b/>
        </w:rPr>
      </w:pPr>
      <w:r>
        <w:rPr>
          <w:b/>
        </w:rPr>
        <w:t>4</w:t>
      </w:r>
      <w:r w:rsidR="00C80208">
        <w:rPr>
          <w:b/>
        </w:rPr>
        <w:t xml:space="preserve"> PROFISSIONAIS DA SAÚDE: IMPORTÂNCIA SOBRE A TEMPORALIDADE INDETERMINADA DA MEDIDA DE SEGURANÇA, E ANÁLISE DESTE SOBRE A SESSÃO DE PERICULOSIDADE.  </w:t>
      </w:r>
    </w:p>
    <w:p w:rsidR="00982FBE" w:rsidRPr="009C3D47" w:rsidRDefault="00982FBE" w:rsidP="00982FBE">
      <w:pPr>
        <w:jc w:val="both"/>
        <w:rPr>
          <w:rFonts w:cs="Times New Roman"/>
          <w:szCs w:val="24"/>
        </w:rPr>
      </w:pPr>
    </w:p>
    <w:p w:rsidR="00982FBE" w:rsidRPr="00982FBE" w:rsidRDefault="00982FBE" w:rsidP="00982FBE">
      <w:pPr>
        <w:ind w:firstLine="1134"/>
        <w:jc w:val="both"/>
        <w:rPr>
          <w:rFonts w:cs="Times New Roman"/>
          <w:szCs w:val="24"/>
        </w:rPr>
      </w:pPr>
      <w:r w:rsidRPr="00982FBE">
        <w:rPr>
          <w:rFonts w:cs="Times New Roman"/>
          <w:szCs w:val="24"/>
        </w:rPr>
        <w:t>Não obstante de importância, o poder judiciário na pessoa do juiz vem a realizar os</w:t>
      </w:r>
      <w:r w:rsidR="005C1A14">
        <w:rPr>
          <w:rFonts w:cs="Times New Roman"/>
          <w:szCs w:val="24"/>
        </w:rPr>
        <w:t xml:space="preserve"> processos legais embasando-se nos laudos periciais. D</w:t>
      </w:r>
      <w:r w:rsidR="00966E21">
        <w:rPr>
          <w:rFonts w:cs="Times New Roman"/>
          <w:szCs w:val="24"/>
        </w:rPr>
        <w:t xml:space="preserve">e acordo </w:t>
      </w:r>
      <w:r w:rsidRPr="00DB0600">
        <w:rPr>
          <w:rFonts w:cs="Times New Roman"/>
          <w:szCs w:val="24"/>
        </w:rPr>
        <w:t xml:space="preserve">o </w:t>
      </w:r>
      <w:r w:rsidR="00966E21">
        <w:rPr>
          <w:rFonts w:cs="Times New Roman"/>
          <w:szCs w:val="24"/>
        </w:rPr>
        <w:t>Artigo 97 do C</w:t>
      </w:r>
      <w:r w:rsidR="005C1A14" w:rsidRPr="00DB0600">
        <w:rPr>
          <w:rFonts w:cs="Times New Roman"/>
          <w:szCs w:val="24"/>
        </w:rPr>
        <w:t xml:space="preserve">ódigo </w:t>
      </w:r>
      <w:r w:rsidR="00966E21">
        <w:rPr>
          <w:rFonts w:cs="Times New Roman"/>
          <w:szCs w:val="24"/>
        </w:rPr>
        <w:t xml:space="preserve">Penal </w:t>
      </w:r>
      <w:r w:rsidR="005C1A14" w:rsidRPr="00DB0600">
        <w:rPr>
          <w:rFonts w:cs="Times New Roman"/>
          <w:szCs w:val="24"/>
        </w:rPr>
        <w:t>afirma</w:t>
      </w:r>
      <w:r w:rsidR="005C1A14" w:rsidRPr="005C1A14">
        <w:rPr>
          <w:rFonts w:cs="Times New Roman"/>
          <w:b/>
          <w:szCs w:val="24"/>
        </w:rPr>
        <w:t xml:space="preserve"> </w:t>
      </w:r>
      <w:r w:rsidR="005C1A14">
        <w:rPr>
          <w:rFonts w:cs="Times New Roman"/>
          <w:szCs w:val="24"/>
        </w:rPr>
        <w:t>que: “§ 2º - A perícia médica realizar-se-</w:t>
      </w:r>
      <w:r w:rsidRPr="00982FBE">
        <w:rPr>
          <w:rFonts w:cs="Times New Roman"/>
          <w:szCs w:val="24"/>
        </w:rPr>
        <w:t>á ao termo do prazo mínimo fixado e deverá ser repetid</w:t>
      </w:r>
      <w:r w:rsidR="005C1A14">
        <w:rPr>
          <w:rFonts w:cs="Times New Roman"/>
          <w:szCs w:val="24"/>
        </w:rPr>
        <w:t xml:space="preserve">a de ano em ano, ou a qualquer </w:t>
      </w:r>
      <w:r w:rsidRPr="00982FBE">
        <w:rPr>
          <w:rFonts w:cs="Times New Roman"/>
          <w:szCs w:val="24"/>
        </w:rPr>
        <w:t>tempo, se o determinar o juiz da execução.” pelo</w:t>
      </w:r>
      <w:r w:rsidR="005C1A14">
        <w:rPr>
          <w:rFonts w:cs="Times New Roman"/>
          <w:szCs w:val="24"/>
        </w:rPr>
        <w:t xml:space="preserve"> dito</w:t>
      </w:r>
      <w:r w:rsidRPr="00982FBE">
        <w:rPr>
          <w:rFonts w:cs="Times New Roman"/>
          <w:szCs w:val="24"/>
        </w:rPr>
        <w:t xml:space="preserve"> artigo, o j</w:t>
      </w:r>
      <w:r w:rsidR="005C1A14">
        <w:rPr>
          <w:rFonts w:cs="Times New Roman"/>
          <w:szCs w:val="24"/>
        </w:rPr>
        <w:t>uiz pode vir a adicionar tempo à</w:t>
      </w:r>
      <w:r w:rsidRPr="00982FBE">
        <w:rPr>
          <w:rFonts w:cs="Times New Roman"/>
          <w:szCs w:val="24"/>
        </w:rPr>
        <w:t>s medidas de segurança ou cessar a temporalidade determinada anteriormente, demonstrando</w:t>
      </w:r>
      <w:r w:rsidR="005C1A14" w:rsidRPr="00982FBE">
        <w:rPr>
          <w:rFonts w:cs="Times New Roman"/>
          <w:szCs w:val="24"/>
        </w:rPr>
        <w:t>, portanto</w:t>
      </w:r>
      <w:r w:rsidRPr="00982FBE">
        <w:rPr>
          <w:rFonts w:cs="Times New Roman"/>
          <w:szCs w:val="24"/>
        </w:rPr>
        <w:t>, uma das suas</w:t>
      </w:r>
      <w:r w:rsidR="005C1A14">
        <w:rPr>
          <w:rFonts w:cs="Times New Roman"/>
          <w:szCs w:val="24"/>
        </w:rPr>
        <w:t xml:space="preserve"> devidas importância</w:t>
      </w:r>
      <w:r w:rsidRPr="00982FBE">
        <w:rPr>
          <w:rFonts w:cs="Times New Roman"/>
          <w:szCs w:val="24"/>
        </w:rPr>
        <w:t xml:space="preserve"> no cumprimento da medida de segurança.</w:t>
      </w:r>
    </w:p>
    <w:p w:rsidR="00982FBE" w:rsidRPr="00982FBE" w:rsidRDefault="00982FBE" w:rsidP="00982FBE">
      <w:pPr>
        <w:ind w:firstLine="1134"/>
        <w:jc w:val="both"/>
        <w:rPr>
          <w:rFonts w:cs="Times New Roman"/>
          <w:szCs w:val="24"/>
        </w:rPr>
      </w:pPr>
      <w:r w:rsidRPr="00982FBE">
        <w:rPr>
          <w:rFonts w:cs="Times New Roman"/>
          <w:szCs w:val="24"/>
        </w:rPr>
        <w:t xml:space="preserve">Mesmo que </w:t>
      </w:r>
      <w:r w:rsidRPr="00DB0600">
        <w:rPr>
          <w:rFonts w:cs="Times New Roman"/>
          <w:szCs w:val="24"/>
        </w:rPr>
        <w:t>não tanto exposta</w:t>
      </w:r>
      <w:r w:rsidRPr="00982FBE">
        <w:rPr>
          <w:rFonts w:cs="Times New Roman"/>
          <w:szCs w:val="24"/>
        </w:rPr>
        <w:t xml:space="preserve"> o pronunciamento do Supremo Tribunal Federal, este, veio a realizar a possível possibilidade de exercer uma temporalidade máxima a medida de segurança, mesmo</w:t>
      </w:r>
      <w:r w:rsidR="004237BC">
        <w:rPr>
          <w:rFonts w:cs="Times New Roman"/>
          <w:szCs w:val="24"/>
        </w:rPr>
        <w:t xml:space="preserve"> com laudos periciais, tal a aná</w:t>
      </w:r>
      <w:r w:rsidRPr="00982FBE">
        <w:rPr>
          <w:rFonts w:cs="Times New Roman"/>
          <w:szCs w:val="24"/>
        </w:rPr>
        <w:t>lise vem a alicerçar-se ao artigo 75 do Código Penal, que estabelece 30 anos mínimos, podendo com isso dar garantia e excluindo a co</w:t>
      </w:r>
      <w:r w:rsidR="004237BC">
        <w:rPr>
          <w:rFonts w:cs="Times New Roman"/>
          <w:szCs w:val="24"/>
        </w:rPr>
        <w:t>mparação com prisão perpé</w:t>
      </w:r>
      <w:r w:rsidRPr="00982FBE">
        <w:rPr>
          <w:rFonts w:cs="Times New Roman"/>
          <w:szCs w:val="24"/>
        </w:rPr>
        <w:t>tua.</w:t>
      </w:r>
    </w:p>
    <w:p w:rsidR="00982FBE" w:rsidRPr="00982FBE" w:rsidRDefault="00982FBE" w:rsidP="00982FBE">
      <w:pPr>
        <w:ind w:firstLine="1134"/>
        <w:jc w:val="both"/>
        <w:rPr>
          <w:rFonts w:cs="Times New Roman"/>
          <w:szCs w:val="24"/>
        </w:rPr>
      </w:pPr>
      <w:r w:rsidRPr="00982FBE">
        <w:rPr>
          <w:rFonts w:cs="Times New Roman"/>
          <w:szCs w:val="24"/>
        </w:rPr>
        <w:t xml:space="preserve"> Na posição exercida pelo juiz ele pode decidir os cuidados a tomar com a participação de um terceiro a qual vem a ser o tutor do mesmo. Este terceiro vem a ser usado de modo que a</w:t>
      </w:r>
      <w:r w:rsidR="005C1A14">
        <w:rPr>
          <w:rFonts w:cs="Times New Roman"/>
          <w:szCs w:val="24"/>
        </w:rPr>
        <w:t xml:space="preserve"> medida de segurança não venha</w:t>
      </w:r>
      <w:r w:rsidRPr="00982FBE">
        <w:rPr>
          <w:rFonts w:cs="Times New Roman"/>
          <w:szCs w:val="24"/>
        </w:rPr>
        <w:t xml:space="preserve"> a ser uma med</w:t>
      </w:r>
      <w:r w:rsidR="004237BC">
        <w:rPr>
          <w:rFonts w:cs="Times New Roman"/>
          <w:szCs w:val="24"/>
        </w:rPr>
        <w:t>ida perpé</w:t>
      </w:r>
      <w:r w:rsidRPr="00982FBE">
        <w:rPr>
          <w:rFonts w:cs="Times New Roman"/>
          <w:szCs w:val="24"/>
        </w:rPr>
        <w:t xml:space="preserve">tua, pois deve estar de acordo com a Constituição Federal, em seu art. 5°, XLVII. Assim sendo, em vista que caso não se </w:t>
      </w:r>
      <w:r w:rsidR="004237BC" w:rsidRPr="00982FBE">
        <w:rPr>
          <w:rFonts w:cs="Times New Roman"/>
          <w:szCs w:val="24"/>
        </w:rPr>
        <w:t>averigue</w:t>
      </w:r>
      <w:r w:rsidRPr="00982FBE">
        <w:rPr>
          <w:rFonts w:cs="Times New Roman"/>
          <w:szCs w:val="24"/>
        </w:rPr>
        <w:t xml:space="preserve"> mais periculosidad</w:t>
      </w:r>
      <w:r w:rsidR="004237BC">
        <w:rPr>
          <w:rFonts w:cs="Times New Roman"/>
          <w:szCs w:val="24"/>
        </w:rPr>
        <w:t>e pode-se adotar esta medida, a</w:t>
      </w:r>
      <w:r w:rsidRPr="00982FBE">
        <w:rPr>
          <w:rFonts w:cs="Times New Roman"/>
          <w:szCs w:val="24"/>
        </w:rPr>
        <w:t xml:space="preserve"> ponto que venha traze</w:t>
      </w:r>
      <w:r w:rsidR="004237BC">
        <w:rPr>
          <w:rFonts w:cs="Times New Roman"/>
          <w:szCs w:val="24"/>
        </w:rPr>
        <w:t>r</w:t>
      </w:r>
      <w:r w:rsidRPr="00982FBE">
        <w:rPr>
          <w:rFonts w:cs="Times New Roman"/>
          <w:szCs w:val="24"/>
        </w:rPr>
        <w:t xml:space="preserve"> um convívio social ao induzido a medida de segurança. De acordo com o código civil, quem pode exercer essa decisão do judiciário são:</w:t>
      </w:r>
    </w:p>
    <w:p w:rsidR="00DC7322" w:rsidRDefault="00DC7322" w:rsidP="00982FBE">
      <w:pPr>
        <w:ind w:firstLine="1134"/>
        <w:jc w:val="both"/>
        <w:rPr>
          <w:rFonts w:cs="Times New Roman"/>
          <w:szCs w:val="24"/>
        </w:rPr>
      </w:pPr>
      <w:r>
        <w:rPr>
          <w:rFonts w:cs="Times New Roman"/>
          <w:szCs w:val="24"/>
        </w:rPr>
        <w:t>Artigo 1.767 do Código Civil versa sobre:</w:t>
      </w:r>
      <w:r w:rsidR="00982FBE" w:rsidRPr="00DC7322">
        <w:rPr>
          <w:rFonts w:cs="Times New Roman"/>
          <w:szCs w:val="24"/>
        </w:rPr>
        <w:t xml:space="preserve"> </w:t>
      </w:r>
    </w:p>
    <w:p w:rsidR="00982FBE" w:rsidRDefault="00982FBE" w:rsidP="00DC7322">
      <w:pPr>
        <w:spacing w:line="240" w:lineRule="auto"/>
        <w:ind w:left="2268"/>
        <w:jc w:val="both"/>
        <w:rPr>
          <w:rFonts w:cs="Times New Roman"/>
          <w:sz w:val="20"/>
          <w:szCs w:val="24"/>
        </w:rPr>
      </w:pPr>
      <w:r w:rsidRPr="00DC7322">
        <w:rPr>
          <w:rFonts w:cs="Times New Roman"/>
          <w:sz w:val="20"/>
          <w:szCs w:val="24"/>
        </w:rPr>
        <w:t xml:space="preserve">Estão sujeitos a </w:t>
      </w:r>
      <w:r w:rsidR="004237BC" w:rsidRPr="00DC7322">
        <w:rPr>
          <w:rFonts w:cs="Times New Roman"/>
          <w:sz w:val="20"/>
          <w:szCs w:val="24"/>
        </w:rPr>
        <w:t xml:space="preserve">curatela: </w:t>
      </w:r>
      <w:r w:rsidRPr="00DC7322">
        <w:rPr>
          <w:rFonts w:cs="Times New Roman"/>
          <w:sz w:val="20"/>
          <w:szCs w:val="24"/>
        </w:rPr>
        <w:t>I - aqueles que, por enfermidade ou deficiência mental, não tiverem o necessário discernimento para os atos da vida civil;</w:t>
      </w:r>
      <w:r w:rsidR="004237BC" w:rsidRPr="00DC7322">
        <w:rPr>
          <w:rFonts w:cs="Times New Roman"/>
          <w:sz w:val="20"/>
          <w:szCs w:val="24"/>
        </w:rPr>
        <w:t xml:space="preserve"> </w:t>
      </w:r>
      <w:r w:rsidRPr="00DC7322">
        <w:rPr>
          <w:rFonts w:cs="Times New Roman"/>
          <w:sz w:val="20"/>
          <w:szCs w:val="24"/>
        </w:rPr>
        <w:t>II - aqueles que, por outra causa duradoura, não puderem exprimir a sua vontade;</w:t>
      </w:r>
      <w:r w:rsidR="004237BC" w:rsidRPr="00DC7322">
        <w:rPr>
          <w:rFonts w:cs="Times New Roman"/>
          <w:sz w:val="20"/>
          <w:szCs w:val="24"/>
        </w:rPr>
        <w:t xml:space="preserve"> </w:t>
      </w:r>
      <w:r w:rsidRPr="00DC7322">
        <w:rPr>
          <w:rFonts w:cs="Times New Roman"/>
          <w:sz w:val="20"/>
          <w:szCs w:val="24"/>
        </w:rPr>
        <w:t>III - os deficientes mentais, os ébrios habituais e os viciados em tóxicos;</w:t>
      </w:r>
      <w:r w:rsidR="004237BC" w:rsidRPr="00DC7322">
        <w:rPr>
          <w:rFonts w:cs="Times New Roman"/>
          <w:sz w:val="20"/>
          <w:szCs w:val="24"/>
        </w:rPr>
        <w:t xml:space="preserve"> </w:t>
      </w:r>
      <w:r w:rsidRPr="00DC7322">
        <w:rPr>
          <w:rFonts w:cs="Times New Roman"/>
          <w:sz w:val="20"/>
          <w:szCs w:val="24"/>
        </w:rPr>
        <w:t>IV - os excepcionais sem completo desenvolvimento mental;</w:t>
      </w:r>
      <w:r w:rsidR="004237BC" w:rsidRPr="00DC7322">
        <w:rPr>
          <w:rFonts w:cs="Times New Roman"/>
          <w:sz w:val="20"/>
          <w:szCs w:val="24"/>
        </w:rPr>
        <w:t xml:space="preserve"> </w:t>
      </w:r>
      <w:r w:rsidRPr="00DC7322">
        <w:rPr>
          <w:rFonts w:cs="Times New Roman"/>
          <w:sz w:val="20"/>
          <w:szCs w:val="24"/>
        </w:rPr>
        <w:t>V - os pródigos.</w:t>
      </w:r>
      <w:r w:rsidR="00DC7322">
        <w:rPr>
          <w:rFonts w:cs="Times New Roman"/>
          <w:sz w:val="20"/>
          <w:szCs w:val="24"/>
        </w:rPr>
        <w:t xml:space="preserve"> (BRASIL, Código Civil, Seção I, artigo 1.767).</w:t>
      </w:r>
    </w:p>
    <w:p w:rsidR="00DC7322" w:rsidRPr="00982FBE" w:rsidRDefault="00DC7322" w:rsidP="00DC7322">
      <w:pPr>
        <w:spacing w:line="240" w:lineRule="auto"/>
        <w:ind w:left="2268"/>
        <w:jc w:val="both"/>
        <w:rPr>
          <w:rFonts w:cs="Times New Roman"/>
          <w:szCs w:val="24"/>
        </w:rPr>
      </w:pPr>
    </w:p>
    <w:p w:rsidR="00982FBE" w:rsidRPr="00982FBE" w:rsidRDefault="00982FBE" w:rsidP="00982FBE">
      <w:pPr>
        <w:ind w:firstLine="1134"/>
        <w:jc w:val="both"/>
        <w:rPr>
          <w:rFonts w:cs="Times New Roman"/>
          <w:szCs w:val="24"/>
        </w:rPr>
      </w:pPr>
      <w:r w:rsidRPr="00982FBE">
        <w:rPr>
          <w:rFonts w:cs="Times New Roman"/>
          <w:szCs w:val="24"/>
        </w:rPr>
        <w:t>Outra função elencada ao juiz é a</w:t>
      </w:r>
      <w:r w:rsidR="005C1A14">
        <w:rPr>
          <w:rFonts w:cs="Times New Roman"/>
          <w:szCs w:val="24"/>
        </w:rPr>
        <w:t xml:space="preserve"> possível </w:t>
      </w:r>
      <w:r w:rsidRPr="00982FBE">
        <w:rPr>
          <w:rFonts w:cs="Times New Roman"/>
          <w:szCs w:val="24"/>
        </w:rPr>
        <w:t xml:space="preserve">diminuição de pena caso observado o artigo </w:t>
      </w:r>
      <w:r w:rsidR="005C1A14">
        <w:rPr>
          <w:rFonts w:cs="Times New Roman"/>
          <w:szCs w:val="24"/>
        </w:rPr>
        <w:t>26 do Código Penal, onde o juiz</w:t>
      </w:r>
      <w:r w:rsidRPr="00982FBE">
        <w:rPr>
          <w:rFonts w:cs="Times New Roman"/>
          <w:szCs w:val="24"/>
        </w:rPr>
        <w:t xml:space="preserve"> pod</w:t>
      </w:r>
      <w:r w:rsidR="005C1A14">
        <w:rPr>
          <w:rFonts w:cs="Times New Roman"/>
          <w:szCs w:val="24"/>
        </w:rPr>
        <w:t>e realizar a diminuição de pena</w:t>
      </w:r>
      <w:r w:rsidRPr="00982FBE">
        <w:rPr>
          <w:rFonts w:cs="Times New Roman"/>
          <w:szCs w:val="24"/>
        </w:rPr>
        <w:t xml:space="preserve"> em uma parcela de dois a três terços do total, levando como base uma perturbação de saúde mental, ou um desenvolvimento mental incompleto ou que ao menos o agente responsável pelo ocorrido não venha a entender o grau do perigo realizado por si, ou seja, o submetido a medida de </w:t>
      </w:r>
      <w:r w:rsidRPr="00982FBE">
        <w:rPr>
          <w:rFonts w:cs="Times New Roman"/>
          <w:szCs w:val="24"/>
        </w:rPr>
        <w:lastRenderedPageBreak/>
        <w:t xml:space="preserve">segurança não possuir um real discernimento. Com mais essa função elencada se pode ver a presença dos laudos médicos a cerca de tentar resolucionar tal medida. </w:t>
      </w:r>
    </w:p>
    <w:p w:rsidR="00982FBE" w:rsidRPr="00982FBE" w:rsidRDefault="00982FBE" w:rsidP="00982FBE">
      <w:pPr>
        <w:ind w:firstLine="1134"/>
        <w:jc w:val="both"/>
        <w:rPr>
          <w:rFonts w:cs="Times New Roman"/>
          <w:szCs w:val="24"/>
        </w:rPr>
      </w:pPr>
      <w:r w:rsidRPr="00982FBE">
        <w:rPr>
          <w:rFonts w:cs="Times New Roman"/>
          <w:szCs w:val="24"/>
        </w:rPr>
        <w:t>No artigo 6º da LEP diz: A classificação será feita por Comissão Técnica de Classificação que elaborará o programa individualizador da pena privativa de liberdade adequada ao condenado ou preso provisório. Com esse entendimento pode</w:t>
      </w:r>
      <w:r w:rsidR="004003F5">
        <w:rPr>
          <w:rFonts w:cs="Times New Roman"/>
          <w:szCs w:val="24"/>
        </w:rPr>
        <w:t xml:space="preserve"> se analisar que, de acordo com</w:t>
      </w:r>
      <w:r w:rsidRPr="00982FBE">
        <w:rPr>
          <w:rFonts w:cs="Times New Roman"/>
          <w:szCs w:val="24"/>
        </w:rPr>
        <w:t xml:space="preserve"> todas as decisões possíveis realizadas pelo poder judiciário tem de se embasar nos laudos periciais, de modo que, observado em nosso ordenamento jurídico não venha a possuir um conceito claro de periculo</w:t>
      </w:r>
      <w:r w:rsidR="004003F5">
        <w:rPr>
          <w:rFonts w:cs="Times New Roman"/>
          <w:szCs w:val="24"/>
        </w:rPr>
        <w:t xml:space="preserve">sidade </w:t>
      </w:r>
      <w:r w:rsidR="004003F5" w:rsidRPr="00DC7322">
        <w:rPr>
          <w:rFonts w:cs="Times New Roman"/>
          <w:szCs w:val="24"/>
        </w:rPr>
        <w:t>não se pode</w:t>
      </w:r>
      <w:r w:rsidR="00DC7322">
        <w:rPr>
          <w:rFonts w:cs="Times New Roman"/>
          <w:szCs w:val="24"/>
        </w:rPr>
        <w:t>, logicamente</w:t>
      </w:r>
      <w:r w:rsidRPr="00982FBE">
        <w:rPr>
          <w:rFonts w:cs="Times New Roman"/>
          <w:szCs w:val="24"/>
        </w:rPr>
        <w:t xml:space="preserve"> deixar que seja</w:t>
      </w:r>
      <w:r w:rsidR="005C1A14">
        <w:rPr>
          <w:rFonts w:cs="Times New Roman"/>
          <w:szCs w:val="24"/>
        </w:rPr>
        <w:t>m</w:t>
      </w:r>
      <w:r w:rsidRPr="00982FBE">
        <w:rPr>
          <w:rFonts w:cs="Times New Roman"/>
          <w:szCs w:val="24"/>
        </w:rPr>
        <w:t xml:space="preserve"> tomadas decisões de maneira possivelmente equivocadas, necessitando o juiz submissamente dos dados proferidos pelos profi</w:t>
      </w:r>
      <w:r w:rsidR="004003F5">
        <w:rPr>
          <w:rFonts w:cs="Times New Roman"/>
          <w:szCs w:val="24"/>
        </w:rPr>
        <w:t>ssionais da área da saúde.</w:t>
      </w:r>
    </w:p>
    <w:p w:rsidR="00982FBE" w:rsidRPr="00982FBE" w:rsidRDefault="00982FBE" w:rsidP="00982FBE">
      <w:pPr>
        <w:ind w:firstLine="1134"/>
        <w:jc w:val="both"/>
        <w:rPr>
          <w:rFonts w:cs="Times New Roman"/>
          <w:szCs w:val="24"/>
        </w:rPr>
      </w:pPr>
      <w:r w:rsidRPr="00982FBE">
        <w:rPr>
          <w:rFonts w:cs="Times New Roman"/>
          <w:szCs w:val="24"/>
        </w:rPr>
        <w:t>Fé e Lins (2012</w:t>
      </w:r>
      <w:r w:rsidR="00DC7322">
        <w:rPr>
          <w:rFonts w:cs="Times New Roman"/>
          <w:szCs w:val="24"/>
        </w:rPr>
        <w:t>, p. [?]</w:t>
      </w:r>
      <w:r w:rsidRPr="00982FBE">
        <w:rPr>
          <w:rFonts w:cs="Times New Roman"/>
          <w:szCs w:val="24"/>
        </w:rPr>
        <w:t xml:space="preserve">) quanto ao caráter de hierarquia a qual se tem de ser tomada pelo juiz é discorrido: </w:t>
      </w:r>
    </w:p>
    <w:p w:rsidR="00982FBE" w:rsidRPr="00A92CE3" w:rsidRDefault="00982FBE" w:rsidP="00A92CE3">
      <w:pPr>
        <w:spacing w:line="240" w:lineRule="auto"/>
        <w:ind w:left="2268"/>
        <w:jc w:val="both"/>
        <w:rPr>
          <w:rFonts w:cs="Times New Roman"/>
          <w:sz w:val="20"/>
          <w:szCs w:val="24"/>
        </w:rPr>
      </w:pPr>
      <w:r w:rsidRPr="00A92CE3">
        <w:rPr>
          <w:rFonts w:cs="Times New Roman"/>
          <w:sz w:val="20"/>
          <w:szCs w:val="24"/>
        </w:rPr>
        <w:t>O Código Penal toma a internação como regra em situação de agente punido com reclusão e vê o tratamento ambulatorial como último caso, desempenhando papel de “alternativa” o juiz submeter o inimputável que pratica fatos típicos e antijurídicos ao tratamento médico sem intern</w:t>
      </w:r>
      <w:r w:rsidR="005C1A14" w:rsidRPr="00A92CE3">
        <w:rPr>
          <w:rFonts w:cs="Times New Roman"/>
          <w:sz w:val="20"/>
          <w:szCs w:val="24"/>
        </w:rPr>
        <w:t>ação, observado no art. 97 do Código Penal</w:t>
      </w:r>
      <w:r w:rsidRPr="00A92CE3">
        <w:rPr>
          <w:rFonts w:cs="Times New Roman"/>
          <w:sz w:val="20"/>
          <w:szCs w:val="24"/>
        </w:rPr>
        <w:t xml:space="preserve">. Conceito tal confronta com a abertura proporcionada por precedente </w:t>
      </w:r>
      <w:r w:rsidR="005C1A14" w:rsidRPr="00A92CE3">
        <w:rPr>
          <w:rFonts w:cs="Times New Roman"/>
          <w:sz w:val="20"/>
          <w:szCs w:val="24"/>
        </w:rPr>
        <w:t>do Superior Tribunal de Justiça.</w:t>
      </w:r>
    </w:p>
    <w:p w:rsidR="00982FBE" w:rsidRPr="00982FBE" w:rsidRDefault="00982FBE" w:rsidP="007F7F00">
      <w:pPr>
        <w:jc w:val="both"/>
      </w:pPr>
    </w:p>
    <w:p w:rsidR="00A23358" w:rsidRDefault="00A23358" w:rsidP="007F7F00">
      <w:pPr>
        <w:jc w:val="both"/>
        <w:rPr>
          <w:b/>
        </w:rPr>
      </w:pPr>
    </w:p>
    <w:p w:rsidR="007F7F00" w:rsidRDefault="007F7F00" w:rsidP="007F7F00">
      <w:pPr>
        <w:jc w:val="both"/>
        <w:rPr>
          <w:b/>
        </w:rPr>
      </w:pPr>
      <w:r>
        <w:rPr>
          <w:b/>
        </w:rPr>
        <w:t>5</w:t>
      </w:r>
      <w:r w:rsidR="00C80208">
        <w:rPr>
          <w:b/>
        </w:rPr>
        <w:t xml:space="preserve"> INDERTEMINAÇÃO TEMPORAL OU PRISÃO PERPÉTUA? IMPORTÂNCIA DO LAUDO QUANTO A DURAÇÃO DA MEDIDA DE SEGURANÇA.</w:t>
      </w:r>
    </w:p>
    <w:p w:rsidR="007F7F00" w:rsidRDefault="007F7F00" w:rsidP="007F7F00">
      <w:pPr>
        <w:jc w:val="both"/>
        <w:rPr>
          <w:b/>
        </w:rPr>
      </w:pPr>
    </w:p>
    <w:p w:rsidR="005A50BE" w:rsidRDefault="005A50BE" w:rsidP="005A50BE">
      <w:pPr>
        <w:ind w:firstLine="1134"/>
        <w:jc w:val="both"/>
        <w:rPr>
          <w:rFonts w:cs="Times New Roman"/>
          <w:szCs w:val="24"/>
        </w:rPr>
      </w:pPr>
      <w:r>
        <w:rPr>
          <w:rFonts w:cs="Times New Roman"/>
          <w:szCs w:val="24"/>
        </w:rPr>
        <w:t xml:space="preserve">Os indivíduos submetidos às medidas de segurança são uma exceção, não podendo estes serem estabelecidos em hospícios devido o seu grau de racionalidade ser mais apurado, pois, as pessoas que são enquadradas são inimputáveis ou semi-imputável, e, logo também não poderiam ser inseridos no sistema prisional convencional mediante a esses não poderem conviver  com indivíduos que possuem plena consciência e discernimento nítido de seus crimes. Os indivíduos agregados a esta medida necessitam de um tratamento mais delicado com presença de psiquiatras constantemente, assim se fazendo </w:t>
      </w:r>
      <w:r w:rsidR="004237BC">
        <w:rPr>
          <w:rFonts w:cs="Times New Roman"/>
          <w:szCs w:val="24"/>
        </w:rPr>
        <w:t>necessária a criação da medida de segurança. Por essa aná</w:t>
      </w:r>
      <w:r>
        <w:rPr>
          <w:rFonts w:cs="Times New Roman"/>
          <w:szCs w:val="24"/>
        </w:rPr>
        <w:t>lise pode se observar que a medida de segurança pode ser compreendida por meio de dois pontos de vista, um assistencial onde vem a  propo</w:t>
      </w:r>
      <w:r w:rsidR="004237BC">
        <w:rPr>
          <w:rFonts w:cs="Times New Roman"/>
          <w:szCs w:val="24"/>
        </w:rPr>
        <w:t>rcionar um  tratamento ao indiví</w:t>
      </w:r>
      <w:r>
        <w:rPr>
          <w:rFonts w:cs="Times New Roman"/>
          <w:szCs w:val="24"/>
        </w:rPr>
        <w:t>duo e penal a partir do momento que se faz obrigatório o tratamento e, só se pode delimitar seu fim através de um la</w:t>
      </w:r>
      <w:r w:rsidR="004237BC">
        <w:rPr>
          <w:rFonts w:cs="Times New Roman"/>
          <w:szCs w:val="24"/>
        </w:rPr>
        <w:t>udo mé</w:t>
      </w:r>
      <w:r>
        <w:rPr>
          <w:rFonts w:cs="Times New Roman"/>
          <w:szCs w:val="24"/>
        </w:rPr>
        <w:t>dico.</w:t>
      </w:r>
    </w:p>
    <w:p w:rsidR="005A50BE" w:rsidRDefault="005A50BE" w:rsidP="005A50BE">
      <w:pPr>
        <w:ind w:firstLine="1134"/>
        <w:jc w:val="both"/>
        <w:rPr>
          <w:rFonts w:cs="Times New Roman"/>
          <w:szCs w:val="24"/>
          <w:shd w:val="clear" w:color="auto" w:fill="FFFFFF"/>
        </w:rPr>
      </w:pPr>
      <w:r>
        <w:rPr>
          <w:rFonts w:cs="Times New Roman"/>
          <w:szCs w:val="24"/>
        </w:rPr>
        <w:t xml:space="preserve">A comparação </w:t>
      </w:r>
      <w:r w:rsidR="004237BC">
        <w:rPr>
          <w:rFonts w:cs="Times New Roman"/>
          <w:szCs w:val="24"/>
        </w:rPr>
        <w:t>à prisão perpé</w:t>
      </w:r>
      <w:r>
        <w:rPr>
          <w:rFonts w:cs="Times New Roman"/>
          <w:szCs w:val="24"/>
        </w:rPr>
        <w:t xml:space="preserve">tua vem do fato delimitado no artigo </w:t>
      </w:r>
      <w:r w:rsidRPr="00770E55">
        <w:rPr>
          <w:rFonts w:cs="Times New Roman"/>
          <w:szCs w:val="24"/>
        </w:rPr>
        <w:t xml:space="preserve">97 </w:t>
      </w:r>
      <w:r w:rsidRPr="00770E55">
        <w:rPr>
          <w:rFonts w:cs="Times New Roman"/>
          <w:szCs w:val="24"/>
          <w:shd w:val="clear" w:color="auto" w:fill="FFFFFF"/>
        </w:rPr>
        <w:t>§ 1º</w:t>
      </w:r>
      <w:r>
        <w:rPr>
          <w:rFonts w:cs="Times New Roman"/>
          <w:szCs w:val="24"/>
          <w:shd w:val="clear" w:color="auto" w:fill="FFFFFF"/>
        </w:rPr>
        <w:t>, onde define: “</w:t>
      </w:r>
      <w:r w:rsidRPr="00665FF7">
        <w:rPr>
          <w:rFonts w:cs="Times New Roman"/>
          <w:color w:val="000000"/>
          <w:szCs w:val="24"/>
          <w:shd w:val="clear" w:color="auto" w:fill="FFFFFF"/>
        </w:rPr>
        <w:t xml:space="preserve">A internação, ou tratamento ambulatorial, será por tempo indeterminado, perdurando </w:t>
      </w:r>
      <w:r w:rsidRPr="00665FF7">
        <w:rPr>
          <w:rFonts w:cs="Times New Roman"/>
          <w:color w:val="000000"/>
          <w:szCs w:val="24"/>
          <w:shd w:val="clear" w:color="auto" w:fill="FFFFFF"/>
        </w:rPr>
        <w:lastRenderedPageBreak/>
        <w:t>enquanto não for averiguada, mediante perícia médica, a cessação de periculosidade. O prazo mínimo deverá ser de 1 (um) a 3 (três) anos.</w:t>
      </w:r>
      <w:r>
        <w:rPr>
          <w:rFonts w:cs="Times New Roman"/>
          <w:szCs w:val="24"/>
          <w:shd w:val="clear" w:color="auto" w:fill="FFFFFF"/>
        </w:rPr>
        <w:t>”</w:t>
      </w:r>
    </w:p>
    <w:p w:rsidR="005A50BE" w:rsidRDefault="005A50BE" w:rsidP="005A50BE">
      <w:pPr>
        <w:ind w:firstLine="1134"/>
        <w:jc w:val="both"/>
        <w:rPr>
          <w:rFonts w:cs="Times New Roman"/>
          <w:szCs w:val="24"/>
          <w:shd w:val="clear" w:color="auto" w:fill="FFFFFF"/>
        </w:rPr>
      </w:pPr>
      <w:r>
        <w:rPr>
          <w:rFonts w:cs="Times New Roman"/>
          <w:szCs w:val="24"/>
          <w:shd w:val="clear" w:color="auto" w:fill="FFFFFF"/>
        </w:rPr>
        <w:t>Quanto a indeterminação da duração da medida de segurança Zaffaroni (2001) vem a tecer a seguinte critica: “Não é constit</w:t>
      </w:r>
      <w:r w:rsidR="004237BC">
        <w:rPr>
          <w:rFonts w:cs="Times New Roman"/>
          <w:szCs w:val="24"/>
          <w:shd w:val="clear" w:color="auto" w:fill="FFFFFF"/>
        </w:rPr>
        <w:t>ucionalmente aceitável que, a tí</w:t>
      </w:r>
      <w:r>
        <w:rPr>
          <w:rFonts w:cs="Times New Roman"/>
          <w:szCs w:val="24"/>
          <w:shd w:val="clear" w:color="auto" w:fill="FFFFFF"/>
        </w:rPr>
        <w:t>tulo de tratamento se estabeleça a possibilidade de privação da liberdade perpétua como coerção penal.</w:t>
      </w:r>
      <w:r w:rsidR="004237BC">
        <w:rPr>
          <w:rFonts w:cs="Times New Roman"/>
          <w:szCs w:val="24"/>
          <w:shd w:val="clear" w:color="auto" w:fill="FFFFFF"/>
        </w:rPr>
        <w:t xml:space="preserve"> </w:t>
      </w:r>
      <w:r>
        <w:rPr>
          <w:rFonts w:cs="Times New Roman"/>
          <w:szCs w:val="24"/>
          <w:shd w:val="clear" w:color="auto" w:fill="FFFFFF"/>
        </w:rPr>
        <w:t xml:space="preserve">Se a lei não estabelece o limite máximo, é o intérprete que tem a obrigação de fazê-lo.” </w:t>
      </w:r>
    </w:p>
    <w:p w:rsidR="005A50BE" w:rsidRDefault="005A50BE" w:rsidP="005A50BE">
      <w:pPr>
        <w:ind w:firstLine="1134"/>
        <w:jc w:val="both"/>
        <w:rPr>
          <w:rFonts w:cs="Times New Roman"/>
          <w:szCs w:val="24"/>
          <w:shd w:val="clear" w:color="auto" w:fill="FFFFFF"/>
        </w:rPr>
      </w:pPr>
      <w:r>
        <w:rPr>
          <w:rFonts w:cs="Times New Roman"/>
          <w:szCs w:val="24"/>
          <w:shd w:val="clear" w:color="auto" w:fill="FFFFFF"/>
        </w:rPr>
        <w:t>Completando o entendimento realizado por Zaffaroni, Gallo (2010</w:t>
      </w:r>
      <w:r w:rsidR="00A92CE3">
        <w:rPr>
          <w:rFonts w:cs="Times New Roman"/>
          <w:szCs w:val="24"/>
          <w:shd w:val="clear" w:color="auto" w:fill="FFFFFF"/>
        </w:rPr>
        <w:t>, p. [?]</w:t>
      </w:r>
      <w:r>
        <w:rPr>
          <w:rFonts w:cs="Times New Roman"/>
          <w:szCs w:val="24"/>
          <w:shd w:val="clear" w:color="auto" w:fill="FFFFFF"/>
        </w:rPr>
        <w:t>) complementa sobre a falha na medida de segurança:</w:t>
      </w:r>
    </w:p>
    <w:p w:rsidR="005A50BE" w:rsidRPr="00A92CE3" w:rsidRDefault="005A50BE" w:rsidP="00A92CE3">
      <w:pPr>
        <w:ind w:firstLine="1134"/>
        <w:jc w:val="both"/>
        <w:rPr>
          <w:rFonts w:eastAsia="Times New Roman" w:cs="Times New Roman"/>
          <w:color w:val="000000"/>
          <w:szCs w:val="20"/>
        </w:rPr>
      </w:pPr>
      <w:r w:rsidRPr="00A92CE3">
        <w:rPr>
          <w:rFonts w:eastAsia="Times New Roman" w:cs="Times New Roman"/>
          <w:color w:val="000000"/>
          <w:szCs w:val="20"/>
        </w:rPr>
        <w:t>“No entanto, inexiste, no nosso ordenamento jurídico, um conceito legal de periculosidade, o que gera estranheza no contexto constitucional em que estamos, por atribuir aos magistrados e peritos uma arbitrariedade típica de ditaduras.”</w:t>
      </w:r>
    </w:p>
    <w:p w:rsidR="005A50BE" w:rsidRDefault="005A50BE" w:rsidP="005A50BE">
      <w:pPr>
        <w:ind w:firstLine="1134"/>
        <w:jc w:val="both"/>
        <w:rPr>
          <w:rFonts w:cs="Times New Roman"/>
          <w:szCs w:val="24"/>
        </w:rPr>
      </w:pPr>
      <w:r>
        <w:rPr>
          <w:rFonts w:cs="Times New Roman"/>
          <w:szCs w:val="24"/>
        </w:rPr>
        <w:t xml:space="preserve">Dentro deste contexto, o laudo pericial realizado pelos profissionais da saúde vem analisar </w:t>
      </w:r>
      <w:r w:rsidR="00FC02F6">
        <w:rPr>
          <w:rFonts w:cs="Times New Roman"/>
          <w:szCs w:val="24"/>
        </w:rPr>
        <w:t>o tipo de doença que cada indiví</w:t>
      </w:r>
      <w:r>
        <w:rPr>
          <w:rFonts w:cs="Times New Roman"/>
          <w:szCs w:val="24"/>
        </w:rPr>
        <w:t>duo possui, definindo posteriormente o seu grau de periculosidade, grau este, que delimita a temporalidade do tratamento. O papel do perito poderia se comparado ao papel do juiz, pois este delimita o que se deve tomar como decisão.</w:t>
      </w:r>
    </w:p>
    <w:p w:rsidR="005A50BE" w:rsidRDefault="005A50BE" w:rsidP="007F7F00">
      <w:pPr>
        <w:jc w:val="both"/>
        <w:rPr>
          <w:b/>
        </w:rPr>
      </w:pPr>
    </w:p>
    <w:p w:rsidR="007F7F00" w:rsidRDefault="007F7F00" w:rsidP="007F7F00">
      <w:pPr>
        <w:jc w:val="both"/>
        <w:rPr>
          <w:b/>
        </w:rPr>
      </w:pPr>
      <w:r>
        <w:rPr>
          <w:b/>
        </w:rPr>
        <w:t>6 CONCLUSÃO</w:t>
      </w:r>
    </w:p>
    <w:p w:rsidR="00D237A0" w:rsidRDefault="00D237A0" w:rsidP="007F7F00">
      <w:pPr>
        <w:jc w:val="both"/>
        <w:rPr>
          <w:b/>
        </w:rPr>
      </w:pPr>
    </w:p>
    <w:p w:rsidR="00D237A0" w:rsidRDefault="00D237A0" w:rsidP="00D237A0">
      <w:pPr>
        <w:ind w:firstLine="1134"/>
        <w:jc w:val="both"/>
      </w:pPr>
      <w:r>
        <w:t>Partindo-se da premissa que o direito é estático e este ao longo dos anos evolui com a sociedade, por consequência sofre contínuas alterações devido as necessidades da população e uma dessas alterações foi a medida de segurança de grande relevância aos inimputáveis e simi-imputáveis, garantindo-lhes uma melhor interpretação do seu crime, não sendo o mesmo julgado por leis que referem aos agentes de raciocínio “normal”.</w:t>
      </w:r>
    </w:p>
    <w:p w:rsidR="00D237A0" w:rsidRDefault="00D237A0" w:rsidP="00D237A0">
      <w:pPr>
        <w:ind w:firstLine="1134"/>
        <w:jc w:val="both"/>
      </w:pPr>
      <w:r>
        <w:t>A pesquisa feita ao longo deste trabalho teve como finalidade precípua analisar minuciosamente a aplicação da medida de segurança no direito brasileiro, assunto de grande relevância, porém pouco analisado por nossos Tribunais, pois o tempo em</w:t>
      </w:r>
      <w:r w:rsidR="005E5C9B">
        <w:t xml:space="preserve"> que</w:t>
      </w:r>
      <w:r>
        <w:t xml:space="preserve"> o inimputável e o semi-imputável</w:t>
      </w:r>
      <w:r w:rsidR="005E5C9B">
        <w:t xml:space="preserve"> passará a cumprir a medida de segurança é definido por lei, e quem decidirá se o agente já está pronto para ser ressocializado é o laudo do profissional de saúde.</w:t>
      </w:r>
    </w:p>
    <w:p w:rsidR="00D237A0" w:rsidRDefault="005E5C9B" w:rsidP="00806993">
      <w:pPr>
        <w:ind w:firstLine="1134"/>
        <w:jc w:val="both"/>
      </w:pPr>
      <w:r>
        <w:t xml:space="preserve"> Com a analise sobre os profissionais da saúde podemos concluir </w:t>
      </w:r>
      <w:r w:rsidR="00917187">
        <w:t xml:space="preserve">e o observar a sua devida importância, demonstrando que o mesmo tem extrema responsabilidade quanto a temporalidade das medidas. Outro ponto dos profissionais que merece ser ressaltado é o cuidado ao tratamento, tentando este encontrar soluções para se cessar a periculosidade do </w:t>
      </w:r>
      <w:r w:rsidR="00806993">
        <w:t>indivíduo</w:t>
      </w:r>
      <w:r w:rsidR="00917187">
        <w:t>.</w:t>
      </w:r>
    </w:p>
    <w:p w:rsidR="00806993" w:rsidRDefault="00806993" w:rsidP="00806993">
      <w:pPr>
        <w:ind w:firstLine="1134"/>
        <w:jc w:val="both"/>
        <w:rPr>
          <w:b/>
        </w:rPr>
      </w:pPr>
    </w:p>
    <w:p w:rsidR="007F7F00" w:rsidRDefault="007F7F00" w:rsidP="007F7F00">
      <w:pPr>
        <w:jc w:val="center"/>
        <w:rPr>
          <w:b/>
        </w:rPr>
      </w:pPr>
      <w:r>
        <w:rPr>
          <w:b/>
        </w:rPr>
        <w:lastRenderedPageBreak/>
        <w:t>REFERÊ</w:t>
      </w:r>
      <w:bookmarkStart w:id="0" w:name="_GoBack"/>
      <w:bookmarkEnd w:id="0"/>
      <w:r>
        <w:rPr>
          <w:b/>
        </w:rPr>
        <w:t>NCIAS</w:t>
      </w:r>
    </w:p>
    <w:p w:rsidR="008B2727" w:rsidRPr="00806993" w:rsidRDefault="008B2727" w:rsidP="00806993">
      <w:pPr>
        <w:spacing w:line="240" w:lineRule="auto"/>
        <w:rPr>
          <w:b/>
        </w:rPr>
      </w:pPr>
    </w:p>
    <w:p w:rsidR="00982FBE" w:rsidRPr="00806993" w:rsidRDefault="00982FBE" w:rsidP="00806993">
      <w:pPr>
        <w:spacing w:line="240" w:lineRule="auto"/>
      </w:pPr>
      <w:r w:rsidRPr="00806993">
        <w:t xml:space="preserve">ALVES, Fábio Wellington Ataíde. </w:t>
      </w:r>
      <w:r w:rsidRPr="00806993">
        <w:rPr>
          <w:b/>
        </w:rPr>
        <w:t>Sentença com absolvição por falta de culpabilidade. Determina internamento compulsório ou outro tratamento ambulatorial</w:t>
      </w:r>
      <w:r w:rsidRPr="00806993">
        <w:t>. Jus Navigandi, Teresina, ano 17, n. 3287, 1 jul. 2012. Disponível em: &lt;</w:t>
      </w:r>
      <w:r w:rsidRPr="00806993">
        <w:rPr>
          <w:u w:val="single"/>
        </w:rPr>
        <w:t>http://jus.com.br/jurisprudencia/22126</w:t>
      </w:r>
      <w:r w:rsidRPr="00806993">
        <w:t>&gt;. Acesso em: 27 mar. 2014.</w:t>
      </w:r>
    </w:p>
    <w:p w:rsidR="00982FBE" w:rsidRPr="00806993" w:rsidRDefault="00982FBE" w:rsidP="00806993">
      <w:pPr>
        <w:spacing w:line="240" w:lineRule="auto"/>
      </w:pPr>
    </w:p>
    <w:p w:rsidR="00982FBE" w:rsidRPr="00806993" w:rsidRDefault="00982FBE" w:rsidP="00806993">
      <w:pPr>
        <w:spacing w:line="240" w:lineRule="auto"/>
      </w:pPr>
      <w:r w:rsidRPr="00806993">
        <w:t xml:space="preserve">ARAÚJO, Carla Graziela Costantino de. </w:t>
      </w:r>
      <w:r w:rsidRPr="00806993">
        <w:rPr>
          <w:b/>
        </w:rPr>
        <w:t>Uma análise crítica acerca da medida de segurança.</w:t>
      </w:r>
      <w:r w:rsidRPr="00806993">
        <w:t xml:space="preserve"> Jus Navigandi, Teresina, ano 18, n. 3577, 17 abr. 2013. Disponível em: &lt;</w:t>
      </w:r>
      <w:r w:rsidRPr="00806993">
        <w:rPr>
          <w:u w:val="single"/>
        </w:rPr>
        <w:t>http://jus.com.br/artigos/24192</w:t>
      </w:r>
      <w:r w:rsidRPr="00806993">
        <w:t>&gt;. Acesso em: 25 mar. 2014.</w:t>
      </w:r>
    </w:p>
    <w:p w:rsidR="00982FBE" w:rsidRPr="00806993" w:rsidRDefault="00982FBE" w:rsidP="00806993">
      <w:pPr>
        <w:spacing w:line="240" w:lineRule="auto"/>
      </w:pPr>
    </w:p>
    <w:p w:rsidR="00982FBE" w:rsidRPr="00806993" w:rsidRDefault="00982FBE" w:rsidP="00806993">
      <w:pPr>
        <w:spacing w:line="240" w:lineRule="auto"/>
      </w:pPr>
      <w:r w:rsidRPr="00806993">
        <w:t xml:space="preserve">BECCARIA, Cesare. </w:t>
      </w:r>
      <w:r w:rsidRPr="00806993">
        <w:rPr>
          <w:b/>
        </w:rPr>
        <w:t>Dos delitos e das penas</w:t>
      </w:r>
      <w:r w:rsidRPr="00806993">
        <w:t>. Tradução de Torrieri Guimarães. 1ª ed. São Paulo: Rideel 2003, p. 17.</w:t>
      </w:r>
    </w:p>
    <w:p w:rsidR="00982FBE" w:rsidRPr="00806993" w:rsidRDefault="00982FBE" w:rsidP="00806993">
      <w:pPr>
        <w:spacing w:line="240" w:lineRule="auto"/>
      </w:pPr>
    </w:p>
    <w:p w:rsidR="00982FBE" w:rsidRPr="00806993" w:rsidRDefault="00982FBE" w:rsidP="00806993">
      <w:pPr>
        <w:spacing w:line="240" w:lineRule="auto"/>
      </w:pPr>
      <w:r w:rsidRPr="00806993">
        <w:t xml:space="preserve">FÉ, Bruna Maria Pinto Marques de Moura; LIRA, Nathália Maria Lins. </w:t>
      </w:r>
      <w:r w:rsidRPr="00806993">
        <w:rPr>
          <w:b/>
        </w:rPr>
        <w:t>Medida de segurança: evolução, reforma psiquiátrica e Lei n° 10.216/2001</w:t>
      </w:r>
      <w:r w:rsidRPr="00806993">
        <w:t>. Jus Navigandi, Teresina, ano 17, n. 3262, 6 jun. 2012. Disponível em: &lt;</w:t>
      </w:r>
      <w:r w:rsidRPr="00806993">
        <w:rPr>
          <w:u w:val="single"/>
        </w:rPr>
        <w:t>http://jus.com.br/artigos/21941</w:t>
      </w:r>
      <w:r w:rsidRPr="00806993">
        <w:t>&gt;. Acesso em: 30 mar. 2014.&gt; Acesso em: 27 mar. 2014.</w:t>
      </w:r>
    </w:p>
    <w:p w:rsidR="00982FBE" w:rsidRPr="00806993" w:rsidRDefault="00982FBE" w:rsidP="00806993">
      <w:pPr>
        <w:spacing w:line="240" w:lineRule="auto"/>
        <w:rPr>
          <w:b/>
        </w:rPr>
      </w:pPr>
    </w:p>
    <w:p w:rsidR="008B2727" w:rsidRPr="00806993" w:rsidRDefault="00244FEF" w:rsidP="00806993">
      <w:pPr>
        <w:spacing w:line="240" w:lineRule="auto"/>
      </w:pPr>
      <w:r w:rsidRPr="00806993">
        <w:t xml:space="preserve">FEITOSA, Isabela Britto. </w:t>
      </w:r>
      <w:r w:rsidRPr="00806993">
        <w:rPr>
          <w:b/>
        </w:rPr>
        <w:t xml:space="preserve">A aplicação da medida de segurança no direito penal brasileiro. </w:t>
      </w:r>
      <w:r w:rsidRPr="00806993">
        <w:t xml:space="preserve">Disponível em: &lt; </w:t>
      </w:r>
      <w:r w:rsidRPr="00806993">
        <w:rPr>
          <w:u w:val="single"/>
        </w:rPr>
        <w:t>http://www.jurisway.org.br/v2/dhall.asp?id_dh=5982</w:t>
      </w:r>
      <w:r w:rsidR="00DC7322" w:rsidRPr="00806993">
        <w:t>&gt;. Acesso em: 28 mar.</w:t>
      </w:r>
      <w:r w:rsidRPr="00806993">
        <w:t xml:space="preserve"> 2014.</w:t>
      </w:r>
    </w:p>
    <w:p w:rsidR="002D217C" w:rsidRPr="00806993" w:rsidRDefault="002D217C" w:rsidP="00806993">
      <w:pPr>
        <w:spacing w:line="240" w:lineRule="auto"/>
      </w:pPr>
    </w:p>
    <w:p w:rsidR="00982FBE" w:rsidRPr="00806993" w:rsidRDefault="00982FBE" w:rsidP="00806993">
      <w:pPr>
        <w:spacing w:line="240" w:lineRule="auto"/>
      </w:pPr>
      <w:r w:rsidRPr="00806993">
        <w:t xml:space="preserve">GALLO, Anderson Henrique. </w:t>
      </w:r>
      <w:r w:rsidRPr="00806993">
        <w:rPr>
          <w:b/>
        </w:rPr>
        <w:t>Estudo sobre as medidas de segurança</w:t>
      </w:r>
      <w:r w:rsidRPr="00806993">
        <w:t>. Jus Navigandi, Teresina, ano 15, n. 2629, 12 set. 2010. Disponível em: &lt;</w:t>
      </w:r>
      <w:r w:rsidRPr="00806993">
        <w:rPr>
          <w:u w:val="single"/>
        </w:rPr>
        <w:t>http://jus.com.br/artigos/17391</w:t>
      </w:r>
      <w:r w:rsidRPr="00806993">
        <w:t>&gt;. Acesso em: 27 mar. 2014.</w:t>
      </w:r>
    </w:p>
    <w:p w:rsidR="00982FBE" w:rsidRPr="00806993" w:rsidRDefault="00982FBE" w:rsidP="00806993">
      <w:pPr>
        <w:spacing w:line="240" w:lineRule="auto"/>
      </w:pPr>
    </w:p>
    <w:p w:rsidR="00982FBE" w:rsidRPr="00806993" w:rsidRDefault="00982FBE" w:rsidP="00806993">
      <w:pPr>
        <w:spacing w:line="240" w:lineRule="auto"/>
      </w:pPr>
      <w:r w:rsidRPr="00806993">
        <w:t xml:space="preserve">GOMES, Luiz Flávio. </w:t>
      </w:r>
      <w:r w:rsidRPr="00806993">
        <w:rPr>
          <w:b/>
        </w:rPr>
        <w:t>Medidas de segurança e seus limites</w:t>
      </w:r>
      <w:r w:rsidRPr="00806993">
        <w:t>. Revista Brasileira de Ciências Criminais, São Paulo, n. 2, abr./jun. 1993.</w:t>
      </w:r>
    </w:p>
    <w:p w:rsidR="00982FBE" w:rsidRPr="00806993" w:rsidRDefault="00982FBE" w:rsidP="00806993">
      <w:pPr>
        <w:spacing w:line="240" w:lineRule="auto"/>
      </w:pPr>
    </w:p>
    <w:p w:rsidR="002D217C" w:rsidRPr="00806993" w:rsidRDefault="002D217C" w:rsidP="00806993">
      <w:pPr>
        <w:spacing w:line="240" w:lineRule="auto"/>
      </w:pPr>
      <w:r w:rsidRPr="00806993">
        <w:t>HC 69375 / RJ - Rel. Min. Marco Aurélio. Julgamento: 25/08/1992. Órgão Julgador: SEGUNDA TURMA.</w:t>
      </w:r>
    </w:p>
    <w:p w:rsidR="002D217C" w:rsidRPr="00806993" w:rsidRDefault="002D217C" w:rsidP="00806993">
      <w:pPr>
        <w:spacing w:line="240" w:lineRule="auto"/>
        <w:rPr>
          <w:rFonts w:cs="Times New Roman"/>
          <w:szCs w:val="28"/>
        </w:rPr>
      </w:pPr>
    </w:p>
    <w:p w:rsidR="002D217C" w:rsidRPr="00806993" w:rsidRDefault="002D217C" w:rsidP="00806993">
      <w:pPr>
        <w:spacing w:line="240" w:lineRule="auto"/>
        <w:rPr>
          <w:sz w:val="32"/>
        </w:rPr>
      </w:pPr>
      <w:r w:rsidRPr="00806993">
        <w:rPr>
          <w:rFonts w:cs="Times New Roman"/>
          <w:szCs w:val="28"/>
        </w:rPr>
        <w:t>Habeas Corpus nº 2010.0001.001318-8, 2ª Câmara Especializada Criminal do TJPI, Rel. Joaquim Dias de Santana Filho. j. 10.05.2010, unânime.</w:t>
      </w:r>
    </w:p>
    <w:p w:rsidR="00244FEF" w:rsidRPr="00806993" w:rsidRDefault="00244FEF" w:rsidP="00806993">
      <w:pPr>
        <w:spacing w:line="240" w:lineRule="auto"/>
      </w:pPr>
    </w:p>
    <w:p w:rsidR="008B2727" w:rsidRPr="00806993" w:rsidRDefault="009D413B" w:rsidP="00806993">
      <w:pPr>
        <w:spacing w:line="240" w:lineRule="auto"/>
        <w:rPr>
          <w:color w:val="000000"/>
          <w:szCs w:val="27"/>
        </w:rPr>
      </w:pPr>
      <w:r w:rsidRPr="00806993">
        <w:rPr>
          <w:color w:val="000000"/>
          <w:szCs w:val="27"/>
        </w:rPr>
        <w:t>HUNGRIA, Nelson.</w:t>
      </w:r>
      <w:r w:rsidRPr="00806993">
        <w:rPr>
          <w:rStyle w:val="apple-converted-space"/>
          <w:color w:val="000000"/>
          <w:szCs w:val="27"/>
        </w:rPr>
        <w:t> </w:t>
      </w:r>
      <w:r w:rsidRPr="00806993">
        <w:rPr>
          <w:b/>
          <w:bCs/>
          <w:color w:val="000000"/>
          <w:szCs w:val="27"/>
        </w:rPr>
        <w:t>Comentários ao código penal.</w:t>
      </w:r>
      <w:r w:rsidRPr="00806993">
        <w:rPr>
          <w:rStyle w:val="apple-converted-space"/>
          <w:color w:val="000000"/>
          <w:szCs w:val="27"/>
        </w:rPr>
        <w:t> </w:t>
      </w:r>
      <w:r w:rsidRPr="00806993">
        <w:rPr>
          <w:color w:val="000000"/>
          <w:szCs w:val="27"/>
        </w:rPr>
        <w:t>3. ed. São Paulo: Saraiva, 2009. v. 3.</w:t>
      </w:r>
    </w:p>
    <w:p w:rsidR="00044A74" w:rsidRPr="00806993" w:rsidRDefault="00044A74" w:rsidP="00806993">
      <w:pPr>
        <w:spacing w:line="240" w:lineRule="auto"/>
        <w:rPr>
          <w:color w:val="000000"/>
          <w:sz w:val="28"/>
          <w:szCs w:val="27"/>
        </w:rPr>
      </w:pPr>
    </w:p>
    <w:p w:rsidR="00044A74" w:rsidRPr="00806993" w:rsidRDefault="00044A74" w:rsidP="00806993">
      <w:pPr>
        <w:spacing w:line="240" w:lineRule="auto"/>
        <w:rPr>
          <w:color w:val="000000"/>
          <w:szCs w:val="27"/>
        </w:rPr>
      </w:pPr>
      <w:r w:rsidRPr="00806993">
        <w:rPr>
          <w:color w:val="000000"/>
          <w:szCs w:val="27"/>
        </w:rPr>
        <w:t xml:space="preserve">LEAL, Magnólia Moreira. </w:t>
      </w:r>
      <w:r w:rsidRPr="00806993">
        <w:rPr>
          <w:b/>
          <w:color w:val="000000"/>
          <w:szCs w:val="27"/>
        </w:rPr>
        <w:t xml:space="preserve">A indeterminação do prazo máximo de duração das medidas de segurança. </w:t>
      </w:r>
      <w:r w:rsidRPr="00806993">
        <w:rPr>
          <w:color w:val="000000"/>
          <w:szCs w:val="27"/>
        </w:rPr>
        <w:t>Disponível em: &lt;</w:t>
      </w:r>
      <w:r w:rsidRPr="00806993">
        <w:rPr>
          <w:sz w:val="22"/>
        </w:rPr>
        <w:t xml:space="preserve"> </w:t>
      </w:r>
      <w:r w:rsidRPr="00806993">
        <w:rPr>
          <w:color w:val="000000"/>
          <w:szCs w:val="27"/>
          <w:u w:val="single"/>
        </w:rPr>
        <w:t>http://www.ambito-juridico.com.br/site/index.php/?n_link=revista_artigos_leitura&amp;artigo_id=12943&amp;revista_caderno=3</w:t>
      </w:r>
      <w:r w:rsidRPr="00806993">
        <w:rPr>
          <w:color w:val="000000"/>
          <w:szCs w:val="27"/>
        </w:rPr>
        <w:t>&gt;. Acesso em: 01 abril 2014.</w:t>
      </w:r>
    </w:p>
    <w:p w:rsidR="00A75457" w:rsidRPr="00806993" w:rsidRDefault="00A75457" w:rsidP="00806993">
      <w:pPr>
        <w:spacing w:line="240" w:lineRule="auto"/>
        <w:rPr>
          <w:color w:val="000000"/>
          <w:szCs w:val="27"/>
        </w:rPr>
      </w:pPr>
    </w:p>
    <w:p w:rsidR="00A75457" w:rsidRPr="00806993" w:rsidRDefault="00A75457" w:rsidP="00806993">
      <w:pPr>
        <w:spacing w:line="240" w:lineRule="auto"/>
        <w:rPr>
          <w:rFonts w:cs="Times New Roman"/>
          <w:szCs w:val="27"/>
        </w:rPr>
      </w:pPr>
      <w:r w:rsidRPr="00806993">
        <w:rPr>
          <w:rFonts w:cs="Times New Roman"/>
          <w:shd w:val="clear" w:color="auto" w:fill="FFFFFF"/>
        </w:rPr>
        <w:t>RIOS, André Ricardo de Oliveira.</w:t>
      </w:r>
      <w:r w:rsidRPr="00806993">
        <w:rPr>
          <w:rStyle w:val="apple-converted-space"/>
          <w:rFonts w:cs="Times New Roman"/>
          <w:shd w:val="clear" w:color="auto" w:fill="FFFFFF"/>
        </w:rPr>
        <w:t> </w:t>
      </w:r>
      <w:r w:rsidRPr="00806993">
        <w:rPr>
          <w:rStyle w:val="nfase"/>
          <w:rFonts w:cs="Times New Roman"/>
          <w:b/>
          <w:i w:val="0"/>
          <w:shd w:val="clear" w:color="auto" w:fill="FFFFFF"/>
        </w:rPr>
        <w:t>Das medidas de segurança</w:t>
      </w:r>
      <w:r w:rsidRPr="00806993">
        <w:rPr>
          <w:rStyle w:val="Forte"/>
          <w:rFonts w:cs="Times New Roman"/>
          <w:b w:val="0"/>
          <w:i/>
          <w:shd w:val="clear" w:color="auto" w:fill="FFFFFF"/>
        </w:rPr>
        <w:t>.</w:t>
      </w:r>
      <w:r w:rsidRPr="00806993">
        <w:rPr>
          <w:rStyle w:val="apple-converted-space"/>
          <w:rFonts w:cs="Times New Roman"/>
          <w:b/>
          <w:bCs/>
          <w:shd w:val="clear" w:color="auto" w:fill="FFFFFF"/>
        </w:rPr>
        <w:t> </w:t>
      </w:r>
      <w:r w:rsidRPr="00806993">
        <w:rPr>
          <w:rStyle w:val="manchete4"/>
          <w:rFonts w:cs="Times New Roman"/>
          <w:shd w:val="clear" w:color="auto" w:fill="FFFFFF"/>
        </w:rPr>
        <w:t>Texto extraído do Boletim Jurídico – 11 de fevereiro de 2004 - ISSN 1807-9008</w:t>
      </w:r>
      <w:r w:rsidRPr="00806993">
        <w:rPr>
          <w:rFonts w:cs="Times New Roman"/>
        </w:rPr>
        <w:t xml:space="preserve">. Disponível em: </w:t>
      </w:r>
      <w:r w:rsidRPr="00806993">
        <w:rPr>
          <w:rFonts w:cs="Times New Roman"/>
          <w:shd w:val="clear" w:color="auto" w:fill="FFFFFF"/>
        </w:rPr>
        <w:t>&lt;</w:t>
      </w:r>
      <w:hyperlink r:id="rId8" w:history="1">
        <w:r w:rsidRPr="00806993">
          <w:rPr>
            <w:rStyle w:val="Hyperlink"/>
            <w:rFonts w:cs="Times New Roman"/>
            <w:color w:val="auto"/>
            <w:shd w:val="clear" w:color="auto" w:fill="FFFFFF"/>
          </w:rPr>
          <w:t>http://www.boletimjuridico.com.br/doutrina/texto.asp?id=212</w:t>
        </w:r>
      </w:hyperlink>
      <w:r w:rsidRPr="00806993">
        <w:rPr>
          <w:rStyle w:val="manchete4"/>
          <w:rFonts w:cs="Times New Roman"/>
          <w:shd w:val="clear" w:color="auto" w:fill="FFFFFF"/>
        </w:rPr>
        <w:t>&gt;. Acesso em: 29 out. 2014.</w:t>
      </w:r>
    </w:p>
    <w:p w:rsidR="00244FEF" w:rsidRPr="00806993" w:rsidRDefault="00244FEF" w:rsidP="00806993">
      <w:pPr>
        <w:spacing w:line="240" w:lineRule="auto"/>
        <w:rPr>
          <w:color w:val="000000"/>
          <w:sz w:val="28"/>
          <w:szCs w:val="27"/>
        </w:rPr>
      </w:pPr>
    </w:p>
    <w:p w:rsidR="00244FEF" w:rsidRPr="00806993" w:rsidRDefault="00244FEF" w:rsidP="00806993">
      <w:pPr>
        <w:spacing w:line="240" w:lineRule="auto"/>
      </w:pPr>
      <w:r w:rsidRPr="00806993">
        <w:t>Vade Mecum Acadêmico de Direito Rideel / Anne Joyce Angher, organização. – 17. ed.- São Paulo: Rideel, 2013.</w:t>
      </w:r>
    </w:p>
    <w:p w:rsidR="00982FBE" w:rsidRPr="00806993" w:rsidRDefault="00982FBE" w:rsidP="00806993">
      <w:pPr>
        <w:spacing w:line="240" w:lineRule="auto"/>
      </w:pPr>
    </w:p>
    <w:p w:rsidR="00982FBE" w:rsidRPr="00806993" w:rsidRDefault="00982FBE" w:rsidP="00806993">
      <w:pPr>
        <w:spacing w:line="240" w:lineRule="auto"/>
      </w:pPr>
      <w:r w:rsidRPr="00806993">
        <w:t xml:space="preserve">VAZ, Paulo Junio Pereira. </w:t>
      </w:r>
      <w:r w:rsidRPr="00806993">
        <w:rPr>
          <w:b/>
        </w:rPr>
        <w:t>As medidas de segurança e os direitos humanos dos inimputáveis</w:t>
      </w:r>
      <w:r w:rsidRPr="00806993">
        <w:t>. Jus Navigandi, Teresina, ano 17, n. 3264, 8 jun. 2012. Disponível em: &lt;</w:t>
      </w:r>
      <w:r w:rsidRPr="00806993">
        <w:rPr>
          <w:u w:val="single"/>
        </w:rPr>
        <w:t>http://jus.com.br/artigos/21956</w:t>
      </w:r>
      <w:r w:rsidRPr="00806993">
        <w:t>&gt;. Acesso em: 26 mar. 2014.</w:t>
      </w:r>
    </w:p>
    <w:p w:rsidR="00982FBE" w:rsidRPr="00806993" w:rsidRDefault="00982FBE" w:rsidP="00806993">
      <w:pPr>
        <w:spacing w:line="240" w:lineRule="auto"/>
      </w:pPr>
    </w:p>
    <w:p w:rsidR="00982FBE" w:rsidRPr="00806993" w:rsidRDefault="00982FBE" w:rsidP="00806993">
      <w:pPr>
        <w:spacing w:line="240" w:lineRule="auto"/>
      </w:pPr>
      <w:r w:rsidRPr="00806993">
        <w:t xml:space="preserve">ZAFFARONI, Eugenio Raúl e PIERANGELI, José Henrique. </w:t>
      </w:r>
      <w:r w:rsidRPr="00806993">
        <w:rPr>
          <w:b/>
        </w:rPr>
        <w:t>Manual de direito Penal Brasileiro: Parte Geral</w:t>
      </w:r>
      <w:r w:rsidRPr="00806993">
        <w:t>. 3. Ed. São Paulo: Revista dos tribunais, 2001. p 858.</w:t>
      </w:r>
    </w:p>
    <w:p w:rsidR="00982FBE" w:rsidRPr="00806993" w:rsidRDefault="00982FBE" w:rsidP="00806993">
      <w:pPr>
        <w:spacing w:line="240" w:lineRule="auto"/>
      </w:pPr>
      <w:r w:rsidRPr="00806993">
        <w:tab/>
      </w:r>
    </w:p>
    <w:sectPr w:rsidR="00982FBE" w:rsidRPr="00806993" w:rsidSect="007F7F00">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FF" w:rsidRDefault="002B6BFF" w:rsidP="007F7F00">
      <w:pPr>
        <w:spacing w:line="240" w:lineRule="auto"/>
      </w:pPr>
      <w:r>
        <w:separator/>
      </w:r>
    </w:p>
  </w:endnote>
  <w:endnote w:type="continuationSeparator" w:id="0">
    <w:p w:rsidR="002B6BFF" w:rsidRDefault="002B6BFF" w:rsidP="007F7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FF" w:rsidRDefault="002B6BFF" w:rsidP="007F7F00">
      <w:pPr>
        <w:spacing w:line="240" w:lineRule="auto"/>
      </w:pPr>
      <w:r>
        <w:separator/>
      </w:r>
    </w:p>
  </w:footnote>
  <w:footnote w:type="continuationSeparator" w:id="0">
    <w:p w:rsidR="002B6BFF" w:rsidRDefault="002B6BFF" w:rsidP="007F7F00">
      <w:pPr>
        <w:spacing w:line="240" w:lineRule="auto"/>
      </w:pPr>
      <w:r>
        <w:continuationSeparator/>
      </w:r>
    </w:p>
  </w:footnote>
  <w:footnote w:id="1">
    <w:p w:rsidR="000E1BD3" w:rsidRDefault="000E1BD3" w:rsidP="000E1BD3">
      <w:pPr>
        <w:pStyle w:val="Textodenotaderodap"/>
      </w:pPr>
      <w:r>
        <w:rPr>
          <w:rStyle w:val="Refdenotaderodap"/>
        </w:rPr>
        <w:footnoteRef/>
      </w:r>
      <w:r>
        <w:t xml:space="preserve"> </w:t>
      </w:r>
      <w:r>
        <w:rPr>
          <w:rFonts w:cs="Times New Roman"/>
        </w:rPr>
        <w:t>Alunos do 3</w:t>
      </w:r>
      <w:r w:rsidRPr="003363D4">
        <w:rPr>
          <w:rFonts w:cs="Times New Roman"/>
        </w:rPr>
        <w:t>º período Noturno, do Curso de Direito, da UNDB.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7597"/>
      <w:docPartObj>
        <w:docPartGallery w:val="Page Numbers (Top of Page)"/>
        <w:docPartUnique/>
      </w:docPartObj>
    </w:sdtPr>
    <w:sdtEndPr/>
    <w:sdtContent>
      <w:p w:rsidR="00D237A0" w:rsidRDefault="002B6BFF">
        <w:pPr>
          <w:pStyle w:val="Cabealho"/>
          <w:jc w:val="right"/>
        </w:pPr>
        <w:r>
          <w:fldChar w:fldCharType="begin"/>
        </w:r>
        <w:r>
          <w:instrText xml:space="preserve"> PAGE   \* MERGEFORMAT </w:instrText>
        </w:r>
        <w:r>
          <w:fldChar w:fldCharType="separate"/>
        </w:r>
        <w:r w:rsidR="00806993">
          <w:rPr>
            <w:noProof/>
          </w:rPr>
          <w:t>1</w:t>
        </w:r>
        <w:r>
          <w:rPr>
            <w:noProof/>
          </w:rPr>
          <w:fldChar w:fldCharType="end"/>
        </w:r>
      </w:p>
    </w:sdtContent>
  </w:sdt>
  <w:p w:rsidR="00D237A0" w:rsidRDefault="00D237A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7F00"/>
    <w:rsid w:val="00002C9D"/>
    <w:rsid w:val="00044A74"/>
    <w:rsid w:val="00067DD4"/>
    <w:rsid w:val="000A23F7"/>
    <w:rsid w:val="000E1BD3"/>
    <w:rsid w:val="002268C7"/>
    <w:rsid w:val="00244FEF"/>
    <w:rsid w:val="002A5E0D"/>
    <w:rsid w:val="002B6BFF"/>
    <w:rsid w:val="002D217C"/>
    <w:rsid w:val="00381712"/>
    <w:rsid w:val="00383F78"/>
    <w:rsid w:val="003C7775"/>
    <w:rsid w:val="003E604F"/>
    <w:rsid w:val="003E7434"/>
    <w:rsid w:val="004003F5"/>
    <w:rsid w:val="004237BC"/>
    <w:rsid w:val="0043304B"/>
    <w:rsid w:val="0046707E"/>
    <w:rsid w:val="00553662"/>
    <w:rsid w:val="005A50BE"/>
    <w:rsid w:val="005C1A14"/>
    <w:rsid w:val="005E5C9B"/>
    <w:rsid w:val="005F5D28"/>
    <w:rsid w:val="006B325E"/>
    <w:rsid w:val="006D19FC"/>
    <w:rsid w:val="00700ED9"/>
    <w:rsid w:val="00710119"/>
    <w:rsid w:val="007934AC"/>
    <w:rsid w:val="007D0189"/>
    <w:rsid w:val="007F7F00"/>
    <w:rsid w:val="00806993"/>
    <w:rsid w:val="008B2727"/>
    <w:rsid w:val="00907193"/>
    <w:rsid w:val="00917187"/>
    <w:rsid w:val="009511C6"/>
    <w:rsid w:val="00966E21"/>
    <w:rsid w:val="00982FBE"/>
    <w:rsid w:val="009D413B"/>
    <w:rsid w:val="009E052C"/>
    <w:rsid w:val="009E4D5C"/>
    <w:rsid w:val="00A23358"/>
    <w:rsid w:val="00A54A78"/>
    <w:rsid w:val="00A75457"/>
    <w:rsid w:val="00A92CE3"/>
    <w:rsid w:val="00B04892"/>
    <w:rsid w:val="00B84F86"/>
    <w:rsid w:val="00C17805"/>
    <w:rsid w:val="00C80208"/>
    <w:rsid w:val="00D237A0"/>
    <w:rsid w:val="00DB0600"/>
    <w:rsid w:val="00DC31C3"/>
    <w:rsid w:val="00DC7322"/>
    <w:rsid w:val="00EC2C8D"/>
    <w:rsid w:val="00F91926"/>
    <w:rsid w:val="00FC02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F0443"/>
  <w15:docId w15:val="{CA1A4DA7-DF41-4B1F-B603-D9BA3DA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1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F7F0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7F00"/>
    <w:rPr>
      <w:rFonts w:ascii="Tahoma" w:hAnsi="Tahoma" w:cs="Tahoma"/>
      <w:sz w:val="16"/>
      <w:szCs w:val="16"/>
    </w:rPr>
  </w:style>
  <w:style w:type="paragraph" w:styleId="Textodenotaderodap">
    <w:name w:val="footnote text"/>
    <w:basedOn w:val="Normal"/>
    <w:link w:val="TextodenotaderodapChar"/>
    <w:uiPriority w:val="99"/>
    <w:semiHidden/>
    <w:unhideWhenUsed/>
    <w:rsid w:val="007F7F0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F7F00"/>
    <w:rPr>
      <w:sz w:val="20"/>
      <w:szCs w:val="20"/>
    </w:rPr>
  </w:style>
  <w:style w:type="character" w:styleId="Refdenotaderodap">
    <w:name w:val="footnote reference"/>
    <w:basedOn w:val="Fontepargpadro"/>
    <w:uiPriority w:val="99"/>
    <w:semiHidden/>
    <w:unhideWhenUsed/>
    <w:rsid w:val="007F7F00"/>
    <w:rPr>
      <w:vertAlign w:val="superscript"/>
    </w:rPr>
  </w:style>
  <w:style w:type="paragraph" w:styleId="Cabealho">
    <w:name w:val="header"/>
    <w:basedOn w:val="Normal"/>
    <w:link w:val="CabealhoChar"/>
    <w:uiPriority w:val="99"/>
    <w:unhideWhenUsed/>
    <w:rsid w:val="008B2727"/>
    <w:pPr>
      <w:tabs>
        <w:tab w:val="center" w:pos="4252"/>
        <w:tab w:val="right" w:pos="8504"/>
      </w:tabs>
      <w:spacing w:line="240" w:lineRule="auto"/>
    </w:pPr>
  </w:style>
  <w:style w:type="character" w:customStyle="1" w:styleId="CabealhoChar">
    <w:name w:val="Cabeçalho Char"/>
    <w:basedOn w:val="Fontepargpadro"/>
    <w:link w:val="Cabealho"/>
    <w:uiPriority w:val="99"/>
    <w:rsid w:val="008B2727"/>
  </w:style>
  <w:style w:type="paragraph" w:styleId="Rodap">
    <w:name w:val="footer"/>
    <w:basedOn w:val="Normal"/>
    <w:link w:val="RodapChar"/>
    <w:uiPriority w:val="99"/>
    <w:semiHidden/>
    <w:unhideWhenUsed/>
    <w:rsid w:val="008B2727"/>
    <w:pPr>
      <w:tabs>
        <w:tab w:val="center" w:pos="4252"/>
        <w:tab w:val="right" w:pos="8504"/>
      </w:tabs>
      <w:spacing w:line="240" w:lineRule="auto"/>
    </w:pPr>
  </w:style>
  <w:style w:type="character" w:customStyle="1" w:styleId="RodapChar">
    <w:name w:val="Rodapé Char"/>
    <w:basedOn w:val="Fontepargpadro"/>
    <w:link w:val="Rodap"/>
    <w:uiPriority w:val="99"/>
    <w:semiHidden/>
    <w:rsid w:val="008B2727"/>
  </w:style>
  <w:style w:type="character" w:customStyle="1" w:styleId="apple-converted-space">
    <w:name w:val="apple-converted-space"/>
    <w:basedOn w:val="Fontepargpadro"/>
    <w:rsid w:val="009D413B"/>
  </w:style>
  <w:style w:type="character" w:styleId="Hyperlink">
    <w:name w:val="Hyperlink"/>
    <w:basedOn w:val="Fontepargpadro"/>
    <w:uiPriority w:val="99"/>
    <w:unhideWhenUsed/>
    <w:rsid w:val="00244FEF"/>
    <w:rPr>
      <w:color w:val="0000FF" w:themeColor="hyperlink"/>
      <w:u w:val="single"/>
    </w:rPr>
  </w:style>
  <w:style w:type="character" w:styleId="nfase">
    <w:name w:val="Emphasis"/>
    <w:basedOn w:val="Fontepargpadro"/>
    <w:uiPriority w:val="20"/>
    <w:qFormat/>
    <w:rsid w:val="00A75457"/>
    <w:rPr>
      <w:i/>
      <w:iCs/>
    </w:rPr>
  </w:style>
  <w:style w:type="character" w:styleId="Forte">
    <w:name w:val="Strong"/>
    <w:basedOn w:val="Fontepargpadro"/>
    <w:uiPriority w:val="22"/>
    <w:qFormat/>
    <w:rsid w:val="00A75457"/>
    <w:rPr>
      <w:b/>
      <w:bCs/>
    </w:rPr>
  </w:style>
  <w:style w:type="character" w:customStyle="1" w:styleId="manchete4">
    <w:name w:val="manchete4"/>
    <w:basedOn w:val="Fontepargpadro"/>
    <w:rsid w:val="00A75457"/>
  </w:style>
  <w:style w:type="paragraph" w:styleId="NormalWeb">
    <w:name w:val="Normal (Web)"/>
    <w:basedOn w:val="Normal"/>
    <w:uiPriority w:val="99"/>
    <w:semiHidden/>
    <w:unhideWhenUsed/>
    <w:rsid w:val="00A75457"/>
    <w:pPr>
      <w:spacing w:before="100" w:beforeAutospacing="1" w:after="100" w:afterAutospacing="1" w:line="240" w:lineRule="auto"/>
    </w:pPr>
    <w:rPr>
      <w:rFonts w:eastAsia="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9987">
      <w:bodyDiv w:val="1"/>
      <w:marLeft w:val="0"/>
      <w:marRight w:val="0"/>
      <w:marTop w:val="0"/>
      <w:marBottom w:val="0"/>
      <w:divBdr>
        <w:top w:val="none" w:sz="0" w:space="0" w:color="auto"/>
        <w:left w:val="none" w:sz="0" w:space="0" w:color="auto"/>
        <w:bottom w:val="none" w:sz="0" w:space="0" w:color="auto"/>
        <w:right w:val="none" w:sz="0" w:space="0" w:color="auto"/>
      </w:divBdr>
    </w:div>
    <w:div w:id="975372304">
      <w:bodyDiv w:val="1"/>
      <w:marLeft w:val="0"/>
      <w:marRight w:val="0"/>
      <w:marTop w:val="0"/>
      <w:marBottom w:val="0"/>
      <w:divBdr>
        <w:top w:val="none" w:sz="0" w:space="0" w:color="auto"/>
        <w:left w:val="none" w:sz="0" w:space="0" w:color="auto"/>
        <w:bottom w:val="none" w:sz="0" w:space="0" w:color="auto"/>
        <w:right w:val="none" w:sz="0" w:space="0" w:color="auto"/>
      </w:divBdr>
    </w:div>
    <w:div w:id="1554000612">
      <w:bodyDiv w:val="1"/>
      <w:marLeft w:val="0"/>
      <w:marRight w:val="0"/>
      <w:marTop w:val="0"/>
      <w:marBottom w:val="0"/>
      <w:divBdr>
        <w:top w:val="none" w:sz="0" w:space="0" w:color="auto"/>
        <w:left w:val="none" w:sz="0" w:space="0" w:color="auto"/>
        <w:bottom w:val="none" w:sz="0" w:space="0" w:color="auto"/>
        <w:right w:val="none" w:sz="0" w:space="0" w:color="auto"/>
      </w:divBdr>
    </w:div>
    <w:div w:id="19028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letimjuridico.com.br/doutrina/texto.asp?id=21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8CFD7-0496-4024-B83C-70890B2A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9</Pages>
  <Words>3122</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santos</dc:creator>
  <cp:lastModifiedBy>conceicao santos</cp:lastModifiedBy>
  <cp:revision>22</cp:revision>
  <dcterms:created xsi:type="dcterms:W3CDTF">2014-03-28T11:33:00Z</dcterms:created>
  <dcterms:modified xsi:type="dcterms:W3CDTF">2018-06-18T21:21:00Z</dcterms:modified>
</cp:coreProperties>
</file>