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D06" w:rsidRPr="00341A46" w:rsidRDefault="00FD09F3" w:rsidP="0020071C">
      <w:pPr>
        <w:tabs>
          <w:tab w:val="left" w:pos="2850"/>
        </w:tabs>
        <w:spacing w:after="0" w:line="360" w:lineRule="auto"/>
        <w:jc w:val="center"/>
        <w:rPr>
          <w:rFonts w:ascii="Times New Roman" w:hAnsi="Times New Roman" w:cs="Times New Roman"/>
          <w:b/>
          <w:sz w:val="24"/>
          <w:szCs w:val="24"/>
        </w:rPr>
      </w:pPr>
      <w:r>
        <w:rPr>
          <w:rFonts w:ascii="Times New Roman" w:hAnsi="Times New Roman" w:cs="Times New Roman"/>
          <w:b/>
          <w:noProof/>
          <w:sz w:val="28"/>
          <w:szCs w:val="28"/>
          <w:lang w:eastAsia="pt-BR"/>
        </w:rPr>
        <mc:AlternateContent>
          <mc:Choice Requires="wps">
            <w:drawing>
              <wp:anchor distT="0" distB="0" distL="114300" distR="114300" simplePos="0" relativeHeight="251659264" behindDoc="0" locked="0" layoutInCell="1" allowOverlap="1">
                <wp:simplePos x="0" y="0"/>
                <wp:positionH relativeFrom="column">
                  <wp:posOffset>5558790</wp:posOffset>
                </wp:positionH>
                <wp:positionV relativeFrom="paragraph">
                  <wp:posOffset>-565785</wp:posOffset>
                </wp:positionV>
                <wp:extent cx="419100" cy="295275"/>
                <wp:effectExtent l="0" t="0" r="19050" b="28575"/>
                <wp:wrapNone/>
                <wp:docPr id="1" name="Caixa de texto 1"/>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D09F3" w:rsidRDefault="00FD09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37.7pt;margin-top:-44.55pt;width:33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" fillcolor="white [3201]" strokecolor="white [3212]" strokeweight=".5pt">
                <v:textbox>
                  <w:txbxContent>
                    <w:p w:rsidR="00FD09F3" w:rsidRDefault="00FD09F3"/>
                  </w:txbxContent>
                </v:textbox>
              </v:shape>
            </w:pict>
          </mc:Fallback>
        </mc:AlternateContent>
      </w:r>
      <w:r w:rsidR="00B07C03">
        <w:rPr>
          <w:rFonts w:ascii="Times New Roman" w:hAnsi="Times New Roman" w:cs="Times New Roman"/>
          <w:b/>
          <w:sz w:val="28"/>
          <w:szCs w:val="28"/>
        </w:rPr>
        <w:t>DOMÍNIO DO FATO SOBRE CRIMES SOCIETÁRIOS</w:t>
      </w:r>
      <w:r w:rsidR="004E1507">
        <w:rPr>
          <w:rFonts w:ascii="Times New Roman" w:hAnsi="Times New Roman" w:cs="Times New Roman"/>
          <w:b/>
          <w:sz w:val="28"/>
          <w:szCs w:val="28"/>
        </w:rPr>
        <w:t>.¹</w:t>
      </w:r>
    </w:p>
    <w:p w:rsidR="003B4D06" w:rsidRPr="00341A46" w:rsidRDefault="003B4D06" w:rsidP="0020071C">
      <w:pPr>
        <w:pStyle w:val="SemEspaamento"/>
        <w:ind w:firstLine="5670"/>
        <w:jc w:val="right"/>
        <w:rPr>
          <w:rFonts w:ascii="Times New Roman" w:hAnsi="Times New Roman" w:cs="Times New Roman"/>
          <w:i/>
          <w:sz w:val="20"/>
          <w:szCs w:val="20"/>
        </w:rPr>
      </w:pPr>
    </w:p>
    <w:p w:rsidR="00712528" w:rsidRPr="00E3735E" w:rsidRDefault="00E3735E" w:rsidP="00E3735E">
      <w:pPr>
        <w:pStyle w:val="SemEspaamento"/>
        <w:ind w:firstLine="5387"/>
        <w:jc w:val="right"/>
        <w:rPr>
          <w:rFonts w:ascii="Times New Roman" w:hAnsi="Times New Roman" w:cs="Times New Roman"/>
          <w:sz w:val="24"/>
          <w:szCs w:val="24"/>
        </w:rPr>
      </w:pPr>
      <w:r>
        <w:rPr>
          <w:rFonts w:ascii="Times New Roman" w:hAnsi="Times New Roman" w:cs="Times New Roman"/>
          <w:sz w:val="24"/>
          <w:szCs w:val="24"/>
        </w:rPr>
        <w:t>Gabriel de Souza Gomes Feitosa</w:t>
      </w:r>
    </w:p>
    <w:p w:rsidR="003B4D06" w:rsidRPr="00E3735E" w:rsidRDefault="00575A3F" w:rsidP="0020071C">
      <w:pPr>
        <w:pStyle w:val="SemEspaamento"/>
        <w:ind w:firstLine="5670"/>
        <w:jc w:val="right"/>
        <w:rPr>
          <w:rFonts w:ascii="Times New Roman" w:hAnsi="Times New Roman" w:cs="Times New Roman"/>
          <w:sz w:val="24"/>
          <w:szCs w:val="24"/>
        </w:rPr>
      </w:pPr>
      <w:r w:rsidRPr="00E3735E">
        <w:rPr>
          <w:rFonts w:ascii="Times New Roman" w:hAnsi="Times New Roman" w:cs="Times New Roman"/>
          <w:sz w:val="24"/>
          <w:szCs w:val="24"/>
        </w:rPr>
        <w:t>Renan Conde dos Santos</w:t>
      </w:r>
      <w:r w:rsidR="00712528" w:rsidRPr="00E3735E">
        <w:rPr>
          <w:rFonts w:ascii="Times New Roman" w:hAnsi="Times New Roman" w:cs="Times New Roman"/>
          <w:sz w:val="24"/>
          <w:szCs w:val="24"/>
          <w:vertAlign w:val="superscript"/>
        </w:rPr>
        <w:t xml:space="preserve"> </w:t>
      </w:r>
      <w:r w:rsidR="003B4D06" w:rsidRPr="00E3735E">
        <w:rPr>
          <w:rFonts w:ascii="Times New Roman" w:hAnsi="Times New Roman" w:cs="Times New Roman"/>
          <w:sz w:val="24"/>
          <w:szCs w:val="24"/>
          <w:vertAlign w:val="superscript"/>
        </w:rPr>
        <w:footnoteReference w:id="1"/>
      </w:r>
    </w:p>
    <w:p w:rsidR="00712528" w:rsidRDefault="00712528" w:rsidP="00712528">
      <w:pPr>
        <w:pStyle w:val="SemEspaamento"/>
        <w:ind w:firstLine="5670"/>
        <w:rPr>
          <w:rFonts w:ascii="Times New Roman" w:hAnsi="Times New Roman" w:cs="Times New Roman"/>
          <w:sz w:val="24"/>
          <w:szCs w:val="24"/>
        </w:rPr>
      </w:pPr>
    </w:p>
    <w:p w:rsidR="008E6824" w:rsidRPr="00E3735E" w:rsidRDefault="008E6824" w:rsidP="00712528">
      <w:pPr>
        <w:pStyle w:val="SemEspaamento"/>
        <w:ind w:firstLine="5670"/>
        <w:rPr>
          <w:rFonts w:ascii="Times New Roman" w:hAnsi="Times New Roman" w:cs="Times New Roman"/>
          <w:sz w:val="20"/>
          <w:szCs w:val="20"/>
        </w:rPr>
      </w:pPr>
      <w:bookmarkStart w:id="0" w:name="_GoBack"/>
      <w:bookmarkEnd w:id="0"/>
    </w:p>
    <w:p w:rsidR="003B4D06" w:rsidRPr="00341A46" w:rsidRDefault="003B4D06" w:rsidP="00B4545D">
      <w:pPr>
        <w:spacing w:after="0" w:line="360" w:lineRule="auto"/>
        <w:ind w:firstLine="5103"/>
        <w:jc w:val="both"/>
        <w:rPr>
          <w:rFonts w:ascii="Times New Roman" w:hAnsi="Times New Roman" w:cs="Times New Roman"/>
          <w:sz w:val="24"/>
          <w:szCs w:val="24"/>
        </w:rPr>
      </w:pPr>
    </w:p>
    <w:p w:rsidR="003B4D06" w:rsidRPr="008329C1" w:rsidRDefault="00F44F02" w:rsidP="008329C1">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Sumário: </w:t>
      </w:r>
      <w:r w:rsidR="008C602A" w:rsidRPr="000D17E2">
        <w:rPr>
          <w:rFonts w:ascii="Times New Roman" w:hAnsi="Times New Roman" w:cs="Times New Roman"/>
          <w:sz w:val="20"/>
          <w:szCs w:val="20"/>
        </w:rPr>
        <w:t>1.</w:t>
      </w:r>
      <w:r w:rsidR="008C602A">
        <w:rPr>
          <w:rFonts w:ascii="Times New Roman" w:hAnsi="Times New Roman" w:cs="Times New Roman"/>
          <w:sz w:val="20"/>
          <w:szCs w:val="20"/>
        </w:rPr>
        <w:t>Introdução; 2.</w:t>
      </w:r>
      <w:r w:rsidR="000D17E2" w:rsidRPr="000D17E2">
        <w:rPr>
          <w:rFonts w:ascii="Times New Roman" w:hAnsi="Times New Roman" w:cs="Times New Roman"/>
          <w:bCs/>
          <w:sz w:val="20"/>
          <w:szCs w:val="20"/>
        </w:rPr>
        <w:t xml:space="preserve">Definição dos indivíduos </w:t>
      </w:r>
      <w:r w:rsidR="000D17E2">
        <w:rPr>
          <w:rFonts w:ascii="Times New Roman" w:hAnsi="Times New Roman" w:cs="Times New Roman"/>
          <w:bCs/>
          <w:sz w:val="20"/>
          <w:szCs w:val="20"/>
        </w:rPr>
        <w:t>e das condutas realizadas; 2.1.C</w:t>
      </w:r>
      <w:r w:rsidR="000D17E2" w:rsidRPr="000D17E2">
        <w:rPr>
          <w:rFonts w:ascii="Times New Roman" w:hAnsi="Times New Roman" w:cs="Times New Roman"/>
          <w:bCs/>
          <w:sz w:val="20"/>
          <w:szCs w:val="20"/>
        </w:rPr>
        <w:t>ondutas para se con</w:t>
      </w:r>
      <w:r w:rsidR="008C602A">
        <w:rPr>
          <w:rFonts w:ascii="Times New Roman" w:hAnsi="Times New Roman" w:cs="Times New Roman"/>
          <w:bCs/>
          <w:sz w:val="20"/>
          <w:szCs w:val="20"/>
        </w:rPr>
        <w:t>figurar concurso de pessoas; 3.R</w:t>
      </w:r>
      <w:r w:rsidR="000D17E2" w:rsidRPr="000D17E2">
        <w:rPr>
          <w:rFonts w:ascii="Times New Roman" w:hAnsi="Times New Roman" w:cs="Times New Roman"/>
          <w:bCs/>
          <w:sz w:val="20"/>
          <w:szCs w:val="20"/>
        </w:rPr>
        <w:t>equisitos para haver crimes societários e princípios fundamenta</w:t>
      </w:r>
      <w:r w:rsidR="008C602A">
        <w:rPr>
          <w:rFonts w:ascii="Times New Roman" w:hAnsi="Times New Roman" w:cs="Times New Roman"/>
          <w:bCs/>
          <w:sz w:val="20"/>
          <w:szCs w:val="20"/>
        </w:rPr>
        <w:t>is; 4.</w:t>
      </w:r>
      <w:r>
        <w:rPr>
          <w:rFonts w:ascii="Times New Roman" w:hAnsi="Times New Roman" w:cs="Times New Roman"/>
          <w:bCs/>
          <w:sz w:val="20"/>
          <w:szCs w:val="20"/>
        </w:rPr>
        <w:t xml:space="preserve"> </w:t>
      </w:r>
      <w:r w:rsidRPr="00F44F02">
        <w:rPr>
          <w:rFonts w:ascii="Times New Roman" w:hAnsi="Times New Roman" w:cs="Times New Roman"/>
          <w:sz w:val="20"/>
          <w:szCs w:val="24"/>
        </w:rPr>
        <w:t>Denúncia genérica nos crimes societários</w:t>
      </w:r>
      <w:r>
        <w:rPr>
          <w:rFonts w:ascii="Times New Roman" w:hAnsi="Times New Roman" w:cs="Times New Roman"/>
          <w:sz w:val="20"/>
          <w:szCs w:val="24"/>
        </w:rPr>
        <w:t>; 5.</w:t>
      </w:r>
      <w:r w:rsidRPr="00F44F02">
        <w:rPr>
          <w:rFonts w:ascii="Times New Roman" w:hAnsi="Times New Roman" w:cs="Times New Roman"/>
          <w:sz w:val="20"/>
          <w:szCs w:val="24"/>
        </w:rPr>
        <w:t xml:space="preserve"> </w:t>
      </w:r>
      <w:r w:rsidR="008C602A">
        <w:rPr>
          <w:rFonts w:ascii="Times New Roman" w:hAnsi="Times New Roman" w:cs="Times New Roman"/>
          <w:bCs/>
          <w:sz w:val="20"/>
          <w:szCs w:val="20"/>
        </w:rPr>
        <w:t>C</w:t>
      </w:r>
      <w:r w:rsidR="000D17E2" w:rsidRPr="000D17E2">
        <w:rPr>
          <w:rFonts w:ascii="Times New Roman" w:hAnsi="Times New Roman" w:cs="Times New Roman"/>
          <w:bCs/>
          <w:sz w:val="20"/>
          <w:szCs w:val="20"/>
        </w:rPr>
        <w:t>onclusão.</w:t>
      </w:r>
    </w:p>
    <w:p w:rsidR="00C82251" w:rsidRDefault="00C82251" w:rsidP="0020071C">
      <w:pPr>
        <w:spacing w:after="0" w:line="360" w:lineRule="auto"/>
        <w:jc w:val="center"/>
        <w:rPr>
          <w:rFonts w:ascii="Times New Roman" w:hAnsi="Times New Roman" w:cs="Times New Roman"/>
          <w:b/>
          <w:sz w:val="24"/>
          <w:szCs w:val="24"/>
        </w:rPr>
      </w:pPr>
    </w:p>
    <w:p w:rsidR="003B4D06" w:rsidRDefault="003B4D06" w:rsidP="0020071C">
      <w:pPr>
        <w:spacing w:after="0" w:line="360" w:lineRule="auto"/>
        <w:jc w:val="center"/>
        <w:rPr>
          <w:rFonts w:ascii="Times New Roman" w:hAnsi="Times New Roman" w:cs="Times New Roman"/>
          <w:b/>
          <w:sz w:val="24"/>
          <w:szCs w:val="24"/>
        </w:rPr>
      </w:pPr>
      <w:r w:rsidRPr="0020071C">
        <w:rPr>
          <w:rFonts w:ascii="Times New Roman" w:hAnsi="Times New Roman" w:cs="Times New Roman"/>
          <w:b/>
          <w:sz w:val="24"/>
          <w:szCs w:val="24"/>
        </w:rPr>
        <w:t>RESUMO</w:t>
      </w:r>
    </w:p>
    <w:p w:rsidR="00E3735E" w:rsidRDefault="00E3735E" w:rsidP="0020071C">
      <w:pPr>
        <w:spacing w:after="0" w:line="360" w:lineRule="auto"/>
        <w:jc w:val="center"/>
        <w:rPr>
          <w:rFonts w:ascii="Times New Roman" w:hAnsi="Times New Roman" w:cs="Times New Roman"/>
          <w:b/>
          <w:sz w:val="24"/>
          <w:szCs w:val="24"/>
        </w:rPr>
      </w:pPr>
    </w:p>
    <w:p w:rsidR="00C82251" w:rsidRPr="00E3735E" w:rsidRDefault="00C82251" w:rsidP="00E3735E">
      <w:pPr>
        <w:spacing w:after="0" w:line="360" w:lineRule="auto"/>
        <w:jc w:val="both"/>
        <w:rPr>
          <w:rFonts w:ascii="Times New Roman" w:hAnsi="Times New Roman" w:cs="Times New Roman"/>
          <w:sz w:val="24"/>
          <w:szCs w:val="24"/>
        </w:rPr>
      </w:pPr>
      <w:r w:rsidRPr="00E3735E">
        <w:rPr>
          <w:rFonts w:ascii="Times New Roman" w:hAnsi="Times New Roman" w:cs="Times New Roman"/>
          <w:sz w:val="24"/>
          <w:szCs w:val="24"/>
        </w:rPr>
        <w:t>Em face das realizações promíscuas dentro do estabelecimento societário, o trabalho que aqui se faz presente vem delinear o que ocorre quando o ato criminal vem a ocorrer. Será mostrando a partir de várias lentes o modo e quem vem a cometer as condutas tomadas como basilar em quesito de análise. Será apreciado também princípios do direito penal que possam ser esclarecedores quanto ao fim almejado, além de trazer algumas condutas tipificadas que são realizadas.</w:t>
      </w:r>
    </w:p>
    <w:p w:rsidR="008C602A" w:rsidRDefault="008C602A" w:rsidP="008C602A">
      <w:pPr>
        <w:spacing w:after="0" w:line="360" w:lineRule="auto"/>
        <w:ind w:firstLine="1134"/>
        <w:jc w:val="both"/>
        <w:rPr>
          <w:rFonts w:ascii="Times New Roman" w:hAnsi="Times New Roman" w:cs="Times New Roman"/>
          <w:sz w:val="24"/>
          <w:szCs w:val="24"/>
        </w:rPr>
      </w:pPr>
    </w:p>
    <w:p w:rsidR="00EF0198" w:rsidRPr="008329C1" w:rsidRDefault="003B4D06" w:rsidP="008329C1">
      <w:pPr>
        <w:spacing w:after="0" w:line="360" w:lineRule="auto"/>
        <w:jc w:val="both"/>
        <w:rPr>
          <w:rFonts w:ascii="Times New Roman" w:hAnsi="Times New Roman" w:cs="Times New Roman"/>
          <w:sz w:val="24"/>
          <w:szCs w:val="24"/>
        </w:rPr>
      </w:pPr>
      <w:r w:rsidRPr="00341A46">
        <w:rPr>
          <w:rFonts w:ascii="Times New Roman" w:hAnsi="Times New Roman" w:cs="Times New Roman"/>
          <w:b/>
          <w:sz w:val="24"/>
          <w:szCs w:val="24"/>
        </w:rPr>
        <w:t>Palavras-chave:</w:t>
      </w:r>
      <w:r w:rsidR="008C3692" w:rsidRPr="00341A46">
        <w:rPr>
          <w:rFonts w:ascii="Times New Roman" w:hAnsi="Times New Roman" w:cs="Times New Roman"/>
          <w:sz w:val="24"/>
          <w:szCs w:val="24"/>
        </w:rPr>
        <w:t xml:space="preserve"> </w:t>
      </w:r>
      <w:r w:rsidR="00C82251">
        <w:rPr>
          <w:rFonts w:ascii="Times New Roman" w:hAnsi="Times New Roman" w:cs="Times New Roman"/>
          <w:sz w:val="24"/>
          <w:szCs w:val="24"/>
        </w:rPr>
        <w:t>crimes societários; concurso de pessoas; conduta; finalidade; domínio do fato.</w:t>
      </w:r>
    </w:p>
    <w:p w:rsidR="00C82251" w:rsidRDefault="00C82251" w:rsidP="008329C1">
      <w:pPr>
        <w:spacing w:line="360" w:lineRule="auto"/>
        <w:jc w:val="both"/>
        <w:rPr>
          <w:rFonts w:ascii="Times New Roman" w:hAnsi="Times New Roman" w:cs="Times New Roman"/>
          <w:b/>
          <w:sz w:val="28"/>
          <w:szCs w:val="24"/>
        </w:rPr>
      </w:pPr>
    </w:p>
    <w:p w:rsidR="008329C1" w:rsidRPr="00C82251" w:rsidRDefault="00C82251" w:rsidP="00C82251">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1. </w:t>
      </w:r>
      <w:r w:rsidR="00F44F02" w:rsidRPr="00C82251">
        <w:rPr>
          <w:rFonts w:ascii="Times New Roman" w:hAnsi="Times New Roman" w:cs="Times New Roman"/>
          <w:b/>
          <w:sz w:val="28"/>
          <w:szCs w:val="24"/>
        </w:rPr>
        <w:t>INTRODUÇÃO</w:t>
      </w:r>
    </w:p>
    <w:p w:rsidR="00C82251" w:rsidRDefault="00C82251" w:rsidP="00C8225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crimes societários são cometidos por uma pessoa física sobre uma pessoa jurídica, dentro deste tipo de crime observa-se como fator primordial, uma vantagem econômica sobre os demais. Nesta conduta tipificada observa- se uma finalidade por meio do autor a qual serão atribuídas diversas analises no decorrer desta obra trazendo não só a sua presença, mais a atuação de demais instrumentos. Mas o autor pode ter conseguido diversas colaborações que, de certo contribuem diretamente a realização da conduta.</w:t>
      </w:r>
    </w:p>
    <w:p w:rsidR="00EF0198" w:rsidRDefault="005139D4" w:rsidP="00E373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que vem se analisar e explanar sobre esse assunto é o crime praticado mediante concurso de pessoas, especificadamente sobre crimes societários, sobre como ele ocorre, </w:t>
      </w:r>
      <w:r>
        <w:rPr>
          <w:rFonts w:ascii="Times New Roman" w:hAnsi="Times New Roman" w:cs="Times New Roman"/>
          <w:sz w:val="24"/>
          <w:szCs w:val="24"/>
        </w:rPr>
        <w:lastRenderedPageBreak/>
        <w:t>condutas que levam a ocorrer esse crime, requisitos e seus princípios fundamentais e sobre o que vários autores de livros de teor no âmbito penal discorrem sobre o caso.</w:t>
      </w:r>
    </w:p>
    <w:p w:rsidR="005139D4" w:rsidRDefault="005139D4" w:rsidP="00E373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trabalho é de grande relevância acadêmica pela necessidade de analisar algumas discussões doutrinárias </w:t>
      </w:r>
      <w:r w:rsidR="00B63F59">
        <w:rPr>
          <w:rFonts w:ascii="Times New Roman" w:hAnsi="Times New Roman" w:cs="Times New Roman"/>
          <w:sz w:val="24"/>
          <w:szCs w:val="24"/>
        </w:rPr>
        <w:t>ao respeito</w:t>
      </w:r>
      <w:r>
        <w:rPr>
          <w:rFonts w:ascii="Times New Roman" w:hAnsi="Times New Roman" w:cs="Times New Roman"/>
          <w:sz w:val="24"/>
          <w:szCs w:val="24"/>
        </w:rPr>
        <w:t xml:space="preserve"> do domínio de fato.</w:t>
      </w:r>
    </w:p>
    <w:p w:rsidR="005139D4" w:rsidRDefault="005139D4" w:rsidP="00E373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tanto, dentro da metodologia utilizada, quanto aos objetivos de abordagem foi</w:t>
      </w:r>
      <w:r w:rsidR="00B63F59">
        <w:rPr>
          <w:rFonts w:ascii="Times New Roman" w:hAnsi="Times New Roman" w:cs="Times New Roman"/>
          <w:sz w:val="24"/>
          <w:szCs w:val="24"/>
        </w:rPr>
        <w:t xml:space="preserve"> </w:t>
      </w:r>
      <w:r>
        <w:rPr>
          <w:rFonts w:ascii="Times New Roman" w:hAnsi="Times New Roman" w:cs="Times New Roman"/>
          <w:sz w:val="24"/>
          <w:szCs w:val="24"/>
        </w:rPr>
        <w:t xml:space="preserve">vinculado a pesquisa exploratória, com </w:t>
      </w:r>
      <w:r w:rsidR="00B63F59">
        <w:rPr>
          <w:rFonts w:ascii="Times New Roman" w:hAnsi="Times New Roman" w:cs="Times New Roman"/>
          <w:sz w:val="24"/>
          <w:szCs w:val="24"/>
        </w:rPr>
        <w:t>os preceitos</w:t>
      </w:r>
      <w:r>
        <w:rPr>
          <w:rFonts w:ascii="Times New Roman" w:hAnsi="Times New Roman" w:cs="Times New Roman"/>
          <w:sz w:val="24"/>
          <w:szCs w:val="24"/>
        </w:rPr>
        <w:t xml:space="preserve"> de esclarecer e analisar o domínio de fato sobre crimes societários, partindo do ponto de alguns crimes que envolvem sociedades empresariais.  No decorrer da pesquisa, foram trabalhadas referências bibliográficas de artigos científicos, lei penais embasadas no caso, de modo que seja factível discorrer um melhor esclarecer do trabalho aqui apresentado.</w:t>
      </w:r>
    </w:p>
    <w:p w:rsidR="00E3735E" w:rsidRPr="005139D4" w:rsidRDefault="00E3735E" w:rsidP="00E3735E">
      <w:pPr>
        <w:spacing w:after="0" w:line="360" w:lineRule="auto"/>
        <w:ind w:firstLine="1134"/>
        <w:jc w:val="both"/>
        <w:rPr>
          <w:rFonts w:ascii="Times New Roman" w:hAnsi="Times New Roman" w:cs="Times New Roman"/>
          <w:sz w:val="24"/>
          <w:szCs w:val="24"/>
        </w:rPr>
      </w:pPr>
    </w:p>
    <w:p w:rsidR="00C82251" w:rsidRPr="008C602A" w:rsidRDefault="00C82251" w:rsidP="00C82251">
      <w:pPr>
        <w:spacing w:line="360" w:lineRule="auto"/>
        <w:jc w:val="both"/>
        <w:rPr>
          <w:rFonts w:ascii="Times New Roman" w:eastAsia="Calibri" w:hAnsi="Times New Roman" w:cs="Times New Roman"/>
          <w:b/>
          <w:sz w:val="24"/>
          <w:szCs w:val="24"/>
        </w:rPr>
      </w:pPr>
      <w:r>
        <w:rPr>
          <w:rFonts w:ascii="Times New Roman" w:hAnsi="Times New Roman" w:cs="Times New Roman"/>
          <w:b/>
          <w:sz w:val="28"/>
          <w:szCs w:val="24"/>
        </w:rPr>
        <w:t xml:space="preserve">2. </w:t>
      </w:r>
      <w:r w:rsidRPr="00C82251">
        <w:rPr>
          <w:rFonts w:ascii="Times New Roman" w:hAnsi="Times New Roman" w:cs="Times New Roman"/>
          <w:b/>
          <w:bCs/>
          <w:sz w:val="28"/>
          <w:szCs w:val="24"/>
        </w:rPr>
        <w:t>DEFINIÇÃO DO(S) INDIVÍDUOS NAS CONDUTAS REALIZADAS</w:t>
      </w:r>
      <w:r w:rsidRPr="00C82251">
        <w:rPr>
          <w:rFonts w:ascii="Times New Roman" w:eastAsia="Calibri" w:hAnsi="Times New Roman" w:cs="Times New Roman"/>
          <w:b/>
          <w:sz w:val="28"/>
          <w:szCs w:val="24"/>
        </w:rPr>
        <w:t>.</w:t>
      </w:r>
    </w:p>
    <w:p w:rsidR="00C82251" w:rsidRDefault="00C82251" w:rsidP="00C82251">
      <w:pPr>
        <w:spacing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O domínio do fato é definido neste tipo de crime devido o autor ter um suposto domínio e decisão sobre o ato, enquadrando perfeitamente sobre o autor realizador de crime societário. </w:t>
      </w:r>
      <w:r w:rsidRPr="00560B05">
        <w:rPr>
          <w:rFonts w:ascii="Times New Roman" w:hAnsi="Times New Roman" w:cs="Times New Roman"/>
          <w:sz w:val="24"/>
          <w:szCs w:val="24"/>
        </w:rPr>
        <w:t xml:space="preserve">Os autores de tal crime são os indivíduos a qual realizam determinada conduta dentro da </w:t>
      </w:r>
      <w:r>
        <w:rPr>
          <w:rFonts w:ascii="Times New Roman" w:hAnsi="Times New Roman" w:cs="Times New Roman"/>
          <w:sz w:val="24"/>
          <w:szCs w:val="24"/>
        </w:rPr>
        <w:t>relativa a uma pessoa jurídica, logo se enquadrando como um crime comum. Cesar Roberto Bitencourt, define dois tipos verbais trazidos da lei complementar 6385/76 em seu artigo 27- e para melhor explicitar a atitude dos indivíduos, ele define:</w:t>
      </w:r>
    </w:p>
    <w:p w:rsidR="00C82251" w:rsidRDefault="00C82251" w:rsidP="00C82251">
      <w:pPr>
        <w:spacing w:line="240" w:lineRule="auto"/>
        <w:ind w:left="2268"/>
        <w:jc w:val="both"/>
        <w:rPr>
          <w:rFonts w:ascii="Times New Roman" w:hAnsi="Times New Roman" w:cs="Times New Roman"/>
          <w:sz w:val="20"/>
          <w:szCs w:val="20"/>
        </w:rPr>
      </w:pPr>
      <w:r w:rsidRPr="006B1ECE">
        <w:rPr>
          <w:rFonts w:ascii="Times New Roman" w:hAnsi="Times New Roman" w:cs="Times New Roman"/>
          <w:sz w:val="20"/>
          <w:szCs w:val="20"/>
        </w:rPr>
        <w:t>O primeiro, “atuar”, contextualizado com o conteúdo da proibição, significa realizar as funções e atividades ali descritas, ou seja, operar, trabalhar e agir como “instituição integrante do sistema de distribuição, administrador de carteira coletiva ou individual, agente autônomo de investimento, auditor independente, analista de valores mo</w:t>
      </w:r>
      <w:r>
        <w:rPr>
          <w:rFonts w:ascii="Times New Roman" w:hAnsi="Times New Roman" w:cs="Times New Roman"/>
          <w:sz w:val="20"/>
          <w:szCs w:val="20"/>
        </w:rPr>
        <w:t>biliários, agente fiduciário”. O segundo verbo utilizado é ‘</w:t>
      </w:r>
      <w:r w:rsidRPr="006B1ECE">
        <w:rPr>
          <w:rFonts w:ascii="Times New Roman" w:hAnsi="Times New Roman" w:cs="Times New Roman"/>
          <w:sz w:val="20"/>
          <w:szCs w:val="20"/>
        </w:rPr>
        <w:t>exercer’, que tem exatamente a mesma conotação do verbo atuar, devendo ser compreendido como a prática de determinados atos ou como o desempenho de uma função.</w:t>
      </w:r>
      <w:r>
        <w:rPr>
          <w:rFonts w:ascii="Times New Roman" w:hAnsi="Times New Roman" w:cs="Times New Roman"/>
          <w:sz w:val="20"/>
          <w:szCs w:val="20"/>
        </w:rPr>
        <w:t xml:space="preserve"> (BITTENCOURT, 2010)</w:t>
      </w:r>
    </w:p>
    <w:p w:rsidR="00C82251" w:rsidRDefault="00C82251" w:rsidP="00C8225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definir o autor do crime Fernando Capez descreve:</w:t>
      </w:r>
    </w:p>
    <w:p w:rsidR="00C82251" w:rsidRPr="00C5419B" w:rsidRDefault="00C82251" w:rsidP="00C82251">
      <w:pPr>
        <w:spacing w:line="240" w:lineRule="auto"/>
        <w:ind w:left="2268"/>
        <w:jc w:val="both"/>
        <w:rPr>
          <w:rFonts w:ascii="Times New Roman" w:hAnsi="Times New Roman" w:cs="Times New Roman"/>
          <w:sz w:val="20"/>
          <w:szCs w:val="20"/>
        </w:rPr>
      </w:pPr>
      <w:r w:rsidRPr="00C5419B">
        <w:rPr>
          <w:rFonts w:ascii="Times New Roman" w:hAnsi="Times New Roman" w:cs="Times New Roman"/>
          <w:sz w:val="20"/>
          <w:szCs w:val="20"/>
        </w:rPr>
        <w:t>Somente é considerado autor aquele que pratica o verbo, isto é, o núcleo do tipo legal. É, portanto, o que mata, subtrai, obtém vantagem ilícita, constrange etc. Autor é quem realiza a conduta principal, entendida como tal aquela descrita na definição legal. Em contrapartida, partícipe será aquele que, sem realizar a conduta principal (o verbo), concorrer para o resultado. Assim, o mandante de um crime não é considerado seu autor, visto que não lhe competiram os atos de execução do núcleo do tipo (quem manda matar, não mata, logo, não realiza o verbo do tipo). (CAPEZ, 2012.)</w:t>
      </w:r>
    </w:p>
    <w:p w:rsidR="00C82251" w:rsidRDefault="00C82251" w:rsidP="00C8225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crime pode ser desenvolvido tanto pelo autor somente, ou atrelada a atuação de um participe, ou seja admitindo a possibilidade de uma coautoria. A presença de um autor mediato é evidente, pois esse indivíduo possui a vontade sobre a atuação, podendo utilizar </w:t>
      </w:r>
      <w:r>
        <w:rPr>
          <w:rFonts w:ascii="Times New Roman" w:hAnsi="Times New Roman" w:cs="Times New Roman"/>
          <w:sz w:val="24"/>
          <w:szCs w:val="24"/>
        </w:rPr>
        <w:lastRenderedPageBreak/>
        <w:t xml:space="preserve">como instrumento o coautor, um subordinado, que se faz meio para alcançar a sua finalidade. O autor do crime societário pode possivelmente perder o domínio do fato quando, subordinado a ele se encontra um executor, pois esse compartilha de certa forma o domínio, podendo até passar da condição de autor mediato para participe, desde que passado total parcela do domínio. </w:t>
      </w:r>
    </w:p>
    <w:p w:rsidR="00C82251" w:rsidRDefault="00C82251" w:rsidP="00C8225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coautor dentro dos crimes societários, possui uma parcela de culpa dentro do ato infracional, passando não só de apoiante do fato, mais como instrumento que desempenha uma função direta na conduta. Sem a atuação do coautor a conduta não se findaria no arquitetado.</w:t>
      </w:r>
    </w:p>
    <w:p w:rsidR="00C82251" w:rsidRDefault="00C82251" w:rsidP="00C8225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participação dentro do crime pode ser apresentada dentro da forma dolosa, quando as atitudes de ligação do autor ou coautor são queridas e tem a atenção necessária. Quando as mesmas não se fazem presente no desejo destes não se é vinculado o dolo. </w:t>
      </w:r>
    </w:p>
    <w:p w:rsidR="00C82251" w:rsidRDefault="00C82251" w:rsidP="00C8225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 apresentação sobre o caráter omissivo </w:t>
      </w:r>
      <w:r w:rsidR="00D34ECF">
        <w:rPr>
          <w:rFonts w:ascii="Times New Roman" w:hAnsi="Times New Roman" w:cs="Times New Roman"/>
          <w:sz w:val="24"/>
          <w:szCs w:val="24"/>
        </w:rPr>
        <w:t>Cezar Roberto Bittencout</w:t>
      </w:r>
      <w:r>
        <w:rPr>
          <w:rFonts w:ascii="Times New Roman" w:hAnsi="Times New Roman" w:cs="Times New Roman"/>
          <w:sz w:val="24"/>
          <w:szCs w:val="24"/>
        </w:rPr>
        <w:t xml:space="preserve"> (2010) realiza a seguinte análise:</w:t>
      </w:r>
    </w:p>
    <w:p w:rsidR="00C82251" w:rsidRPr="002031F1" w:rsidRDefault="00C82251" w:rsidP="00C82251">
      <w:pPr>
        <w:spacing w:line="240" w:lineRule="auto"/>
        <w:ind w:left="2268"/>
        <w:jc w:val="both"/>
        <w:rPr>
          <w:rFonts w:ascii="Times New Roman" w:hAnsi="Times New Roman" w:cs="Times New Roman"/>
          <w:sz w:val="20"/>
          <w:szCs w:val="20"/>
        </w:rPr>
      </w:pPr>
      <w:r w:rsidRPr="002031F1">
        <w:rPr>
          <w:rFonts w:ascii="Times New Roman" w:hAnsi="Times New Roman" w:cs="Times New Roman"/>
          <w:sz w:val="20"/>
          <w:szCs w:val="20"/>
        </w:rPr>
        <w:t>Não se pode confundir participaç</w:t>
      </w:r>
      <w:r>
        <w:rPr>
          <w:rFonts w:ascii="Times New Roman" w:hAnsi="Times New Roman" w:cs="Times New Roman"/>
          <w:sz w:val="20"/>
          <w:szCs w:val="20"/>
        </w:rPr>
        <w:t>ão em crime omissivo com parti</w:t>
      </w:r>
      <w:r w:rsidRPr="002031F1">
        <w:rPr>
          <w:rFonts w:ascii="Times New Roman" w:hAnsi="Times New Roman" w:cs="Times New Roman"/>
          <w:sz w:val="20"/>
          <w:szCs w:val="20"/>
        </w:rPr>
        <w:t>cipação por omissão em crime comissivo. A participação no crime omissivo ocorre normalmente através de um agir positivo do partícipe que favorece o autor a descumprir o comando legal (tipificador do crime omissivo)</w:t>
      </w:r>
      <w:r>
        <w:rPr>
          <w:rFonts w:ascii="Times New Roman" w:hAnsi="Times New Roman" w:cs="Times New Roman"/>
          <w:sz w:val="20"/>
          <w:szCs w:val="20"/>
        </w:rPr>
        <w:t>.</w:t>
      </w:r>
      <w:r w:rsidR="00D34ECF">
        <w:rPr>
          <w:rFonts w:ascii="Times New Roman" w:hAnsi="Times New Roman" w:cs="Times New Roman"/>
          <w:sz w:val="20"/>
          <w:szCs w:val="20"/>
        </w:rPr>
        <w:t xml:space="preserve"> </w:t>
      </w:r>
      <w:r w:rsidR="00D34ECF" w:rsidRPr="00D34ECF">
        <w:rPr>
          <w:rFonts w:ascii="Times New Roman" w:hAnsi="Times New Roman" w:cs="Times New Roman"/>
          <w:sz w:val="20"/>
          <w:szCs w:val="20"/>
        </w:rPr>
        <w:t>(BITTENCOUT, 2010)</w:t>
      </w:r>
    </w:p>
    <w:p w:rsidR="00C82251" w:rsidRPr="006B1ECE" w:rsidRDefault="00C82251" w:rsidP="00C8225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Complementando quanto a participação do indivíduo nos crimes societário o Artigo 29</w:t>
      </w:r>
      <w:r w:rsidRPr="002031F1">
        <w:rPr>
          <w:rFonts w:ascii="Times New Roman" w:hAnsi="Times New Roman" w:cs="Times New Roman"/>
          <w:sz w:val="24"/>
          <w:szCs w:val="24"/>
        </w:rPr>
        <w:t>, § 1º, do C</w:t>
      </w:r>
      <w:r>
        <w:rPr>
          <w:rFonts w:ascii="Times New Roman" w:hAnsi="Times New Roman" w:cs="Times New Roman"/>
          <w:sz w:val="24"/>
          <w:szCs w:val="24"/>
        </w:rPr>
        <w:t xml:space="preserve">ódigo </w:t>
      </w:r>
      <w:r w:rsidRPr="002031F1">
        <w:rPr>
          <w:rFonts w:ascii="Times New Roman" w:hAnsi="Times New Roman" w:cs="Times New Roman"/>
          <w:sz w:val="24"/>
          <w:szCs w:val="24"/>
        </w:rPr>
        <w:t>P</w:t>
      </w:r>
      <w:r>
        <w:rPr>
          <w:rFonts w:ascii="Times New Roman" w:hAnsi="Times New Roman" w:cs="Times New Roman"/>
          <w:sz w:val="24"/>
          <w:szCs w:val="24"/>
        </w:rPr>
        <w:t>enal brasileiro diz: “</w:t>
      </w:r>
      <w:r w:rsidRPr="002031F1">
        <w:rPr>
          <w:rFonts w:ascii="Times New Roman" w:hAnsi="Times New Roman" w:cs="Times New Roman"/>
          <w:sz w:val="24"/>
          <w:szCs w:val="24"/>
        </w:rPr>
        <w:t>Se a participação for de menor i</w:t>
      </w:r>
      <w:r>
        <w:rPr>
          <w:rFonts w:ascii="Times New Roman" w:hAnsi="Times New Roman" w:cs="Times New Roman"/>
          <w:sz w:val="24"/>
          <w:szCs w:val="24"/>
        </w:rPr>
        <w:t>mportância, a pena pode ser di</w:t>
      </w:r>
      <w:r w:rsidRPr="002031F1">
        <w:rPr>
          <w:rFonts w:ascii="Times New Roman" w:hAnsi="Times New Roman" w:cs="Times New Roman"/>
          <w:sz w:val="24"/>
          <w:szCs w:val="24"/>
        </w:rPr>
        <w:t>minuíd</w:t>
      </w:r>
      <w:r>
        <w:rPr>
          <w:rFonts w:ascii="Times New Roman" w:hAnsi="Times New Roman" w:cs="Times New Roman"/>
          <w:sz w:val="24"/>
          <w:szCs w:val="24"/>
        </w:rPr>
        <w:t>a de um sexto a um terço.”. Com isso tende uma noção que se o participe não possuir uma atuação tão expressiva sobre o crime societário, poderá ter sua pena diminuída, desde que, tenha sua posição dentro do ato definida.</w:t>
      </w:r>
    </w:p>
    <w:p w:rsidR="00C82251" w:rsidRDefault="00C82251" w:rsidP="00F44F02">
      <w:pPr>
        <w:spacing w:line="360" w:lineRule="auto"/>
        <w:jc w:val="both"/>
        <w:rPr>
          <w:rFonts w:ascii="Times New Roman" w:hAnsi="Times New Roman" w:cs="Times New Roman"/>
          <w:b/>
          <w:sz w:val="28"/>
          <w:szCs w:val="24"/>
        </w:rPr>
      </w:pPr>
    </w:p>
    <w:p w:rsidR="00F44F02" w:rsidRPr="0020071C" w:rsidRDefault="00F44F02" w:rsidP="00F44F02">
      <w:pPr>
        <w:spacing w:line="360" w:lineRule="auto"/>
        <w:jc w:val="both"/>
        <w:rPr>
          <w:rFonts w:ascii="Times New Roman" w:hAnsi="Times New Roman" w:cs="Times New Roman"/>
          <w:b/>
          <w:sz w:val="28"/>
          <w:szCs w:val="24"/>
        </w:rPr>
      </w:pPr>
      <w:r w:rsidRPr="0020071C">
        <w:rPr>
          <w:rFonts w:ascii="Times New Roman" w:hAnsi="Times New Roman" w:cs="Times New Roman"/>
          <w:b/>
          <w:bCs/>
          <w:sz w:val="28"/>
          <w:szCs w:val="24"/>
        </w:rPr>
        <w:t>2.1.CONDUTAS PARA SE CONFIGURAR CONCURSO DE PESSOAS</w:t>
      </w:r>
      <w:r w:rsidRPr="0020071C">
        <w:rPr>
          <w:rFonts w:ascii="Times New Roman" w:hAnsi="Times New Roman" w:cs="Times New Roman"/>
          <w:b/>
          <w:sz w:val="28"/>
          <w:szCs w:val="24"/>
        </w:rPr>
        <w:t xml:space="preserve"> </w:t>
      </w:r>
    </w:p>
    <w:p w:rsidR="00D34ECF" w:rsidRDefault="00D34ECF" w:rsidP="00D34E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que se efetue a realização de crimes societários, tem de haver para comprovação, uma possível denúncia. Julio Fabbrini Mirabete (2003) define o conteúdo delimitado como denúncia:</w:t>
      </w:r>
    </w:p>
    <w:p w:rsidR="00D34ECF" w:rsidRPr="00A573BC" w:rsidRDefault="00D34ECF" w:rsidP="00D34ECF">
      <w:pPr>
        <w:spacing w:line="240" w:lineRule="auto"/>
        <w:ind w:left="2268"/>
        <w:rPr>
          <w:rFonts w:ascii="Times New Roman" w:hAnsi="Times New Roman" w:cs="Times New Roman"/>
          <w:sz w:val="24"/>
          <w:szCs w:val="24"/>
        </w:rPr>
      </w:pPr>
      <w:r w:rsidRPr="00A573BC">
        <w:rPr>
          <w:rFonts w:ascii="Times New Roman" w:hAnsi="Times New Roman" w:cs="Times New Roman"/>
          <w:color w:val="000000"/>
          <w:sz w:val="20"/>
          <w:szCs w:val="20"/>
          <w:shd w:val="clear" w:color="auto" w:fill="FFFFFF"/>
        </w:rPr>
        <w:t>[...] exposição, por escrito, de fatos que constituem em tese um ilícito penal, ou seja, de fato subsumível em um tipo penal, com a manifestação expressa da vontade de que se aplique a lei penal a quem é presumivelmente o seu autor e a indicação das provas a que se alicerça.</w:t>
      </w:r>
      <w:r>
        <w:rPr>
          <w:rFonts w:ascii="Times New Roman" w:hAnsi="Times New Roman" w:cs="Times New Roman"/>
          <w:color w:val="000000"/>
          <w:sz w:val="20"/>
          <w:szCs w:val="20"/>
          <w:shd w:val="clear" w:color="auto" w:fill="FFFFFF"/>
        </w:rPr>
        <w:t xml:space="preserve"> (MIRABETE, 2003.)</w:t>
      </w:r>
      <w:r w:rsidRPr="00A573BC">
        <w:rPr>
          <w:rFonts w:ascii="Times New Roman" w:hAnsi="Times New Roman" w:cs="Times New Roman"/>
          <w:color w:val="000000"/>
          <w:sz w:val="20"/>
          <w:szCs w:val="20"/>
        </w:rPr>
        <w:br/>
      </w:r>
    </w:p>
    <w:p w:rsidR="00D34ECF" w:rsidRDefault="00D34ECF" w:rsidP="00D34E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Na lei 7.492/86, vem começar a elencar os tipos de crimes societários, definindo as condutas a qual podem ser realizadas a fim de que sejam tipificadas as condutas para melhor punir os indivíduos que podem tanto prejudicar os demais sócios quanto o próprio estado. Serão apresentados nos tocantes dos artigos da lei citada casos a qual vem se encontrar condutas que se enquadrem em concurso de pessoas e domínio do fato em crimes societários.</w:t>
      </w:r>
    </w:p>
    <w:p w:rsidR="00D34ECF" w:rsidRDefault="00D34ECF" w:rsidP="00D34E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primeiro a ser elencado encontra-se no artigo 3º da lei 7.492/86, neste, vem apresentar crimes de divulgação de informação falsa ou prejudicialmente incompleta. Dentro desta conduta pode ser observada, o principal fator a qual vai ser prejudicado é a instituição financeira, isso por que a imagem da empresa no campo dos negócios ir ser arrasada, logo afetado diretamente os demais sócios, que iram sofrer com a conduta criminosa realizada pelo autor solo ou com coautores, que incide e afeta o patrimônio alheio. </w:t>
      </w:r>
    </w:p>
    <w:p w:rsidR="00D34ECF" w:rsidRDefault="00D34ECF" w:rsidP="00D34E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Quantos aos sujeitos encontrados neste crime, Manoel Pedro Pimentel define:</w:t>
      </w:r>
    </w:p>
    <w:p w:rsidR="00D34ECF" w:rsidRPr="00E24DF2" w:rsidRDefault="00D34ECF" w:rsidP="00D34ECF">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“De dentro da instituição financei</w:t>
      </w:r>
      <w:r w:rsidRPr="00E24DF2">
        <w:rPr>
          <w:rFonts w:ascii="Times New Roman" w:hAnsi="Times New Roman" w:cs="Times New Roman"/>
          <w:sz w:val="20"/>
          <w:szCs w:val="20"/>
        </w:rPr>
        <w:t>ra para for</w:t>
      </w:r>
      <w:r>
        <w:rPr>
          <w:rFonts w:ascii="Times New Roman" w:hAnsi="Times New Roman" w:cs="Times New Roman"/>
          <w:sz w:val="20"/>
          <w:szCs w:val="20"/>
        </w:rPr>
        <w:t>a, podem cometer o crime o diretor, o gerente ou um sócio da institui</w:t>
      </w:r>
      <w:r w:rsidRPr="00E24DF2">
        <w:rPr>
          <w:rFonts w:ascii="Times New Roman" w:hAnsi="Times New Roman" w:cs="Times New Roman"/>
          <w:sz w:val="20"/>
          <w:szCs w:val="20"/>
        </w:rPr>
        <w:t>ção</w:t>
      </w:r>
      <w:r>
        <w:rPr>
          <w:rFonts w:ascii="Times New Roman" w:hAnsi="Times New Roman" w:cs="Times New Roman"/>
          <w:sz w:val="20"/>
          <w:szCs w:val="20"/>
        </w:rPr>
        <w:t xml:space="preserve"> financeira, divulgando o balanço (embora, como veremos adiante, a divulgação de balanço falso, por si só, não tipifica este crime), </w:t>
      </w:r>
      <w:r w:rsidRPr="00E24DF2">
        <w:rPr>
          <w:rFonts w:ascii="Times New Roman" w:hAnsi="Times New Roman" w:cs="Times New Roman"/>
          <w:sz w:val="20"/>
          <w:szCs w:val="20"/>
        </w:rPr>
        <w:t>sobre a situação econômica da sociedade, ou elaborando relatório incorreto, divulgando-o.”</w:t>
      </w:r>
      <w:r>
        <w:rPr>
          <w:rFonts w:ascii="Times New Roman" w:hAnsi="Times New Roman" w:cs="Times New Roman"/>
          <w:sz w:val="20"/>
          <w:szCs w:val="20"/>
        </w:rPr>
        <w:t xml:space="preserve"> [...]</w:t>
      </w:r>
      <w:r w:rsidRPr="00E24DF2">
        <w:rPr>
          <w:rFonts w:ascii="Times New Roman" w:hAnsi="Times New Roman" w:cs="Times New Roman"/>
          <w:sz w:val="20"/>
          <w:szCs w:val="20"/>
        </w:rPr>
        <w:t xml:space="preserve"> “de fora para dentro da instituição financeira, será sujeito ativo qualquer pessoa imputável que se comporte conforme a descrição do tipo penal. Nesse caso, o sujeito agirá em prejuízo da instituição financeira, divulgando informação falsa ou prejudicialmente incompleta, em detrimento da entidade, desacreditando-a.” (PIMENTEL, 1972</w:t>
      </w:r>
      <w:r>
        <w:rPr>
          <w:rFonts w:ascii="Times New Roman" w:hAnsi="Times New Roman" w:cs="Times New Roman"/>
          <w:sz w:val="20"/>
          <w:szCs w:val="20"/>
        </w:rPr>
        <w:t>,</w:t>
      </w:r>
      <w:r w:rsidRPr="00E24DF2">
        <w:rPr>
          <w:rFonts w:ascii="Times New Roman" w:hAnsi="Times New Roman" w:cs="Times New Roman"/>
          <w:sz w:val="20"/>
          <w:szCs w:val="20"/>
        </w:rPr>
        <w:t xml:space="preserve"> p.44)</w:t>
      </w:r>
    </w:p>
    <w:p w:rsidR="00D34ECF" w:rsidRDefault="00D34ECF" w:rsidP="00D34E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Continuando a dissecação de alguns casos a qual se enquadram no tema basilar dessa obra, seguido pelo artigo seguinte da lei 7.492/86 é a questão da gestão fraudulenta. Essa gestão fraudulenta denigre tanto os membros a qual estão dentro da sociedade quanto ao sistema financeiro nacional. </w:t>
      </w:r>
    </w:p>
    <w:p w:rsidR="00D34ECF" w:rsidRPr="00204DF3" w:rsidRDefault="00D34ECF" w:rsidP="00D34ECF">
      <w:pPr>
        <w:shd w:val="clear" w:color="auto" w:fill="FFFFFF"/>
        <w:spacing w:line="293" w:lineRule="atLeast"/>
        <w:ind w:firstLine="851"/>
        <w:jc w:val="both"/>
        <w:rPr>
          <w:rFonts w:ascii="Times New Roman" w:hAnsi="Times New Roman" w:cs="Times New Roman"/>
          <w:sz w:val="24"/>
          <w:szCs w:val="24"/>
        </w:rPr>
      </w:pPr>
      <w:r>
        <w:rPr>
          <w:rFonts w:ascii="Times New Roman" w:hAnsi="Times New Roman" w:cs="Times New Roman"/>
          <w:sz w:val="24"/>
          <w:szCs w:val="24"/>
        </w:rPr>
        <w:t>Quanto a não atuação dos indivíduos associados em buscar algum tipo de medida, pode ser esclarecido pelo princípio da confiança</w:t>
      </w:r>
      <w:r w:rsidRPr="00204DF3">
        <w:rPr>
          <w:rFonts w:ascii="Times New Roman" w:hAnsi="Times New Roman" w:cs="Times New Roman"/>
          <w:sz w:val="24"/>
          <w:szCs w:val="24"/>
        </w:rPr>
        <w:t xml:space="preserve">. </w:t>
      </w:r>
      <w:r>
        <w:rPr>
          <w:rFonts w:ascii="Times New Roman" w:hAnsi="Times New Roman" w:cs="Times New Roman"/>
          <w:sz w:val="24"/>
          <w:szCs w:val="24"/>
        </w:rPr>
        <w:t>Juarez Tavares realiza uma explicação a qual podemos tomar como base, ele descreve:</w:t>
      </w:r>
    </w:p>
    <w:p w:rsidR="00D34ECF" w:rsidRPr="00204DF3" w:rsidRDefault="00D34ECF" w:rsidP="00D34ECF">
      <w:pPr>
        <w:shd w:val="clear" w:color="auto" w:fill="FFFFFF"/>
        <w:ind w:left="2268" w:hanging="11"/>
        <w:jc w:val="both"/>
        <w:rPr>
          <w:rFonts w:ascii="Times New Roman" w:hAnsi="Times New Roman" w:cs="Times New Roman"/>
          <w:sz w:val="20"/>
          <w:szCs w:val="20"/>
        </w:rPr>
      </w:pPr>
      <w:r w:rsidRPr="00204DF3">
        <w:rPr>
          <w:rFonts w:ascii="Times New Roman" w:hAnsi="Times New Roman" w:cs="Times New Roman"/>
          <w:sz w:val="20"/>
          <w:szCs w:val="20"/>
        </w:rPr>
        <w:t>Segundo este princípio, todo aquele que atende adequadamente ao cuidado objetivamente exigido, pode confiar que os demais co-participantes da mesma atividade operem cuidadosamente. A consequência da aplicação deste pensamento no Direito Penal seria a de, efetivamente, conceder aos agentes uma exclusão de obrarem além do dever concreto, que lhes é imposto nas circunstâncias e nas condições existentes no momento de realizar a atividade. Como, no entanto, seria absolutamente impossível exigir-se de cada pessoa atenção, além daquela atribuível, segundo juízo concreto de adequação, vigora este princípio como limitador do dever de cuidado, precisamente no âmbito da atividade concreta. (TAVARES, 1985, p. 148).</w:t>
      </w:r>
    </w:p>
    <w:p w:rsidR="00D34ECF" w:rsidRDefault="00D34ECF" w:rsidP="00D34E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Como no caso supracitado anteriormente, tal conduta não veda a participação de terceiros, podendo essa tem uma pluralidade de pessoas atuando.</w:t>
      </w:r>
    </w:p>
    <w:p w:rsidR="00D34ECF" w:rsidRDefault="00D34ECF" w:rsidP="00D34E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analise a um exemplo, o gerente de uma determinada empresa possui o domínio do fato quanto a cometer a conduta, logo ele utiliza de opinião própria para decidir se comete a gestão fraudulenta. Tal agente pode realizar de maneira omissiva, desse que esse no seu dever incumbido de fiscalizar não a realiza, logo configurando com um crime, tanto de si quanto de um possível coautor ou participe.</w:t>
      </w:r>
    </w:p>
    <w:p w:rsidR="00D34ECF" w:rsidRDefault="00D34ECF" w:rsidP="00D34E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Utilizando do art. 5º da lei vinculante ao assunto, esta trata de apropriação indébita financeira. O que ocorre é a apropriação de coisa alheia móvel, dentro da sociedade o autor na posse de algum cargo de chefia pode realizar desvios de verba a fim de se apropriar do que não lhe é seu de direito. Sua ação tem poder de possuir uma pluralidade de agentes. A parcela de culpa é proporcional a atuação do indivíduo. </w:t>
      </w:r>
    </w:p>
    <w:p w:rsidR="00F44F02" w:rsidRPr="00821B49" w:rsidRDefault="00F44F02" w:rsidP="00F44F02">
      <w:pPr>
        <w:spacing w:line="360" w:lineRule="auto"/>
        <w:ind w:firstLine="1134"/>
        <w:jc w:val="both"/>
        <w:rPr>
          <w:rFonts w:ascii="Times New Roman" w:hAnsi="Times New Roman" w:cs="Times New Roman"/>
          <w:sz w:val="24"/>
          <w:szCs w:val="24"/>
        </w:rPr>
      </w:pPr>
    </w:p>
    <w:p w:rsidR="00F44F02" w:rsidRPr="0020071C" w:rsidRDefault="00F44F02" w:rsidP="00F44F02">
      <w:pPr>
        <w:pStyle w:val="paragraph"/>
        <w:spacing w:before="0" w:beforeAutospacing="0" w:after="200" w:afterAutospacing="0"/>
        <w:jc w:val="both"/>
        <w:textAlignment w:val="baseline"/>
        <w:rPr>
          <w:b/>
          <w:sz w:val="28"/>
        </w:rPr>
      </w:pPr>
      <w:r w:rsidRPr="0020071C">
        <w:rPr>
          <w:b/>
          <w:sz w:val="28"/>
        </w:rPr>
        <w:t xml:space="preserve">3 </w:t>
      </w:r>
      <w:r w:rsidRPr="0020071C">
        <w:rPr>
          <w:b/>
          <w:bCs/>
          <w:sz w:val="28"/>
        </w:rPr>
        <w:t>. REQUISITOS PARA HAVER CRIMES SOCIETÁRIOS E PRINCÍPIOS FUNDAMENTAIS</w:t>
      </w:r>
    </w:p>
    <w:p w:rsidR="004D5FFA" w:rsidRDefault="004D5FFA" w:rsidP="008329C1">
      <w:pPr>
        <w:spacing w:after="24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Para haver concurso de pessoas no crime societários tem que ter conduta, pois sem ela não existira o crime que está sendo abordado, e essa conduta deve ser analisada para se deve ser censurável ou reprovável. O Direito Penal vai</w:t>
      </w:r>
      <w:r w:rsidR="008329C1">
        <w:rPr>
          <w:rFonts w:ascii="Times New Roman" w:hAnsi="Times New Roman" w:cs="Times New Roman"/>
          <w:bCs/>
          <w:sz w:val="24"/>
          <w:szCs w:val="24"/>
        </w:rPr>
        <w:t xml:space="preserve"> ser</w:t>
      </w:r>
      <w:r>
        <w:rPr>
          <w:rFonts w:ascii="Times New Roman" w:hAnsi="Times New Roman" w:cs="Times New Roman"/>
          <w:bCs/>
          <w:sz w:val="24"/>
          <w:szCs w:val="24"/>
        </w:rPr>
        <w:t xml:space="preserve"> utilizado, pois é o único modo por onde pode se analisar os diversos fatores desse crime. Dessa forma, não basta apenas denunciar uma pessoa por ser sócia, o que seria suficiente para</w:t>
      </w:r>
      <w:r w:rsidR="008329C1">
        <w:rPr>
          <w:rFonts w:ascii="Times New Roman" w:hAnsi="Times New Roman" w:cs="Times New Roman"/>
          <w:bCs/>
          <w:sz w:val="24"/>
          <w:szCs w:val="24"/>
        </w:rPr>
        <w:t xml:space="preserve"> provar que está envolvida em</w:t>
      </w:r>
      <w:r>
        <w:rPr>
          <w:rFonts w:ascii="Times New Roman" w:hAnsi="Times New Roman" w:cs="Times New Roman"/>
          <w:bCs/>
          <w:sz w:val="24"/>
          <w:szCs w:val="24"/>
        </w:rPr>
        <w:t xml:space="preserve"> algum crime na sociedade empresária, mas sim denunciar quem cometeu uma conduta delituosa de forma censurável.</w:t>
      </w:r>
    </w:p>
    <w:p w:rsidR="004D5FFA" w:rsidRDefault="004D5FFA" w:rsidP="004D5FFA">
      <w:pPr>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Em vista do crime societários possuir vários agentes, </w:t>
      </w:r>
      <w:r w:rsidR="008329C1">
        <w:rPr>
          <w:rFonts w:ascii="Times New Roman" w:hAnsi="Times New Roman" w:cs="Times New Roman"/>
          <w:bCs/>
          <w:sz w:val="24"/>
          <w:szCs w:val="24"/>
        </w:rPr>
        <w:t>a</w:t>
      </w:r>
      <w:r>
        <w:rPr>
          <w:rFonts w:ascii="Times New Roman" w:hAnsi="Times New Roman" w:cs="Times New Roman"/>
          <w:bCs/>
          <w:sz w:val="24"/>
          <w:szCs w:val="24"/>
        </w:rPr>
        <w:t xml:space="preserve"> Constituição Federal não permite a acusação de pessoas que </w:t>
      </w:r>
      <w:r w:rsidR="00264A45">
        <w:rPr>
          <w:rFonts w:ascii="Times New Roman" w:hAnsi="Times New Roman" w:cs="Times New Roman"/>
          <w:bCs/>
          <w:sz w:val="24"/>
          <w:szCs w:val="24"/>
        </w:rPr>
        <w:t>seja estranha a um</w:t>
      </w:r>
      <w:r>
        <w:rPr>
          <w:rFonts w:ascii="Times New Roman" w:hAnsi="Times New Roman" w:cs="Times New Roman"/>
          <w:bCs/>
          <w:sz w:val="24"/>
          <w:szCs w:val="24"/>
        </w:rPr>
        <w:t xml:space="preserve"> crime, sem haver provas, ou ser regularmente condenado, dessa forma a pena e os princípios da culpabilidade são intransferíveis. No Direito brasileiro, também não admitisse a hipótese de responsabilidade penal objetiva, que com a ausência dele o agente só responde pelo crime se nele estiver envolvido, ao menos culposamente. Porém no campo da criminalidade econômica não a exceções para tal regra, com isso tem-se a proibição da responsabilidade objetiva com base no ordenamento jurídico e dos princípios constitucionais.</w:t>
      </w:r>
    </w:p>
    <w:p w:rsidR="004D5FFA" w:rsidRDefault="004D5FFA" w:rsidP="004D5FFA">
      <w:pPr>
        <w:spacing w:line="360" w:lineRule="auto"/>
        <w:ind w:firstLine="1134"/>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Sobre as garantias do devido processo legal, contraditória e à ampla defesa, é que no contraditório e ampla defesa, não podem ser exercidos sem que uma pessoa seja devidamente </w:t>
      </w:r>
      <w:r w:rsidR="007B63E4">
        <w:rPr>
          <w:rFonts w:ascii="Times New Roman" w:hAnsi="Times New Roman" w:cs="Times New Roman"/>
          <w:bCs/>
          <w:sz w:val="24"/>
          <w:szCs w:val="24"/>
        </w:rPr>
        <w:t>acusada</w:t>
      </w:r>
      <w:r w:rsidR="008329C1">
        <w:rPr>
          <w:rFonts w:ascii="Times New Roman" w:hAnsi="Times New Roman" w:cs="Times New Roman"/>
          <w:bCs/>
          <w:sz w:val="24"/>
          <w:szCs w:val="24"/>
        </w:rPr>
        <w:t xml:space="preserve"> se não for imputado a</w:t>
      </w:r>
      <w:r>
        <w:rPr>
          <w:rFonts w:ascii="Times New Roman" w:hAnsi="Times New Roman" w:cs="Times New Roman"/>
          <w:bCs/>
          <w:sz w:val="24"/>
          <w:szCs w:val="24"/>
        </w:rPr>
        <w:t xml:space="preserve"> um fato delituoso. Dessa forma, percebe-se que a acusação é de extrema importância para à defesa. E sobre o princípio do devido processo legal, seria violado se houvesse uma lei que possibilitasse uma acusação que infligiria princípios constitucionais fundamentais e contra a razoabilidade da legislação infraconstitucional.</w:t>
      </w:r>
    </w:p>
    <w:p w:rsidR="00C82251" w:rsidRDefault="00C82251" w:rsidP="00AB0850">
      <w:pPr>
        <w:spacing w:line="360" w:lineRule="auto"/>
        <w:jc w:val="both"/>
        <w:rPr>
          <w:rFonts w:ascii="Times New Roman" w:hAnsi="Times New Roman" w:cs="Times New Roman"/>
          <w:sz w:val="28"/>
          <w:szCs w:val="24"/>
        </w:rPr>
      </w:pPr>
    </w:p>
    <w:p w:rsidR="00776E01" w:rsidRDefault="00F44F02" w:rsidP="00AB0850">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4. DENÚNCIA GENÉRICA NOS CRIMES SOCIETÁRIOS </w:t>
      </w:r>
    </w:p>
    <w:p w:rsidR="00776E01" w:rsidRDefault="00776E01" w:rsidP="00776E01">
      <w:pPr>
        <w:spacing w:line="360" w:lineRule="auto"/>
        <w:ind w:firstLine="1134"/>
        <w:jc w:val="both"/>
        <w:rPr>
          <w:rFonts w:ascii="Times New Roman" w:hAnsi="Times New Roman" w:cs="Times New Roman"/>
          <w:sz w:val="24"/>
          <w:szCs w:val="24"/>
        </w:rPr>
      </w:pPr>
      <w:r w:rsidRPr="00776E01">
        <w:rPr>
          <w:rFonts w:ascii="Times New Roman" w:hAnsi="Times New Roman" w:cs="Times New Roman"/>
          <w:sz w:val="24"/>
          <w:szCs w:val="24"/>
        </w:rPr>
        <w:t>É de grande frequência</w:t>
      </w:r>
      <w:r>
        <w:rPr>
          <w:rFonts w:ascii="Times New Roman" w:hAnsi="Times New Roman" w:cs="Times New Roman"/>
          <w:sz w:val="24"/>
          <w:szCs w:val="24"/>
        </w:rPr>
        <w:t xml:space="preserve"> no</w:t>
      </w:r>
      <w:r w:rsidR="002670D9">
        <w:rPr>
          <w:rFonts w:ascii="Times New Roman" w:hAnsi="Times New Roman" w:cs="Times New Roman"/>
          <w:sz w:val="24"/>
          <w:szCs w:val="24"/>
        </w:rPr>
        <w:t>s</w:t>
      </w:r>
      <w:r>
        <w:rPr>
          <w:rFonts w:ascii="Times New Roman" w:hAnsi="Times New Roman" w:cs="Times New Roman"/>
          <w:sz w:val="24"/>
          <w:szCs w:val="24"/>
        </w:rPr>
        <w:t xml:space="preserve"> casos de crimes societários não atribuir ao réu agente comportamento criminoso, mas sim a condição de possuir a função de sócio-gerente da empresa, ao invés da sua prática que resultou em um delito penal. Contudo, ser sócio-gerente não configura crime, de acordo com o Código Penal, mas sim ações ou omissões que esta pessoa viria a cometer na sociedade.</w:t>
      </w:r>
    </w:p>
    <w:p w:rsidR="00776E01" w:rsidRDefault="00776E01" w:rsidP="00776E0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cabe ao Promotor de Justiça </w:t>
      </w:r>
      <w:r w:rsidR="00A85634">
        <w:rPr>
          <w:rFonts w:ascii="Times New Roman" w:hAnsi="Times New Roman" w:cs="Times New Roman"/>
          <w:sz w:val="24"/>
          <w:szCs w:val="24"/>
        </w:rPr>
        <w:t>descrever, todas as ações ou omissões que o agente tenha realizado, consciente e voluntariamente, para que possa ser enquadrado a algum crime societário.</w:t>
      </w:r>
    </w:p>
    <w:p w:rsidR="00A85634" w:rsidRDefault="00A85634" w:rsidP="00776E0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que o Supremo Tribunal Federal, que insiste na indispensabilidade de descrever, na Inicial Acusatória, com precisão, a participação individual de casa denunciado: </w:t>
      </w:r>
    </w:p>
    <w:p w:rsidR="00A85634" w:rsidRPr="00A85634" w:rsidRDefault="00A85634" w:rsidP="00A85634">
      <w:pPr>
        <w:spacing w:after="0" w:line="240" w:lineRule="auto"/>
        <w:ind w:left="2268"/>
        <w:jc w:val="both"/>
        <w:rPr>
          <w:rFonts w:ascii="Times New Roman" w:hAnsi="Times New Roman" w:cs="Times New Roman"/>
          <w:sz w:val="20"/>
          <w:szCs w:val="24"/>
        </w:rPr>
      </w:pPr>
      <w:r w:rsidRPr="00A85634">
        <w:rPr>
          <w:rFonts w:ascii="Times New Roman" w:hAnsi="Times New Roman" w:cs="Times New Roman"/>
          <w:sz w:val="20"/>
          <w:szCs w:val="24"/>
        </w:rPr>
        <w:t>"Discriminar a participação de cada co-réu é de todo necessária (...), porque, se, em certos ca</w:t>
      </w:r>
      <w:r>
        <w:rPr>
          <w:rFonts w:ascii="Times New Roman" w:hAnsi="Times New Roman" w:cs="Times New Roman"/>
          <w:sz w:val="20"/>
          <w:szCs w:val="24"/>
        </w:rPr>
        <w:t xml:space="preserve">sos, a simples associação pode </w:t>
      </w:r>
      <w:r w:rsidRPr="00A85634">
        <w:rPr>
          <w:rFonts w:ascii="Times New Roman" w:hAnsi="Times New Roman" w:cs="Times New Roman"/>
          <w:sz w:val="20"/>
          <w:szCs w:val="24"/>
        </w:rPr>
        <w:t>constituir um delito per se, na maioria deles</w:t>
      </w:r>
      <w:r>
        <w:rPr>
          <w:rFonts w:ascii="Times New Roman" w:hAnsi="Times New Roman" w:cs="Times New Roman"/>
          <w:sz w:val="20"/>
          <w:szCs w:val="24"/>
        </w:rPr>
        <w:t xml:space="preserve"> a natureza da participação de </w:t>
      </w:r>
      <w:r w:rsidRPr="00A85634">
        <w:rPr>
          <w:rFonts w:ascii="Times New Roman" w:hAnsi="Times New Roman" w:cs="Times New Roman"/>
          <w:sz w:val="20"/>
          <w:szCs w:val="24"/>
        </w:rPr>
        <w:t>cada um, na produção do evento cr</w:t>
      </w:r>
      <w:r>
        <w:rPr>
          <w:rFonts w:ascii="Times New Roman" w:hAnsi="Times New Roman" w:cs="Times New Roman"/>
          <w:sz w:val="20"/>
          <w:szCs w:val="24"/>
        </w:rPr>
        <w:t xml:space="preserve">iminoso, é que determina a sua </w:t>
      </w:r>
      <w:r w:rsidRPr="00A85634">
        <w:rPr>
          <w:rFonts w:ascii="Times New Roman" w:hAnsi="Times New Roman" w:cs="Times New Roman"/>
          <w:sz w:val="20"/>
          <w:szCs w:val="24"/>
        </w:rPr>
        <w:t>responsabilidade, porque alguém pode</w:t>
      </w:r>
      <w:r>
        <w:rPr>
          <w:rFonts w:ascii="Times New Roman" w:hAnsi="Times New Roman" w:cs="Times New Roman"/>
          <w:sz w:val="20"/>
          <w:szCs w:val="24"/>
        </w:rPr>
        <w:t xml:space="preserve"> pertencer ao mesmo grupo, sem </w:t>
      </w:r>
      <w:r w:rsidRPr="00A85634">
        <w:rPr>
          <w:rFonts w:ascii="Times New Roman" w:hAnsi="Times New Roman" w:cs="Times New Roman"/>
          <w:sz w:val="20"/>
          <w:szCs w:val="24"/>
        </w:rPr>
        <w:t>concorrer para o delito, praticando</w:t>
      </w:r>
      <w:r>
        <w:rPr>
          <w:rFonts w:ascii="Times New Roman" w:hAnsi="Times New Roman" w:cs="Times New Roman"/>
          <w:sz w:val="20"/>
          <w:szCs w:val="24"/>
        </w:rPr>
        <w:t xml:space="preserve">, por exemplo, atos penalmentes </w:t>
      </w:r>
      <w:r w:rsidRPr="00A85634">
        <w:rPr>
          <w:rFonts w:ascii="Times New Roman" w:hAnsi="Times New Roman" w:cs="Times New Roman"/>
          <w:sz w:val="20"/>
          <w:szCs w:val="24"/>
        </w:rPr>
        <w:t>irrelevante, ou nenhum. Aliás, a necessidade d</w:t>
      </w:r>
      <w:r>
        <w:rPr>
          <w:rFonts w:ascii="Times New Roman" w:hAnsi="Times New Roman" w:cs="Times New Roman"/>
          <w:sz w:val="20"/>
          <w:szCs w:val="24"/>
        </w:rPr>
        <w:t xml:space="preserve">e se definir a participação de </w:t>
      </w:r>
      <w:r w:rsidRPr="00A85634">
        <w:rPr>
          <w:rFonts w:ascii="Times New Roman" w:hAnsi="Times New Roman" w:cs="Times New Roman"/>
          <w:sz w:val="20"/>
          <w:szCs w:val="24"/>
        </w:rPr>
        <w:t>cada um resulta da própria Constitui</w:t>
      </w:r>
      <w:r>
        <w:rPr>
          <w:rFonts w:ascii="Times New Roman" w:hAnsi="Times New Roman" w:cs="Times New Roman"/>
          <w:sz w:val="20"/>
          <w:szCs w:val="24"/>
        </w:rPr>
        <w:t xml:space="preserve">ção, porque a responsabilidade </w:t>
      </w:r>
      <w:r w:rsidRPr="00A85634">
        <w:rPr>
          <w:rFonts w:ascii="Times New Roman" w:hAnsi="Times New Roman" w:cs="Times New Roman"/>
          <w:sz w:val="20"/>
          <w:szCs w:val="24"/>
        </w:rPr>
        <w:t>criminal é pessoal, não transcende da pessoa do deliqüente (...). É preciso,</w:t>
      </w:r>
      <w:r>
        <w:rPr>
          <w:rFonts w:ascii="Times New Roman" w:hAnsi="Times New Roman" w:cs="Times New Roman"/>
          <w:sz w:val="20"/>
          <w:szCs w:val="24"/>
        </w:rPr>
        <w:t xml:space="preserve"> </w:t>
      </w:r>
      <w:r w:rsidRPr="00A85634">
        <w:rPr>
          <w:rFonts w:ascii="Times New Roman" w:hAnsi="Times New Roman" w:cs="Times New Roman"/>
          <w:sz w:val="20"/>
          <w:szCs w:val="24"/>
        </w:rPr>
        <w:t>portanto, que se comprove que algué</w:t>
      </w:r>
      <w:r>
        <w:rPr>
          <w:rFonts w:ascii="Times New Roman" w:hAnsi="Times New Roman" w:cs="Times New Roman"/>
          <w:sz w:val="20"/>
          <w:szCs w:val="24"/>
        </w:rPr>
        <w:t xml:space="preserve">m concorreu com ato seu para o </w:t>
      </w:r>
      <w:r w:rsidRPr="00A85634">
        <w:rPr>
          <w:rFonts w:ascii="Times New Roman" w:hAnsi="Times New Roman" w:cs="Times New Roman"/>
          <w:sz w:val="20"/>
          <w:szCs w:val="24"/>
        </w:rPr>
        <w:t>crime". (RTJ 35/517, 534. Relator Ministro Victor Nunes Leal).</w:t>
      </w:r>
    </w:p>
    <w:p w:rsidR="00A17A4E" w:rsidRDefault="00A17A4E" w:rsidP="00776E01">
      <w:pPr>
        <w:spacing w:line="360" w:lineRule="auto"/>
        <w:jc w:val="both"/>
        <w:rPr>
          <w:rFonts w:ascii="Times New Roman" w:hAnsi="Times New Roman" w:cs="Times New Roman"/>
          <w:b/>
          <w:sz w:val="28"/>
          <w:szCs w:val="24"/>
        </w:rPr>
      </w:pPr>
    </w:p>
    <w:p w:rsidR="00A17A4E" w:rsidRDefault="00A17A4E" w:rsidP="00A17A4E">
      <w:pPr>
        <w:spacing w:line="360" w:lineRule="auto"/>
        <w:ind w:firstLine="1134"/>
        <w:jc w:val="both"/>
        <w:rPr>
          <w:rFonts w:ascii="Times New Roman" w:hAnsi="Times New Roman" w:cs="Times New Roman"/>
          <w:sz w:val="24"/>
          <w:szCs w:val="24"/>
        </w:rPr>
      </w:pPr>
      <w:r w:rsidRPr="00A17A4E">
        <w:rPr>
          <w:rFonts w:ascii="Times New Roman" w:hAnsi="Times New Roman" w:cs="Times New Roman"/>
          <w:sz w:val="24"/>
          <w:szCs w:val="24"/>
        </w:rPr>
        <w:t xml:space="preserve">A </w:t>
      </w:r>
      <w:r>
        <w:rPr>
          <w:rFonts w:ascii="Times New Roman" w:hAnsi="Times New Roman" w:cs="Times New Roman"/>
          <w:sz w:val="24"/>
          <w:szCs w:val="24"/>
        </w:rPr>
        <w:t>especificação dos atos de cada denunciado também é importante pelo fato de que não posso transferir sua responsabilidade</w:t>
      </w:r>
      <w:r w:rsidR="009D4C16">
        <w:rPr>
          <w:rFonts w:ascii="Times New Roman" w:hAnsi="Times New Roman" w:cs="Times New Roman"/>
          <w:sz w:val="24"/>
          <w:szCs w:val="24"/>
        </w:rPr>
        <w:t xml:space="preserve"> penal para outra pessoa </w:t>
      </w:r>
      <w:r>
        <w:rPr>
          <w:rFonts w:ascii="Times New Roman" w:hAnsi="Times New Roman" w:cs="Times New Roman"/>
          <w:sz w:val="24"/>
          <w:szCs w:val="24"/>
        </w:rPr>
        <w:t xml:space="preserve">que não teve envolvimento no caso, além </w:t>
      </w:r>
      <w:r w:rsidR="009D4C16">
        <w:rPr>
          <w:rFonts w:ascii="Times New Roman" w:hAnsi="Times New Roman" w:cs="Times New Roman"/>
          <w:sz w:val="24"/>
          <w:szCs w:val="24"/>
        </w:rPr>
        <w:t>de ser uma séria ofensa</w:t>
      </w:r>
      <w:r>
        <w:rPr>
          <w:rFonts w:ascii="Times New Roman" w:hAnsi="Times New Roman" w:cs="Times New Roman"/>
          <w:sz w:val="24"/>
          <w:szCs w:val="24"/>
        </w:rPr>
        <w:t xml:space="preserve"> </w:t>
      </w:r>
      <w:r w:rsidR="009D4C16">
        <w:rPr>
          <w:rFonts w:ascii="Times New Roman" w:hAnsi="Times New Roman" w:cs="Times New Roman"/>
          <w:sz w:val="24"/>
          <w:szCs w:val="24"/>
        </w:rPr>
        <w:t>a</w:t>
      </w:r>
      <w:r>
        <w:rPr>
          <w:rFonts w:ascii="Times New Roman" w:hAnsi="Times New Roman" w:cs="Times New Roman"/>
          <w:sz w:val="24"/>
          <w:szCs w:val="24"/>
        </w:rPr>
        <w:t xml:space="preserve">os princípios </w:t>
      </w:r>
      <w:r w:rsidR="009D4C16">
        <w:rPr>
          <w:rFonts w:ascii="Times New Roman" w:hAnsi="Times New Roman" w:cs="Times New Roman"/>
          <w:sz w:val="24"/>
          <w:szCs w:val="24"/>
        </w:rPr>
        <w:t xml:space="preserve">da Constituição Federal de </w:t>
      </w:r>
      <w:r w:rsidR="009D4C16">
        <w:rPr>
          <w:rFonts w:ascii="Times New Roman" w:hAnsi="Times New Roman" w:cs="Times New Roman"/>
          <w:sz w:val="24"/>
          <w:szCs w:val="24"/>
        </w:rPr>
        <w:lastRenderedPageBreak/>
        <w:t>1988, como o princípio do devido processo legal, da ampla defesa, do contraditório, da dignidade da pessoa humana e da presunção da inocência, bem como infringência aos artigos 8º, item 2, letra “b”, da Convenção Americana de Direitos Humanos (Pacto de San José da Costa Rica) e 41 do Código de Processo Penal.</w:t>
      </w:r>
    </w:p>
    <w:p w:rsidR="009D4C16" w:rsidRDefault="009D4C16" w:rsidP="00A17A4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como a decisão do Supremo Tribunal Federal, parte da doutrina que entende-se como a mais usada, compartilha da mesma opinião, de que em crimes societários, é inadmissível a denúncia genérica, bem como Heleno Cláudio Fragoso, Damásio E. de Jesus, Manoel Pedro Pimentel, dentre vários outros.</w:t>
      </w:r>
    </w:p>
    <w:p w:rsidR="00F44F02" w:rsidRPr="00F44F02" w:rsidRDefault="00F44F02" w:rsidP="00F44F02">
      <w:pPr>
        <w:spacing w:after="0" w:line="360" w:lineRule="auto"/>
        <w:ind w:firstLine="1134"/>
        <w:jc w:val="both"/>
        <w:rPr>
          <w:rFonts w:ascii="Times New Roman" w:hAnsi="Times New Roman" w:cs="Times New Roman"/>
          <w:sz w:val="24"/>
          <w:szCs w:val="24"/>
        </w:rPr>
      </w:pPr>
      <w:r w:rsidRPr="00F44F02">
        <w:rPr>
          <w:rFonts w:ascii="Times New Roman" w:hAnsi="Times New Roman" w:cs="Times New Roman"/>
          <w:sz w:val="24"/>
          <w:szCs w:val="24"/>
        </w:rPr>
        <w:t xml:space="preserve">Jose Afonso da Silva ao tratar das garantias constitucionais individuais à luz da nova Constituição Federal, escreve: </w:t>
      </w:r>
    </w:p>
    <w:p w:rsidR="00F44F02" w:rsidRDefault="00F44F02" w:rsidP="00F44F02">
      <w:pPr>
        <w:spacing w:after="0" w:line="240" w:lineRule="auto"/>
        <w:ind w:firstLine="1134"/>
        <w:jc w:val="both"/>
        <w:rPr>
          <w:rFonts w:ascii="Times New Roman" w:hAnsi="Times New Roman" w:cs="Times New Roman"/>
          <w:sz w:val="20"/>
          <w:szCs w:val="24"/>
        </w:rPr>
      </w:pPr>
    </w:p>
    <w:p w:rsidR="0005026A" w:rsidRPr="00F44F02" w:rsidRDefault="00F44F02" w:rsidP="00F44F02">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O princípio do </w:t>
      </w:r>
      <w:r w:rsidRPr="00F44F02">
        <w:rPr>
          <w:rFonts w:ascii="Times New Roman" w:hAnsi="Times New Roman" w:cs="Times New Roman"/>
          <w:sz w:val="20"/>
          <w:szCs w:val="24"/>
        </w:rPr>
        <w:t>devido processo legal entra agora no Direito Constitucional p</w:t>
      </w:r>
      <w:r>
        <w:rPr>
          <w:rFonts w:ascii="Times New Roman" w:hAnsi="Times New Roman" w:cs="Times New Roman"/>
          <w:sz w:val="20"/>
          <w:szCs w:val="24"/>
        </w:rPr>
        <w:t xml:space="preserve">ositivo com um </w:t>
      </w:r>
      <w:r w:rsidRPr="00F44F02">
        <w:rPr>
          <w:rFonts w:ascii="Times New Roman" w:hAnsi="Times New Roman" w:cs="Times New Roman"/>
          <w:sz w:val="20"/>
          <w:szCs w:val="24"/>
        </w:rPr>
        <w:t xml:space="preserve">enunciado </w:t>
      </w:r>
      <w:r>
        <w:rPr>
          <w:rFonts w:ascii="Times New Roman" w:hAnsi="Times New Roman" w:cs="Times New Roman"/>
          <w:sz w:val="20"/>
          <w:szCs w:val="24"/>
        </w:rPr>
        <w:t xml:space="preserve">que vem da Magna Carta inglesa: ninguém será privado da </w:t>
      </w:r>
      <w:r w:rsidRPr="00F44F02">
        <w:rPr>
          <w:rFonts w:ascii="Times New Roman" w:hAnsi="Times New Roman" w:cs="Times New Roman"/>
          <w:sz w:val="20"/>
          <w:szCs w:val="24"/>
        </w:rPr>
        <w:t>liberdade ou de seus bens sem o devido</w:t>
      </w:r>
      <w:r>
        <w:rPr>
          <w:rFonts w:ascii="Times New Roman" w:hAnsi="Times New Roman" w:cs="Times New Roman"/>
          <w:sz w:val="20"/>
          <w:szCs w:val="24"/>
        </w:rPr>
        <w:t xml:space="preserve"> processo legal (art. 5º LIV). </w:t>
      </w:r>
      <w:r w:rsidRPr="00F44F02">
        <w:rPr>
          <w:rFonts w:ascii="Times New Roman" w:hAnsi="Times New Roman" w:cs="Times New Roman"/>
          <w:sz w:val="20"/>
          <w:szCs w:val="24"/>
        </w:rPr>
        <w:t>Combinado com o direito de acesso</w:t>
      </w:r>
      <w:r>
        <w:rPr>
          <w:rFonts w:ascii="Times New Roman" w:hAnsi="Times New Roman" w:cs="Times New Roman"/>
          <w:sz w:val="20"/>
          <w:szCs w:val="24"/>
        </w:rPr>
        <w:t xml:space="preserve"> à Justiça (art. 5º, XXXV) e o </w:t>
      </w:r>
      <w:r w:rsidRPr="00F44F02">
        <w:rPr>
          <w:rFonts w:ascii="Times New Roman" w:hAnsi="Times New Roman" w:cs="Times New Roman"/>
          <w:sz w:val="20"/>
          <w:szCs w:val="24"/>
        </w:rPr>
        <w:t>contraditório e a plenitude da defesa (art.</w:t>
      </w:r>
      <w:r>
        <w:rPr>
          <w:rFonts w:ascii="Times New Roman" w:hAnsi="Times New Roman" w:cs="Times New Roman"/>
          <w:sz w:val="20"/>
          <w:szCs w:val="24"/>
        </w:rPr>
        <w:t xml:space="preserve"> 5º, LV), fecha-se o ciclo das </w:t>
      </w:r>
      <w:r w:rsidRPr="00F44F02">
        <w:rPr>
          <w:rFonts w:ascii="Times New Roman" w:hAnsi="Times New Roman" w:cs="Times New Roman"/>
          <w:sz w:val="20"/>
          <w:szCs w:val="24"/>
        </w:rPr>
        <w:t>garantias processuais. Garante-se o</w:t>
      </w:r>
      <w:r>
        <w:rPr>
          <w:rFonts w:ascii="Times New Roman" w:hAnsi="Times New Roman" w:cs="Times New Roman"/>
          <w:sz w:val="20"/>
          <w:szCs w:val="24"/>
        </w:rPr>
        <w:t xml:space="preserve"> processo, e quando se fala em </w:t>
      </w:r>
      <w:r w:rsidRPr="00F44F02">
        <w:rPr>
          <w:rFonts w:ascii="Times New Roman" w:hAnsi="Times New Roman" w:cs="Times New Roman"/>
          <w:sz w:val="20"/>
          <w:szCs w:val="24"/>
        </w:rPr>
        <w:t>‘processo’, e não em simples procedi</w:t>
      </w:r>
      <w:r>
        <w:rPr>
          <w:rFonts w:ascii="Times New Roman" w:hAnsi="Times New Roman" w:cs="Times New Roman"/>
          <w:sz w:val="20"/>
          <w:szCs w:val="24"/>
        </w:rPr>
        <w:t xml:space="preserve">mento, alude-se, sem dúvida, a </w:t>
      </w:r>
      <w:r w:rsidRPr="00F44F02">
        <w:rPr>
          <w:rFonts w:ascii="Times New Roman" w:hAnsi="Times New Roman" w:cs="Times New Roman"/>
          <w:sz w:val="20"/>
          <w:szCs w:val="24"/>
        </w:rPr>
        <w:t xml:space="preserve">formas instrumentais adequadas, a fim de </w:t>
      </w:r>
      <w:r>
        <w:rPr>
          <w:rFonts w:ascii="Times New Roman" w:hAnsi="Times New Roman" w:cs="Times New Roman"/>
          <w:sz w:val="20"/>
          <w:szCs w:val="24"/>
        </w:rPr>
        <w:t xml:space="preserve">que a prestação jurisdicional, </w:t>
      </w:r>
      <w:r w:rsidRPr="00F44F02">
        <w:rPr>
          <w:rFonts w:ascii="Times New Roman" w:hAnsi="Times New Roman" w:cs="Times New Roman"/>
          <w:sz w:val="20"/>
          <w:szCs w:val="24"/>
        </w:rPr>
        <w:t>quando entregue pelo Estado, dê a c</w:t>
      </w:r>
      <w:r>
        <w:rPr>
          <w:rFonts w:ascii="Times New Roman" w:hAnsi="Times New Roman" w:cs="Times New Roman"/>
          <w:sz w:val="20"/>
          <w:szCs w:val="24"/>
        </w:rPr>
        <w:t xml:space="preserve">ada um o que é seu, segundo os </w:t>
      </w:r>
      <w:r w:rsidRPr="00F44F02">
        <w:rPr>
          <w:rFonts w:ascii="Times New Roman" w:hAnsi="Times New Roman" w:cs="Times New Roman"/>
          <w:sz w:val="20"/>
          <w:szCs w:val="24"/>
        </w:rPr>
        <w:t xml:space="preserve">imperativos da ordem jurídica. E isso envolve </w:t>
      </w:r>
      <w:r>
        <w:rPr>
          <w:rFonts w:ascii="Times New Roman" w:hAnsi="Times New Roman" w:cs="Times New Roman"/>
          <w:sz w:val="20"/>
          <w:szCs w:val="24"/>
        </w:rPr>
        <w:t xml:space="preserve">a garantia do contraditório, a </w:t>
      </w:r>
      <w:r w:rsidRPr="00F44F02">
        <w:rPr>
          <w:rFonts w:ascii="Times New Roman" w:hAnsi="Times New Roman" w:cs="Times New Roman"/>
          <w:sz w:val="20"/>
          <w:szCs w:val="24"/>
        </w:rPr>
        <w:t>plenitude do direito de defesa, a isonomia pro</w:t>
      </w:r>
      <w:r>
        <w:rPr>
          <w:rFonts w:ascii="Times New Roman" w:hAnsi="Times New Roman" w:cs="Times New Roman"/>
          <w:sz w:val="20"/>
          <w:szCs w:val="24"/>
        </w:rPr>
        <w:t xml:space="preserve">cessual e a bilateralidade dos </w:t>
      </w:r>
      <w:r w:rsidRPr="00F44F02">
        <w:rPr>
          <w:rFonts w:ascii="Times New Roman" w:hAnsi="Times New Roman" w:cs="Times New Roman"/>
          <w:sz w:val="20"/>
          <w:szCs w:val="24"/>
        </w:rPr>
        <w:t>atos procedimentais, conforme autorizada liç</w:t>
      </w:r>
      <w:r>
        <w:rPr>
          <w:rFonts w:ascii="Times New Roman" w:hAnsi="Times New Roman" w:cs="Times New Roman"/>
          <w:sz w:val="20"/>
          <w:szCs w:val="24"/>
        </w:rPr>
        <w:t>ão de Frederico Marques</w:t>
      </w:r>
      <w:r w:rsidRPr="00F44F02">
        <w:rPr>
          <w:rFonts w:ascii="Times New Roman" w:hAnsi="Times New Roman" w:cs="Times New Roman"/>
          <w:sz w:val="20"/>
          <w:szCs w:val="24"/>
        </w:rPr>
        <w:t>.</w:t>
      </w:r>
      <w:r>
        <w:rPr>
          <w:rFonts w:ascii="Times New Roman" w:hAnsi="Times New Roman" w:cs="Times New Roman"/>
          <w:sz w:val="20"/>
          <w:szCs w:val="24"/>
        </w:rPr>
        <w:t xml:space="preserve"> (SILVA, 1993, p. 378)</w:t>
      </w:r>
    </w:p>
    <w:p w:rsidR="009D4C16" w:rsidRDefault="009D4C16" w:rsidP="00F44F02">
      <w:pPr>
        <w:spacing w:line="360" w:lineRule="auto"/>
        <w:jc w:val="both"/>
        <w:rPr>
          <w:rFonts w:ascii="Times New Roman" w:hAnsi="Times New Roman" w:cs="Times New Roman"/>
          <w:sz w:val="24"/>
          <w:szCs w:val="24"/>
        </w:rPr>
      </w:pPr>
    </w:p>
    <w:p w:rsidR="00F44F02" w:rsidRDefault="002670D9" w:rsidP="00F44F0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como José Afonso da Silva escreveu, processo não diz respeito apenas em assegurar a regularidade do processo, mas também em condicionar, no mérito, a validade das leis e a generalidade das ações do poder público, assim, cada pessoa </w:t>
      </w:r>
      <w:r w:rsidR="007B63E4">
        <w:rPr>
          <w:rFonts w:ascii="Times New Roman" w:hAnsi="Times New Roman" w:cs="Times New Roman"/>
          <w:sz w:val="24"/>
          <w:szCs w:val="24"/>
        </w:rPr>
        <w:t>seria</w:t>
      </w:r>
      <w:r>
        <w:rPr>
          <w:rFonts w:ascii="Times New Roman" w:hAnsi="Times New Roman" w:cs="Times New Roman"/>
          <w:sz w:val="24"/>
          <w:szCs w:val="24"/>
        </w:rPr>
        <w:t xml:space="preserve"> julgada pelo o que cometeu, tomando como exemplo os crimes societários.</w:t>
      </w:r>
    </w:p>
    <w:p w:rsidR="002670D9" w:rsidRDefault="00493634" w:rsidP="0049363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 lembrar que o artigo 41 do Código de Processo Penal, dispõe, que na denúncia ou queixa terá que conter todas as circunstâncias para que possa identificar o acusado, classificando de maneira correta no crime, por ele cometido. A acusação genérica também ofende os postulados constitucionais do contraditório e ampla defesa, constando no artigo 5º, inciso LVI, da Constituição Federal. Se o agente for acusado injustamente, este não terá como orientar o interrogatório, a defesa prévia e o requerimento de provas.</w:t>
      </w:r>
    </w:p>
    <w:p w:rsidR="00B63F59" w:rsidRDefault="00D12606" w:rsidP="00A17A4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é de grande relevância que na descrição do fato delituoso esteja presente todas as suas circunstâncias, pois se tiver incompleta, gera a inépcia da denúncia e </w:t>
      </w:r>
      <w:r>
        <w:rPr>
          <w:rFonts w:ascii="Times New Roman" w:hAnsi="Times New Roman" w:cs="Times New Roman"/>
          <w:sz w:val="24"/>
          <w:szCs w:val="24"/>
        </w:rPr>
        <w:lastRenderedPageBreak/>
        <w:t>nulidade do processo, o que vai contra o Princípio da Economia, que tem como um dos objetivos a diminuição do custo processual.</w:t>
      </w:r>
    </w:p>
    <w:p w:rsidR="00D34ECF" w:rsidRDefault="00D34ECF" w:rsidP="00C82251">
      <w:pPr>
        <w:spacing w:line="360" w:lineRule="auto"/>
        <w:jc w:val="both"/>
        <w:rPr>
          <w:rFonts w:ascii="Times New Roman" w:hAnsi="Times New Roman" w:cs="Times New Roman"/>
          <w:b/>
          <w:sz w:val="24"/>
          <w:szCs w:val="24"/>
        </w:rPr>
      </w:pPr>
    </w:p>
    <w:p w:rsidR="00B63F59" w:rsidRDefault="00C82251" w:rsidP="00C82251">
      <w:pPr>
        <w:spacing w:line="360" w:lineRule="auto"/>
        <w:jc w:val="both"/>
        <w:rPr>
          <w:rFonts w:ascii="Times New Roman" w:hAnsi="Times New Roman" w:cs="Times New Roman"/>
          <w:b/>
          <w:sz w:val="24"/>
          <w:szCs w:val="24"/>
        </w:rPr>
      </w:pPr>
      <w:r>
        <w:rPr>
          <w:rFonts w:ascii="Times New Roman" w:hAnsi="Times New Roman" w:cs="Times New Roman"/>
          <w:b/>
          <w:sz w:val="24"/>
          <w:szCs w:val="24"/>
        </w:rPr>
        <w:t>5. POSICIONAMENTO DE</w:t>
      </w:r>
      <w:r w:rsidR="000C4690">
        <w:rPr>
          <w:rFonts w:ascii="Times New Roman" w:hAnsi="Times New Roman" w:cs="Times New Roman"/>
          <w:b/>
          <w:sz w:val="24"/>
          <w:szCs w:val="24"/>
        </w:rPr>
        <w:t xml:space="preserve"> CLAUS</w:t>
      </w:r>
      <w:r>
        <w:rPr>
          <w:rFonts w:ascii="Times New Roman" w:hAnsi="Times New Roman" w:cs="Times New Roman"/>
          <w:b/>
          <w:sz w:val="24"/>
          <w:szCs w:val="24"/>
        </w:rPr>
        <w:t xml:space="preserve"> ROXIN SOBRE O DOMÍNIO DO FATO.</w:t>
      </w:r>
    </w:p>
    <w:p w:rsidR="00543699" w:rsidRDefault="00543699" w:rsidP="0054369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Roxin foi um autor que mais se destacou em relação a esse conteúdo, pois ele em seus trabalhos foi o que mais aprofundou e é a principal referencia com relação a esse tema. Para ele, não poderia haver um autor mediato por trás de autor plenamente responsável pelo ilícito penal. Por exemplo, uma pessoa que cometeu um crime é o possuidor do domínio do fato e este é responsável pela sua conduta e considerado responsável como autor. Roxin afirma que a pessoa que da a ordem, não pode ser denominado como o possuidor do domínio do fato e sim aquele que a seguiu</w:t>
      </w:r>
      <w:r w:rsidR="00B609FE">
        <w:rPr>
          <w:rFonts w:ascii="Times New Roman" w:hAnsi="Times New Roman" w:cs="Times New Roman"/>
          <w:sz w:val="24"/>
          <w:szCs w:val="24"/>
        </w:rPr>
        <w:t>.</w:t>
      </w:r>
    </w:p>
    <w:p w:rsidR="00E5087D" w:rsidRDefault="00E5087D" w:rsidP="0054369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Essa ideia se apoia em três erros, sobre o instrumento que possibilita ao homem de trás a execução de suas ordens, mas não é só ele que com suas próprias mãos pratica um ilícito penal</w:t>
      </w:r>
      <w:r w:rsidR="001A27BF">
        <w:rPr>
          <w:rFonts w:ascii="Times New Roman" w:hAnsi="Times New Roman" w:cs="Times New Roman"/>
          <w:sz w:val="24"/>
          <w:szCs w:val="24"/>
        </w:rPr>
        <w:t>. O verdadeiro instrumento é o aparato. Esse está composto por uma pluralidade de pessoas que possuem diversas funções relativa à organização e com esse encadeamento garante ao homem de trás o domínio sobre o resultado, porém o que atua individualmente não é responsável por um papel importante para o atuar da organização.</w:t>
      </w:r>
    </w:p>
    <w:p w:rsidR="001A27BF" w:rsidRDefault="001A27BF" w:rsidP="0054369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segundo lugar, dessa visão deriva que o executor e o homem de trás possuem diferentes tipos de domínio do fato. Quem pratica o ilícito penal é rotulado como domínio de ação e o homem de trás, tem o domínio de organização, que garante a produção do resultado, sem fazê-lo com suas próprias mãos. </w:t>
      </w:r>
    </w:p>
    <w:p w:rsidR="001A27BF" w:rsidRDefault="001A27BF" w:rsidP="0054369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terceiro lugar, a partir das circunstâncias mencionadas acima, conclui-se que torna plausível uma autoria mediata. Não é só por quaisquer déficits do instrumento que se deduz autoria e domínio do fato, mas sim fundamentá-las positivamente a partir da posição do autor em todo o evento </w:t>
      </w:r>
    </w:p>
    <w:p w:rsidR="007833DA" w:rsidRDefault="007833DA" w:rsidP="0054369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Roxin também dissertou sobre o domínio da organização, ou seja, aquele que da a ordem para que seu empregado cometa o delito, em relação aos delitos em empresas. </w:t>
      </w:r>
    </w:p>
    <w:p w:rsidR="007833DA" w:rsidRPr="007833DA" w:rsidRDefault="007833DA" w:rsidP="007833DA">
      <w:pPr>
        <w:spacing w:after="0" w:line="240" w:lineRule="auto"/>
        <w:ind w:left="1701"/>
        <w:jc w:val="both"/>
        <w:rPr>
          <w:rFonts w:ascii="Times New Roman" w:hAnsi="Times New Roman" w:cs="Times New Roman"/>
          <w:sz w:val="20"/>
          <w:szCs w:val="24"/>
        </w:rPr>
      </w:pPr>
      <w:r w:rsidRPr="007833DA">
        <w:rPr>
          <w:rFonts w:ascii="Times New Roman" w:hAnsi="Times New Roman" w:cs="Times New Roman"/>
          <w:sz w:val="20"/>
          <w:szCs w:val="24"/>
        </w:rPr>
        <w:t xml:space="preserve">Das quatro condições do domínio da organização faltam, geralmente, ao menos três: as empresas não trabalham, por regra geral, desvinculadas do Direito, enquanto não se propõem desde o princípio, à prática de atividades criminosas. Falta também a intercambiabilidade [Austauschbarkeit] dos que estão dispostos a ações criminosas. E, tampouco, se pode falar de uma disponibilidade consideravelmente elevada dos membros </w:t>
      </w:r>
      <w:r w:rsidRPr="007833DA">
        <w:rPr>
          <w:rFonts w:ascii="Times New Roman" w:hAnsi="Times New Roman" w:cs="Times New Roman"/>
          <w:sz w:val="20"/>
          <w:szCs w:val="24"/>
        </w:rPr>
        <w:lastRenderedPageBreak/>
        <w:t>da empresa, porque, como mostra a realidade, a comissão de delitos econômicos e contra o meio ambiente leva consigo um considerável risco de punibilidade e também o risco da perda do posto na empresa. Uma autoria mediata em virtude do domínio da organização é, pois, também na doutrina alemã, rechaçada em tais casos de modo absolutamente majoritário.</w:t>
      </w:r>
    </w:p>
    <w:p w:rsidR="00D34ECF" w:rsidRDefault="00AC5069" w:rsidP="00776E01">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p>
    <w:p w:rsidR="00AC5069" w:rsidRPr="00F966FE" w:rsidRDefault="00AC5069" w:rsidP="00776E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Código Penal Alemão, já está previsto que um superior que induz aos seus subordinados a cometer um fato antijurídico no exercício do cargo, o superior incorre na pena prevista para este fato antijurídico. </w:t>
      </w:r>
    </w:p>
    <w:p w:rsidR="00394D87" w:rsidRDefault="007F3C6D" w:rsidP="00776E01">
      <w:pPr>
        <w:spacing w:line="360" w:lineRule="auto"/>
        <w:jc w:val="both"/>
        <w:rPr>
          <w:rFonts w:ascii="Times New Roman" w:hAnsi="Times New Roman" w:cs="Times New Roman"/>
          <w:b/>
          <w:sz w:val="28"/>
          <w:szCs w:val="24"/>
        </w:rPr>
      </w:pPr>
      <w:r>
        <w:rPr>
          <w:rFonts w:ascii="Times New Roman" w:hAnsi="Times New Roman" w:cs="Times New Roman"/>
          <w:b/>
          <w:sz w:val="28"/>
          <w:szCs w:val="24"/>
        </w:rPr>
        <w:t>CONCLUSÃ</w:t>
      </w:r>
      <w:r w:rsidR="002670D9" w:rsidRPr="0020071C">
        <w:rPr>
          <w:rFonts w:ascii="Times New Roman" w:hAnsi="Times New Roman" w:cs="Times New Roman"/>
          <w:b/>
          <w:sz w:val="28"/>
          <w:szCs w:val="24"/>
        </w:rPr>
        <w:t xml:space="preserve">O </w:t>
      </w:r>
    </w:p>
    <w:p w:rsidR="00B63F59" w:rsidRDefault="007B63E4" w:rsidP="008329C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os indivíduos a qual cometem esse crime são pessoas físicas, que realizam o seu ato espúrio sobre uma pessoa jurídica. Cabe destaque que os crimes societários podem ser tanto </w:t>
      </w:r>
      <w:r w:rsidR="00B63F59">
        <w:rPr>
          <w:rFonts w:ascii="Times New Roman" w:hAnsi="Times New Roman" w:cs="Times New Roman"/>
          <w:sz w:val="24"/>
          <w:szCs w:val="24"/>
        </w:rPr>
        <w:t>realizados</w:t>
      </w:r>
      <w:r>
        <w:rPr>
          <w:rFonts w:ascii="Times New Roman" w:hAnsi="Times New Roman" w:cs="Times New Roman"/>
          <w:sz w:val="24"/>
          <w:szCs w:val="24"/>
        </w:rPr>
        <w:t xml:space="preserve"> por um autor solo ou através da companhia de um coautor ou participe. Os </w:t>
      </w:r>
      <w:r w:rsidR="00B63F59">
        <w:rPr>
          <w:rFonts w:ascii="Times New Roman" w:hAnsi="Times New Roman" w:cs="Times New Roman"/>
          <w:sz w:val="24"/>
          <w:szCs w:val="24"/>
        </w:rPr>
        <w:t>indivíduos não afetam somente a pessoa jurídica composta pela instituição financeira, mais causa impacto sobre outras pessoas físicas que compõe esse grupo.</w:t>
      </w:r>
    </w:p>
    <w:p w:rsidR="007B63E4" w:rsidRDefault="00B63F59" w:rsidP="008329C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Dentro das condutas estabelecidas, pode-se observar a atuação do autor e qual os pontos afetados pelo crime cometido pelo mesmo. A gama de atos imorais elaborados são elencados expressamente como lei, a fim de coibir a atuação desses indivíduos. </w:t>
      </w:r>
      <w:r w:rsidR="007B63E4">
        <w:rPr>
          <w:rFonts w:ascii="Times New Roman" w:hAnsi="Times New Roman" w:cs="Times New Roman"/>
          <w:sz w:val="24"/>
          <w:szCs w:val="24"/>
        </w:rPr>
        <w:t xml:space="preserve"> </w:t>
      </w:r>
    </w:p>
    <w:p w:rsidR="008329C1" w:rsidRDefault="009A598E" w:rsidP="008329C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verificar as questões referentes ao domínio do fato sobre crimes societários, podem ser retiradas algumas conclusões, principalmente referente a acusação genéricas dos agentes, condutas para se configurar o concurso de pessoas e a definição dos indivíduos e de suas condutas. </w:t>
      </w:r>
      <w:r w:rsidR="008329C1">
        <w:rPr>
          <w:rFonts w:ascii="Times New Roman" w:hAnsi="Times New Roman" w:cs="Times New Roman"/>
          <w:sz w:val="24"/>
          <w:szCs w:val="24"/>
        </w:rPr>
        <w:t>Diante do exposto</w:t>
      </w:r>
      <w:r w:rsidR="00952702">
        <w:rPr>
          <w:rFonts w:ascii="Times New Roman" w:hAnsi="Times New Roman" w:cs="Times New Roman"/>
          <w:sz w:val="24"/>
          <w:szCs w:val="24"/>
        </w:rPr>
        <w:t>, outra conclusão não é possível senão a de que toda denúncia genérica, mesmo em casos de crimes societários, é uma grava afronta aos princípios constitucionais do devido processo legal, da ampla defesa, do contraditório, da presunção da inocência e da dignidade da pessoa humana, bem como ofensas aos artigos 8º, item 2, letra “b”, da Convenção Americana do Direitos Humanos, e 41 do Código de Processo Penal.</w:t>
      </w:r>
    </w:p>
    <w:p w:rsidR="00952702" w:rsidRDefault="00952702" w:rsidP="008329C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simples fato de alguém ser sócio-gerente de uma empresa, não significa que ele pode ser denunciado. Para que seja válido a sua denúncia penal, é necessário obedecer algumas regras, seguir os princípios para que garanta os direitos do denunciado.</w:t>
      </w:r>
    </w:p>
    <w:p w:rsidR="001A27BF" w:rsidRPr="00F966FE" w:rsidRDefault="00952702" w:rsidP="00F966F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Todas a ações ou omissões do denunciado</w:t>
      </w:r>
      <w:r w:rsidR="009A598E">
        <w:rPr>
          <w:rFonts w:ascii="Times New Roman" w:hAnsi="Times New Roman" w:cs="Times New Roman"/>
          <w:sz w:val="24"/>
          <w:szCs w:val="24"/>
        </w:rPr>
        <w:t xml:space="preserve"> tem que constarem na denúncia para que possa ser estabelecido um liame de suas condutas aos eventos delituosos, para evitar que a acusação seja generalizada.</w:t>
      </w:r>
    </w:p>
    <w:p w:rsidR="002D7555" w:rsidRPr="0020071C" w:rsidRDefault="007F3C6D" w:rsidP="00B4545D">
      <w:pPr>
        <w:spacing w:line="360" w:lineRule="auto"/>
        <w:jc w:val="center"/>
        <w:rPr>
          <w:rFonts w:ascii="Times New Roman" w:hAnsi="Times New Roman" w:cs="Times New Roman"/>
          <w:sz w:val="28"/>
          <w:szCs w:val="24"/>
        </w:rPr>
      </w:pPr>
      <w:r>
        <w:rPr>
          <w:rFonts w:ascii="Times New Roman" w:hAnsi="Times New Roman" w:cs="Times New Roman"/>
          <w:b/>
          <w:sz w:val="28"/>
          <w:szCs w:val="24"/>
        </w:rPr>
        <w:lastRenderedPageBreak/>
        <w:t>REFERÊ</w:t>
      </w:r>
      <w:r w:rsidR="002D7555" w:rsidRPr="0020071C">
        <w:rPr>
          <w:rFonts w:ascii="Times New Roman" w:hAnsi="Times New Roman" w:cs="Times New Roman"/>
          <w:b/>
          <w:sz w:val="28"/>
          <w:szCs w:val="24"/>
        </w:rPr>
        <w:t>NCIAS</w:t>
      </w:r>
    </w:p>
    <w:p w:rsidR="00FD09F3" w:rsidRDefault="00FD09F3" w:rsidP="00C82251">
      <w:pPr>
        <w:spacing w:line="360" w:lineRule="auto"/>
        <w:rPr>
          <w:rFonts w:ascii="Times New Roman" w:hAnsi="Times New Roman" w:cs="Times New Roman"/>
          <w:sz w:val="24"/>
          <w:szCs w:val="24"/>
        </w:rPr>
      </w:pPr>
      <w:r w:rsidRPr="00806599">
        <w:rPr>
          <w:rFonts w:ascii="Times New Roman" w:hAnsi="Times New Roman" w:cs="Times New Roman"/>
          <w:sz w:val="24"/>
          <w:szCs w:val="24"/>
        </w:rPr>
        <w:t>BITENCOURT, Cezar Roberto</w:t>
      </w:r>
      <w:r>
        <w:rPr>
          <w:rFonts w:ascii="Times New Roman" w:hAnsi="Times New Roman" w:cs="Times New Roman"/>
          <w:sz w:val="24"/>
          <w:szCs w:val="24"/>
        </w:rPr>
        <w:t>.</w:t>
      </w:r>
      <w:r w:rsidRPr="00806599">
        <w:rPr>
          <w:rFonts w:ascii="Times New Roman" w:hAnsi="Times New Roman" w:cs="Times New Roman"/>
          <w:sz w:val="24"/>
          <w:szCs w:val="24"/>
        </w:rPr>
        <w:t xml:space="preserve"> </w:t>
      </w:r>
      <w:r w:rsidRPr="00806599">
        <w:rPr>
          <w:rFonts w:ascii="Times New Roman" w:hAnsi="Times New Roman" w:cs="Times New Roman"/>
          <w:b/>
          <w:sz w:val="24"/>
          <w:szCs w:val="24"/>
        </w:rPr>
        <w:t>Tratado de direito penal: parte geral, 1</w:t>
      </w:r>
      <w:r w:rsidRPr="00806599">
        <w:rPr>
          <w:rFonts w:ascii="Times New Roman" w:hAnsi="Times New Roman" w:cs="Times New Roman"/>
          <w:sz w:val="24"/>
          <w:szCs w:val="24"/>
        </w:rPr>
        <w:t xml:space="preserve"> / Cezar Roberto Bitencourt. – 17. ed. rev., ampl. e atual. de acordo com a Lei n. 12.550, de 2011. – São Paulo: Saraiva, 2012.</w:t>
      </w:r>
    </w:p>
    <w:p w:rsidR="00973FB8" w:rsidRPr="00973FB8" w:rsidRDefault="00973FB8" w:rsidP="00FD09F3">
      <w:pPr>
        <w:tabs>
          <w:tab w:val="left" w:pos="7170"/>
        </w:tabs>
        <w:rPr>
          <w:rFonts w:ascii="Times New Roman" w:hAnsi="Times New Roman" w:cs="Times New Roman"/>
          <w:color w:val="000000"/>
          <w:sz w:val="24"/>
          <w:szCs w:val="24"/>
        </w:rPr>
      </w:pPr>
      <w:r>
        <w:rPr>
          <w:rFonts w:ascii="Times New Roman" w:hAnsi="Times New Roman" w:cs="Times New Roman"/>
          <w:color w:val="000000"/>
          <w:sz w:val="24"/>
          <w:szCs w:val="24"/>
        </w:rPr>
        <w:t>CAPEZ, Ferna</w:t>
      </w:r>
      <w:r w:rsidR="00574A91">
        <w:rPr>
          <w:rFonts w:ascii="Times New Roman" w:hAnsi="Times New Roman" w:cs="Times New Roman"/>
          <w:color w:val="000000"/>
          <w:sz w:val="24"/>
          <w:szCs w:val="24"/>
        </w:rPr>
        <w:t>n</w:t>
      </w:r>
      <w:r>
        <w:rPr>
          <w:rFonts w:ascii="Times New Roman" w:hAnsi="Times New Roman" w:cs="Times New Roman"/>
          <w:color w:val="000000"/>
          <w:sz w:val="24"/>
          <w:szCs w:val="24"/>
        </w:rPr>
        <w:t xml:space="preserve">do. </w:t>
      </w:r>
      <w:r>
        <w:rPr>
          <w:rFonts w:ascii="Times New Roman" w:hAnsi="Times New Roman" w:cs="Times New Roman"/>
          <w:b/>
          <w:color w:val="000000"/>
          <w:sz w:val="24"/>
          <w:szCs w:val="24"/>
        </w:rPr>
        <w:t>Curso de direito penal</w:t>
      </w:r>
      <w:r>
        <w:rPr>
          <w:rFonts w:ascii="Times New Roman" w:hAnsi="Times New Roman" w:cs="Times New Roman"/>
          <w:color w:val="000000"/>
          <w:sz w:val="24"/>
          <w:szCs w:val="24"/>
        </w:rPr>
        <w:t>, volume 1, parte geral: (arts. 1º a 120)/ Fernando Capez. 15. ed. São Paulo: Saraiva, 2011.</w:t>
      </w:r>
    </w:p>
    <w:p w:rsidR="00FD09F3" w:rsidRPr="00FD09F3" w:rsidRDefault="00FD09F3" w:rsidP="00FD09F3">
      <w:pPr>
        <w:tabs>
          <w:tab w:val="left" w:pos="7170"/>
        </w:tabs>
        <w:rPr>
          <w:rFonts w:ascii="Times New Roman" w:hAnsi="Times New Roman" w:cs="Times New Roman"/>
          <w:color w:val="000000"/>
          <w:sz w:val="27"/>
          <w:szCs w:val="27"/>
        </w:rPr>
      </w:pPr>
      <w:r w:rsidRPr="00E75958">
        <w:rPr>
          <w:rFonts w:ascii="Times New Roman" w:hAnsi="Times New Roman" w:cs="Times New Roman"/>
          <w:color w:val="000000"/>
          <w:sz w:val="24"/>
          <w:szCs w:val="24"/>
        </w:rPr>
        <w:t xml:space="preserve">GOMES, Luiz Flavio. </w:t>
      </w:r>
      <w:r w:rsidRPr="00E75958">
        <w:rPr>
          <w:rFonts w:ascii="Times New Roman" w:hAnsi="Times New Roman" w:cs="Times New Roman"/>
          <w:b/>
          <w:color w:val="000000"/>
          <w:sz w:val="24"/>
          <w:szCs w:val="24"/>
        </w:rPr>
        <w:t>Notas distintivas do crime de gestão fraudulenta:</w:t>
      </w:r>
      <w:r w:rsidRPr="00E75958">
        <w:rPr>
          <w:rFonts w:ascii="Times New Roman" w:hAnsi="Times New Roman" w:cs="Times New Roman"/>
          <w:color w:val="000000"/>
          <w:sz w:val="24"/>
          <w:szCs w:val="24"/>
        </w:rPr>
        <w:t xml:space="preserve"> art. 4º da Lei 7.492/86. In: PODVAL, Roberto (Org.). Temas de Direito Penal econômico. São Paulo: Revista dos Tribunais, 2001</w:t>
      </w:r>
    </w:p>
    <w:p w:rsidR="00FD09F3" w:rsidRPr="00C82251" w:rsidRDefault="00FD09F3" w:rsidP="00C82251">
      <w:pPr>
        <w:spacing w:line="360" w:lineRule="auto"/>
        <w:rPr>
          <w:rFonts w:ascii="Times New Roman" w:hAnsi="Times New Roman" w:cs="Times New Roman"/>
          <w:color w:val="000000"/>
          <w:sz w:val="24"/>
          <w:szCs w:val="24"/>
          <w:shd w:val="clear" w:color="auto" w:fill="FFFFFF"/>
        </w:rPr>
      </w:pPr>
      <w:r w:rsidRPr="00C82251">
        <w:rPr>
          <w:rFonts w:ascii="Times New Roman" w:hAnsi="Times New Roman" w:cs="Times New Roman"/>
          <w:color w:val="000000"/>
          <w:sz w:val="24"/>
          <w:szCs w:val="24"/>
          <w:shd w:val="clear" w:color="auto" w:fill="FFFFFF"/>
        </w:rPr>
        <w:t>MIRABETE, Julio Fabbrini.</w:t>
      </w:r>
      <w:r w:rsidRPr="00C82251">
        <w:rPr>
          <w:rStyle w:val="apple-converted-space"/>
          <w:rFonts w:ascii="Times New Roman" w:hAnsi="Times New Roman" w:cs="Times New Roman"/>
          <w:color w:val="000000"/>
          <w:sz w:val="24"/>
          <w:szCs w:val="24"/>
          <w:shd w:val="clear" w:color="auto" w:fill="FFFFFF"/>
        </w:rPr>
        <w:t> </w:t>
      </w:r>
      <w:r w:rsidRPr="00C82251">
        <w:rPr>
          <w:rStyle w:val="Forte"/>
          <w:rFonts w:ascii="Times New Roman" w:hAnsi="Times New Roman" w:cs="Times New Roman"/>
          <w:color w:val="000000"/>
          <w:sz w:val="24"/>
          <w:szCs w:val="24"/>
        </w:rPr>
        <w:t>Processo penal</w:t>
      </w:r>
      <w:r w:rsidRPr="00C82251">
        <w:rPr>
          <w:rFonts w:ascii="Times New Roman" w:hAnsi="Times New Roman" w:cs="Times New Roman"/>
          <w:color w:val="000000"/>
          <w:sz w:val="24"/>
          <w:szCs w:val="24"/>
          <w:shd w:val="clear" w:color="auto" w:fill="FFFFFF"/>
        </w:rPr>
        <w:t>. 14. ed. ver. e atual. São Paulo: Atlas, 2003.</w:t>
      </w:r>
    </w:p>
    <w:p w:rsidR="00FD09F3" w:rsidRDefault="00FD09F3" w:rsidP="00C82251">
      <w:pPr>
        <w:tabs>
          <w:tab w:val="left" w:pos="7170"/>
        </w:tabs>
        <w:spacing w:line="360" w:lineRule="auto"/>
        <w:rPr>
          <w:rFonts w:ascii="Times New Roman" w:hAnsi="Times New Roman" w:cs="Times New Roman"/>
          <w:sz w:val="24"/>
          <w:szCs w:val="24"/>
        </w:rPr>
      </w:pPr>
      <w:r w:rsidRPr="00E24DF2">
        <w:rPr>
          <w:rFonts w:ascii="Times New Roman" w:hAnsi="Times New Roman" w:cs="Times New Roman"/>
          <w:sz w:val="24"/>
          <w:szCs w:val="24"/>
        </w:rPr>
        <w:t>PIMENTEL, Manoel Pedro</w:t>
      </w:r>
      <w:r>
        <w:rPr>
          <w:rFonts w:ascii="Times New Roman" w:hAnsi="Times New Roman" w:cs="Times New Roman"/>
          <w:sz w:val="24"/>
          <w:szCs w:val="24"/>
        </w:rPr>
        <w:t xml:space="preserve">. </w:t>
      </w:r>
      <w:r w:rsidRPr="00137419">
        <w:rPr>
          <w:rFonts w:ascii="Times New Roman" w:hAnsi="Times New Roman" w:cs="Times New Roman"/>
          <w:b/>
          <w:sz w:val="24"/>
          <w:szCs w:val="24"/>
        </w:rPr>
        <w:t>Legislação penal especial</w:t>
      </w:r>
      <w:r>
        <w:rPr>
          <w:rFonts w:ascii="Times New Roman" w:hAnsi="Times New Roman" w:cs="Times New Roman"/>
          <w:sz w:val="24"/>
          <w:szCs w:val="24"/>
        </w:rPr>
        <w:t xml:space="preserve">. </w:t>
      </w:r>
      <w:r w:rsidRPr="00E24DF2">
        <w:rPr>
          <w:rFonts w:ascii="Times New Roman" w:hAnsi="Times New Roman" w:cs="Times New Roman"/>
          <w:sz w:val="24"/>
          <w:szCs w:val="24"/>
        </w:rPr>
        <w:t>São Paulo</w:t>
      </w:r>
      <w:r>
        <w:rPr>
          <w:rFonts w:ascii="Times New Roman" w:hAnsi="Times New Roman" w:cs="Times New Roman"/>
          <w:sz w:val="24"/>
          <w:szCs w:val="24"/>
        </w:rPr>
        <w:t xml:space="preserve">: editora </w:t>
      </w:r>
      <w:r w:rsidRPr="00E24DF2">
        <w:rPr>
          <w:rFonts w:ascii="Times New Roman" w:hAnsi="Times New Roman" w:cs="Times New Roman"/>
          <w:sz w:val="24"/>
          <w:szCs w:val="24"/>
        </w:rPr>
        <w:t>revista dos tribunais, 1972.</w:t>
      </w:r>
    </w:p>
    <w:p w:rsidR="00FD09F3" w:rsidRDefault="00FD09F3" w:rsidP="00C82251">
      <w:pPr>
        <w:tabs>
          <w:tab w:val="left" w:pos="7170"/>
        </w:tabs>
        <w:spacing w:line="360" w:lineRule="auto"/>
        <w:rPr>
          <w:rFonts w:ascii="Times New Roman" w:hAnsi="Times New Roman" w:cs="Times New Roman"/>
          <w:sz w:val="24"/>
          <w:szCs w:val="24"/>
        </w:rPr>
      </w:pPr>
      <w:r>
        <w:rPr>
          <w:rFonts w:ascii="Times New Roman" w:hAnsi="Times New Roman" w:cs="Times New Roman"/>
          <w:sz w:val="24"/>
          <w:szCs w:val="24"/>
        </w:rPr>
        <w:t xml:space="preserve">QUEIROZ, Eduardo Gomes de. </w:t>
      </w:r>
      <w:r w:rsidRPr="0005026A">
        <w:rPr>
          <w:rFonts w:ascii="Times New Roman" w:hAnsi="Times New Roman" w:cs="Times New Roman"/>
          <w:b/>
          <w:sz w:val="24"/>
          <w:szCs w:val="24"/>
        </w:rPr>
        <w:t>Denúncia genérica nos crimes societários</w:t>
      </w:r>
      <w:r>
        <w:rPr>
          <w:rFonts w:ascii="Times New Roman" w:hAnsi="Times New Roman" w:cs="Times New Roman"/>
          <w:sz w:val="24"/>
          <w:szCs w:val="24"/>
        </w:rPr>
        <w:t xml:space="preserve">: um retrocesso ao Estado </w:t>
      </w:r>
      <w:r w:rsidRPr="0005026A">
        <w:rPr>
          <w:rFonts w:ascii="Times New Roman" w:hAnsi="Times New Roman" w:cs="Times New Roman"/>
          <w:sz w:val="24"/>
          <w:szCs w:val="24"/>
        </w:rPr>
        <w:t>Novo.</w:t>
      </w:r>
      <w:r>
        <w:rPr>
          <w:rFonts w:ascii="Times New Roman" w:hAnsi="Times New Roman" w:cs="Times New Roman"/>
          <w:sz w:val="24"/>
          <w:szCs w:val="24"/>
        </w:rPr>
        <w:t xml:space="preserve"> Disponível em: &lt;</w:t>
      </w:r>
      <w:r w:rsidRPr="00F44F02">
        <w:rPr>
          <w:rFonts w:ascii="Times New Roman" w:hAnsi="Times New Roman" w:cs="Times New Roman"/>
          <w:sz w:val="24"/>
          <w:szCs w:val="24"/>
        </w:rPr>
        <w:t>http://www.egov.ufsc.br/portal/sites/default/files/anexos/15853-15854-1-PB.pdf</w:t>
      </w:r>
      <w:r>
        <w:rPr>
          <w:rFonts w:ascii="Times New Roman" w:hAnsi="Times New Roman" w:cs="Times New Roman"/>
          <w:sz w:val="24"/>
          <w:szCs w:val="24"/>
        </w:rPr>
        <w:t>&gt; Acesso em: 07 nov de 2014.</w:t>
      </w:r>
    </w:p>
    <w:p w:rsidR="00FD09F3" w:rsidRDefault="00FD09F3" w:rsidP="00C82251">
      <w:pPr>
        <w:tabs>
          <w:tab w:val="left" w:pos="7170"/>
        </w:tabs>
        <w:spacing w:line="360" w:lineRule="auto"/>
        <w:rPr>
          <w:rFonts w:ascii="Times New Roman" w:hAnsi="Times New Roman" w:cs="Times New Roman"/>
          <w:sz w:val="24"/>
          <w:szCs w:val="24"/>
        </w:rPr>
      </w:pPr>
      <w:r w:rsidRPr="000C4690">
        <w:rPr>
          <w:rFonts w:ascii="Times New Roman" w:hAnsi="Times New Roman" w:cs="Times New Roman"/>
          <w:b/>
          <w:sz w:val="24"/>
          <w:szCs w:val="24"/>
        </w:rPr>
        <w:t>Revista Justiça e Sistema Criminal</w:t>
      </w:r>
      <w:r>
        <w:rPr>
          <w:rFonts w:ascii="Times New Roman" w:hAnsi="Times New Roman" w:cs="Times New Roman"/>
          <w:b/>
          <w:sz w:val="24"/>
          <w:szCs w:val="24"/>
        </w:rPr>
        <w:t xml:space="preserve">: </w:t>
      </w:r>
      <w:r>
        <w:rPr>
          <w:rFonts w:ascii="Times New Roman" w:hAnsi="Times New Roman" w:cs="Times New Roman"/>
          <w:sz w:val="24"/>
          <w:szCs w:val="24"/>
        </w:rPr>
        <w:t>Modernas Tendências do Sistema Criminal</w:t>
      </w:r>
      <w:r w:rsidRPr="000C4690">
        <w:rPr>
          <w:rFonts w:ascii="Times New Roman" w:hAnsi="Times New Roman" w:cs="Times New Roman"/>
          <w:sz w:val="24"/>
          <w:szCs w:val="24"/>
        </w:rPr>
        <w:t>. v. 1, n. 1, jul./dez. 2009 -     Curitiba: FAE Centro Universitário, 2009 -</w:t>
      </w:r>
    </w:p>
    <w:p w:rsidR="00FD09F3" w:rsidRDefault="00FD09F3" w:rsidP="00C82251">
      <w:pPr>
        <w:tabs>
          <w:tab w:val="left" w:pos="7170"/>
        </w:tabs>
        <w:spacing w:line="360" w:lineRule="auto"/>
        <w:rPr>
          <w:rFonts w:ascii="Times New Roman" w:hAnsi="Times New Roman" w:cs="Times New Roman"/>
          <w:sz w:val="24"/>
          <w:szCs w:val="24"/>
        </w:rPr>
      </w:pPr>
      <w:r w:rsidRPr="00F44F02">
        <w:rPr>
          <w:rFonts w:ascii="Times New Roman" w:hAnsi="Times New Roman" w:cs="Times New Roman"/>
          <w:sz w:val="24"/>
          <w:szCs w:val="24"/>
        </w:rPr>
        <w:t xml:space="preserve">SILVA, Jose Afonso da. </w:t>
      </w:r>
      <w:r w:rsidRPr="00137419">
        <w:rPr>
          <w:rFonts w:ascii="Times New Roman" w:hAnsi="Times New Roman" w:cs="Times New Roman"/>
          <w:b/>
          <w:sz w:val="24"/>
          <w:szCs w:val="24"/>
        </w:rPr>
        <w:t>Curso de Direito Constitucional Positivo</w:t>
      </w:r>
      <w:r>
        <w:rPr>
          <w:rFonts w:ascii="Times New Roman" w:hAnsi="Times New Roman" w:cs="Times New Roman"/>
          <w:sz w:val="24"/>
          <w:szCs w:val="24"/>
        </w:rPr>
        <w:t xml:space="preserve">. </w:t>
      </w:r>
      <w:r w:rsidRPr="00F44F02">
        <w:rPr>
          <w:rFonts w:ascii="Times New Roman" w:hAnsi="Times New Roman" w:cs="Times New Roman"/>
          <w:sz w:val="24"/>
          <w:szCs w:val="24"/>
        </w:rPr>
        <w:t>Malheiros, 9ª ed., 2º t., 1.993.</w:t>
      </w:r>
    </w:p>
    <w:p w:rsidR="00FD09F3" w:rsidRPr="00E75958" w:rsidRDefault="00FD09F3" w:rsidP="00FD09F3">
      <w:pPr>
        <w:tabs>
          <w:tab w:val="left" w:pos="7170"/>
        </w:tabs>
        <w:rPr>
          <w:rFonts w:ascii="Times New Roman" w:hAnsi="Times New Roman" w:cs="Times New Roman"/>
          <w:sz w:val="24"/>
          <w:szCs w:val="24"/>
          <w:shd w:val="clear" w:color="auto" w:fill="FFFFFF"/>
        </w:rPr>
      </w:pPr>
      <w:r w:rsidRPr="00E75958">
        <w:rPr>
          <w:rFonts w:ascii="Times New Roman" w:hAnsi="Times New Roman" w:cs="Times New Roman"/>
          <w:sz w:val="24"/>
          <w:szCs w:val="24"/>
          <w:shd w:val="clear" w:color="auto" w:fill="FFFFFF"/>
        </w:rPr>
        <w:t>TAVARES, Juarez</w:t>
      </w:r>
      <w:r w:rsidRPr="00E75958">
        <w:rPr>
          <w:rFonts w:ascii="Times New Roman" w:hAnsi="Times New Roman" w:cs="Times New Roman"/>
          <w:b/>
          <w:i/>
          <w:sz w:val="24"/>
          <w:szCs w:val="24"/>
          <w:shd w:val="clear" w:color="auto" w:fill="FFFFFF"/>
        </w:rPr>
        <w:t>.</w:t>
      </w:r>
      <w:r w:rsidRPr="00E75958">
        <w:rPr>
          <w:rStyle w:val="apple-converted-space"/>
          <w:rFonts w:ascii="Times New Roman" w:hAnsi="Times New Roman" w:cs="Times New Roman"/>
          <w:b/>
          <w:i/>
          <w:sz w:val="24"/>
          <w:szCs w:val="24"/>
          <w:shd w:val="clear" w:color="auto" w:fill="FFFFFF"/>
        </w:rPr>
        <w:t> </w:t>
      </w:r>
      <w:r w:rsidRPr="00E75958">
        <w:rPr>
          <w:rStyle w:val="nfase"/>
          <w:rFonts w:ascii="Times New Roman" w:hAnsi="Times New Roman" w:cs="Times New Roman"/>
          <w:b/>
          <w:i w:val="0"/>
          <w:sz w:val="24"/>
          <w:szCs w:val="24"/>
          <w:shd w:val="clear" w:color="auto" w:fill="FFFFFF"/>
        </w:rPr>
        <w:t>Direito penal da negligência: uma contribuição a teoria do crime culposo</w:t>
      </w:r>
      <w:r w:rsidRPr="00E75958">
        <w:rPr>
          <w:rFonts w:ascii="Times New Roman" w:hAnsi="Times New Roman" w:cs="Times New Roman"/>
          <w:b/>
          <w:i/>
          <w:sz w:val="24"/>
          <w:szCs w:val="24"/>
          <w:shd w:val="clear" w:color="auto" w:fill="FFFFFF"/>
        </w:rPr>
        <w:t>.</w:t>
      </w:r>
      <w:r w:rsidRPr="00E75958">
        <w:rPr>
          <w:rFonts w:ascii="Times New Roman" w:hAnsi="Times New Roman" w:cs="Times New Roman"/>
          <w:sz w:val="24"/>
          <w:szCs w:val="24"/>
          <w:shd w:val="clear" w:color="auto" w:fill="FFFFFF"/>
        </w:rPr>
        <w:t xml:space="preserve"> São Paulo: Revista dos Tribunais, 1985</w:t>
      </w:r>
    </w:p>
    <w:p w:rsidR="00FD09F3" w:rsidRDefault="00FD09F3" w:rsidP="00C82251">
      <w:pPr>
        <w:tabs>
          <w:tab w:val="left" w:pos="7170"/>
        </w:tabs>
        <w:spacing w:line="360" w:lineRule="auto"/>
        <w:rPr>
          <w:rFonts w:ascii="Times New Roman" w:hAnsi="Times New Roman" w:cs="Times New Roman"/>
          <w:sz w:val="24"/>
          <w:szCs w:val="24"/>
        </w:rPr>
      </w:pPr>
    </w:p>
    <w:p w:rsidR="00C82251" w:rsidRPr="008B66E0" w:rsidRDefault="00C82251" w:rsidP="00C82251">
      <w:pPr>
        <w:tabs>
          <w:tab w:val="left" w:pos="7170"/>
        </w:tabs>
        <w:rPr>
          <w:rFonts w:ascii="Times New Roman" w:hAnsi="Times New Roman" w:cs="Times New Roman"/>
          <w:sz w:val="24"/>
          <w:szCs w:val="24"/>
        </w:rPr>
      </w:pPr>
      <w:r>
        <w:rPr>
          <w:rFonts w:ascii="Times New Roman" w:hAnsi="Times New Roman" w:cs="Times New Roman"/>
          <w:sz w:val="24"/>
          <w:szCs w:val="24"/>
        </w:rPr>
        <w:tab/>
      </w:r>
    </w:p>
    <w:p w:rsidR="008C08F5" w:rsidRPr="008B66E0" w:rsidRDefault="008B66E0" w:rsidP="00F44F02">
      <w:pPr>
        <w:tabs>
          <w:tab w:val="left" w:pos="7170"/>
        </w:tabs>
        <w:rPr>
          <w:rFonts w:ascii="Times New Roman" w:hAnsi="Times New Roman" w:cs="Times New Roman"/>
          <w:sz w:val="24"/>
          <w:szCs w:val="24"/>
        </w:rPr>
      </w:pPr>
      <w:r>
        <w:rPr>
          <w:rFonts w:ascii="Times New Roman" w:hAnsi="Times New Roman" w:cs="Times New Roman"/>
          <w:sz w:val="24"/>
          <w:szCs w:val="24"/>
        </w:rPr>
        <w:tab/>
      </w:r>
    </w:p>
    <w:sectPr w:rsidR="008C08F5" w:rsidRPr="008B66E0" w:rsidSect="007B388F">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F3E" w:rsidRDefault="00560F3E" w:rsidP="003B4D06">
      <w:pPr>
        <w:spacing w:after="0" w:line="240" w:lineRule="auto"/>
      </w:pPr>
      <w:r>
        <w:separator/>
      </w:r>
    </w:p>
  </w:endnote>
  <w:endnote w:type="continuationSeparator" w:id="0">
    <w:p w:rsidR="00560F3E" w:rsidRDefault="00560F3E" w:rsidP="003B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F3E" w:rsidRDefault="00560F3E" w:rsidP="003B4D06">
      <w:pPr>
        <w:spacing w:after="0" w:line="240" w:lineRule="auto"/>
      </w:pPr>
      <w:r>
        <w:separator/>
      </w:r>
    </w:p>
  </w:footnote>
  <w:footnote w:type="continuationSeparator" w:id="0">
    <w:p w:rsidR="00560F3E" w:rsidRDefault="00560F3E" w:rsidP="003B4D06">
      <w:pPr>
        <w:spacing w:after="0" w:line="240" w:lineRule="auto"/>
      </w:pPr>
      <w:r>
        <w:continuationSeparator/>
      </w:r>
    </w:p>
  </w:footnote>
  <w:footnote w:id="1">
    <w:p w:rsidR="00647900" w:rsidRDefault="00647900" w:rsidP="003B4D06">
      <w:pPr>
        <w:pStyle w:val="Rodap"/>
        <w:jc w:val="both"/>
        <w:rPr>
          <w:rFonts w:ascii="Times New Roman" w:hAnsi="Times New Roman"/>
          <w:sz w:val="20"/>
          <w:szCs w:val="20"/>
        </w:rPr>
      </w:pPr>
      <w:r w:rsidRPr="00FE3FE8">
        <w:rPr>
          <w:rStyle w:val="Refdenotaderodap"/>
          <w:rFonts w:ascii="Times New Roman" w:hAnsi="Times New Roman"/>
        </w:rPr>
        <w:footnoteRef/>
      </w:r>
      <w:r w:rsidRPr="00FE3FE8">
        <w:rPr>
          <w:rFonts w:ascii="Times New Roman" w:hAnsi="Times New Roman"/>
          <w:sz w:val="20"/>
          <w:szCs w:val="20"/>
        </w:rPr>
        <w:t xml:space="preserve"> </w:t>
      </w:r>
      <w:r w:rsidR="004E1507">
        <w:rPr>
          <w:rFonts w:ascii="Times New Roman" w:hAnsi="Times New Roman"/>
          <w:sz w:val="20"/>
          <w:szCs w:val="20"/>
        </w:rPr>
        <w:t>Tema, título.</w:t>
      </w:r>
    </w:p>
    <w:p w:rsidR="004E1507" w:rsidRDefault="004E1507" w:rsidP="003B4D06">
      <w:pPr>
        <w:pStyle w:val="Rodap"/>
        <w:jc w:val="both"/>
        <w:rPr>
          <w:rFonts w:ascii="Times New Roman" w:hAnsi="Times New Roman"/>
          <w:sz w:val="20"/>
          <w:szCs w:val="20"/>
        </w:rPr>
      </w:pPr>
      <w:r>
        <w:rPr>
          <w:rFonts w:ascii="Times New Roman" w:hAnsi="Times New Roman"/>
          <w:sz w:val="20"/>
          <w:szCs w:val="20"/>
        </w:rPr>
        <w:t>²</w:t>
      </w:r>
      <w:r w:rsidRPr="004E1507">
        <w:rPr>
          <w:rFonts w:ascii="Times New Roman" w:hAnsi="Times New Roman"/>
          <w:sz w:val="20"/>
          <w:szCs w:val="20"/>
        </w:rPr>
        <w:t xml:space="preserve"> </w:t>
      </w:r>
      <w:r w:rsidRPr="00FE3FE8">
        <w:rPr>
          <w:rFonts w:ascii="Times New Roman" w:hAnsi="Times New Roman"/>
          <w:sz w:val="20"/>
          <w:szCs w:val="20"/>
        </w:rPr>
        <w:t>Aluno</w:t>
      </w:r>
      <w:r>
        <w:rPr>
          <w:rFonts w:ascii="Times New Roman" w:hAnsi="Times New Roman"/>
          <w:sz w:val="20"/>
          <w:szCs w:val="20"/>
        </w:rPr>
        <w:t>s</w:t>
      </w:r>
      <w:r w:rsidRPr="00FE3FE8">
        <w:rPr>
          <w:rFonts w:ascii="Times New Roman" w:hAnsi="Times New Roman"/>
          <w:sz w:val="20"/>
          <w:szCs w:val="20"/>
        </w:rPr>
        <w:t xml:space="preserve"> do </w:t>
      </w:r>
      <w:r>
        <w:rPr>
          <w:rFonts w:ascii="Times New Roman" w:hAnsi="Times New Roman"/>
          <w:sz w:val="20"/>
          <w:szCs w:val="20"/>
        </w:rPr>
        <w:t>3º período</w:t>
      </w:r>
      <w:r w:rsidRPr="00FE3FE8">
        <w:rPr>
          <w:rFonts w:ascii="Times New Roman" w:hAnsi="Times New Roman"/>
          <w:sz w:val="20"/>
          <w:szCs w:val="20"/>
        </w:rPr>
        <w:t xml:space="preserve"> </w:t>
      </w:r>
      <w:r>
        <w:rPr>
          <w:rFonts w:ascii="Times New Roman" w:hAnsi="Times New Roman"/>
          <w:sz w:val="20"/>
          <w:szCs w:val="20"/>
        </w:rPr>
        <w:t xml:space="preserve">do </w:t>
      </w:r>
      <w:r w:rsidRPr="00FE3FE8">
        <w:rPr>
          <w:rFonts w:ascii="Times New Roman" w:hAnsi="Times New Roman"/>
          <w:sz w:val="20"/>
          <w:szCs w:val="20"/>
        </w:rPr>
        <w:t xml:space="preserve">curso de Direito da Unidade de Ensino Superior Dom </w:t>
      </w:r>
      <w:r>
        <w:rPr>
          <w:rFonts w:ascii="Times New Roman" w:hAnsi="Times New Roman"/>
          <w:sz w:val="20"/>
          <w:szCs w:val="20"/>
        </w:rPr>
        <w:t>Bosco – UNDB</w:t>
      </w:r>
      <w:r w:rsidRPr="00FE3FE8">
        <w:rPr>
          <w:rFonts w:ascii="Times New Roman" w:hAnsi="Times New Roman"/>
          <w:sz w:val="20"/>
          <w:szCs w:val="20"/>
        </w:rPr>
        <w:t>.</w:t>
      </w:r>
    </w:p>
    <w:p w:rsidR="00EF0198" w:rsidRPr="00EF0198" w:rsidRDefault="00EF0198" w:rsidP="003B4D06">
      <w:pPr>
        <w:pStyle w:val="Rodap"/>
        <w:jc w:val="both"/>
        <w:rPr>
          <w:rFonts w:ascii="Times New Roman" w:hAnsi="Times New Roman"/>
          <w:sz w:val="20"/>
          <w:szCs w:val="20"/>
        </w:rPr>
      </w:pPr>
      <w:r>
        <w:rPr>
          <w:rFonts w:ascii="Times New Roman" w:hAnsi="Times New Roman"/>
          <w:sz w:val="16"/>
          <w:szCs w:val="16"/>
        </w:rPr>
        <w:t xml:space="preserve">3 </w:t>
      </w:r>
      <w:r>
        <w:rPr>
          <w:rFonts w:ascii="Times New Roman" w:hAnsi="Times New Roman"/>
          <w:sz w:val="20"/>
          <w:szCs w:val="20"/>
        </w:rPr>
        <w:t>Professor, orientador, mestre</w:t>
      </w:r>
      <w:r w:rsidR="0020071C">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889264"/>
      <w:docPartObj>
        <w:docPartGallery w:val="Page Numbers (Top of Page)"/>
        <w:docPartUnique/>
      </w:docPartObj>
    </w:sdtPr>
    <w:sdtEndPr/>
    <w:sdtContent>
      <w:p w:rsidR="00FD09F3" w:rsidRDefault="00FD09F3">
        <w:pPr>
          <w:pStyle w:val="Cabealho"/>
          <w:jc w:val="right"/>
        </w:pPr>
      </w:p>
      <w:p w:rsidR="00FD09F3" w:rsidRDefault="00FD09F3">
        <w:pPr>
          <w:pStyle w:val="Cabealho"/>
          <w:jc w:val="right"/>
        </w:pPr>
        <w:r>
          <w:fldChar w:fldCharType="begin"/>
        </w:r>
        <w:r>
          <w:instrText>PAGE   \* MERGEFORMAT</w:instrText>
        </w:r>
        <w:r>
          <w:fldChar w:fldCharType="separate"/>
        </w:r>
        <w:r w:rsidR="008E6824">
          <w:rPr>
            <w:noProof/>
          </w:rPr>
          <w:t>1</w:t>
        </w:r>
        <w:r>
          <w:fldChar w:fldCharType="end"/>
        </w:r>
      </w:p>
    </w:sdtContent>
  </w:sdt>
  <w:p w:rsidR="00FD09F3" w:rsidRDefault="00FD0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181"/>
    <w:multiLevelType w:val="hybridMultilevel"/>
    <w:tmpl w:val="656669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367C25"/>
    <w:multiLevelType w:val="hybridMultilevel"/>
    <w:tmpl w:val="E5F2244C"/>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1C1922BD"/>
    <w:multiLevelType w:val="hybridMultilevel"/>
    <w:tmpl w:val="E88C00B0"/>
    <w:lvl w:ilvl="0" w:tplc="867EF4DA">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15:restartNumberingAfterBreak="0">
    <w:nsid w:val="29EF6C11"/>
    <w:multiLevelType w:val="hybridMultilevel"/>
    <w:tmpl w:val="1166F1F0"/>
    <w:lvl w:ilvl="0" w:tplc="867EF4DA">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2C546135"/>
    <w:multiLevelType w:val="hybridMultilevel"/>
    <w:tmpl w:val="5ED8E0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C44D6D"/>
    <w:multiLevelType w:val="hybridMultilevel"/>
    <w:tmpl w:val="C114A8E2"/>
    <w:lvl w:ilvl="0" w:tplc="F84E68B6">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BA7790D"/>
    <w:multiLevelType w:val="hybridMultilevel"/>
    <w:tmpl w:val="8B06FB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B3C5C8B"/>
    <w:multiLevelType w:val="hybridMultilevel"/>
    <w:tmpl w:val="B58EB4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AE47EDE"/>
    <w:multiLevelType w:val="hybridMultilevel"/>
    <w:tmpl w:val="3F121AD0"/>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6B097CB3"/>
    <w:multiLevelType w:val="multilevel"/>
    <w:tmpl w:val="6C6E422C"/>
    <w:lvl w:ilvl="0">
      <w:start w:val="1"/>
      <w:numFmt w:val="decimal"/>
      <w:pStyle w:val="Ttulo1"/>
      <w:lvlText w:val="%1."/>
      <w:lvlJc w:val="left"/>
      <w:pPr>
        <w:ind w:left="432" w:hanging="432"/>
      </w:pPr>
      <w:rPr>
        <w:rFonts w:hint="default"/>
        <w:color w:val="auto"/>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5"/>
  </w:num>
  <w:num w:numId="2">
    <w:abstractNumId w:val="8"/>
  </w:num>
  <w:num w:numId="3">
    <w:abstractNumId w:val="2"/>
  </w:num>
  <w:num w:numId="4">
    <w:abstractNumId w:val="3"/>
  </w:num>
  <w:num w:numId="5">
    <w:abstractNumId w:val="1"/>
  </w:num>
  <w:num w:numId="6">
    <w:abstractNumId w:val="9"/>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C8"/>
    <w:rsid w:val="000115E9"/>
    <w:rsid w:val="000138B5"/>
    <w:rsid w:val="0001730D"/>
    <w:rsid w:val="00027F73"/>
    <w:rsid w:val="00034BAB"/>
    <w:rsid w:val="00034D49"/>
    <w:rsid w:val="00037F15"/>
    <w:rsid w:val="0005026A"/>
    <w:rsid w:val="00065D47"/>
    <w:rsid w:val="000672D7"/>
    <w:rsid w:val="0007672E"/>
    <w:rsid w:val="000835BE"/>
    <w:rsid w:val="000914FC"/>
    <w:rsid w:val="000947D3"/>
    <w:rsid w:val="000B42AF"/>
    <w:rsid w:val="000C076B"/>
    <w:rsid w:val="000C4690"/>
    <w:rsid w:val="000D17E2"/>
    <w:rsid w:val="000E0DFA"/>
    <w:rsid w:val="000F1ADE"/>
    <w:rsid w:val="000F1B54"/>
    <w:rsid w:val="000F7009"/>
    <w:rsid w:val="000F720B"/>
    <w:rsid w:val="001010E3"/>
    <w:rsid w:val="00110F74"/>
    <w:rsid w:val="00117717"/>
    <w:rsid w:val="00120767"/>
    <w:rsid w:val="00126273"/>
    <w:rsid w:val="001372B4"/>
    <w:rsid w:val="00137419"/>
    <w:rsid w:val="00161292"/>
    <w:rsid w:val="0017087A"/>
    <w:rsid w:val="0018437A"/>
    <w:rsid w:val="0018666D"/>
    <w:rsid w:val="00193E87"/>
    <w:rsid w:val="001A27BF"/>
    <w:rsid w:val="001B10BE"/>
    <w:rsid w:val="001D43CF"/>
    <w:rsid w:val="001E6B27"/>
    <w:rsid w:val="0020071C"/>
    <w:rsid w:val="00207600"/>
    <w:rsid w:val="0021247F"/>
    <w:rsid w:val="00214E21"/>
    <w:rsid w:val="00230304"/>
    <w:rsid w:val="00233BBD"/>
    <w:rsid w:val="00251C01"/>
    <w:rsid w:val="00255657"/>
    <w:rsid w:val="00264A45"/>
    <w:rsid w:val="002670D9"/>
    <w:rsid w:val="00275D02"/>
    <w:rsid w:val="002768AD"/>
    <w:rsid w:val="002846FB"/>
    <w:rsid w:val="002A3BC8"/>
    <w:rsid w:val="002A43E5"/>
    <w:rsid w:val="002A53AE"/>
    <w:rsid w:val="002B75DF"/>
    <w:rsid w:val="002C4CAF"/>
    <w:rsid w:val="002C7F05"/>
    <w:rsid w:val="002D1504"/>
    <w:rsid w:val="002D4B4E"/>
    <w:rsid w:val="002D7555"/>
    <w:rsid w:val="00311663"/>
    <w:rsid w:val="00312398"/>
    <w:rsid w:val="00317E92"/>
    <w:rsid w:val="00331280"/>
    <w:rsid w:val="00334243"/>
    <w:rsid w:val="00336BA7"/>
    <w:rsid w:val="003373B2"/>
    <w:rsid w:val="00341A46"/>
    <w:rsid w:val="00344628"/>
    <w:rsid w:val="0034596C"/>
    <w:rsid w:val="00345E3A"/>
    <w:rsid w:val="0036168C"/>
    <w:rsid w:val="003625AC"/>
    <w:rsid w:val="00366139"/>
    <w:rsid w:val="00383AD6"/>
    <w:rsid w:val="003927F8"/>
    <w:rsid w:val="00394D87"/>
    <w:rsid w:val="00394DC8"/>
    <w:rsid w:val="00397D56"/>
    <w:rsid w:val="003B4D06"/>
    <w:rsid w:val="003F18D7"/>
    <w:rsid w:val="003F7E0D"/>
    <w:rsid w:val="0040521E"/>
    <w:rsid w:val="004060E6"/>
    <w:rsid w:val="00413AC9"/>
    <w:rsid w:val="0041758F"/>
    <w:rsid w:val="0043243C"/>
    <w:rsid w:val="0043509F"/>
    <w:rsid w:val="00443D12"/>
    <w:rsid w:val="00444B97"/>
    <w:rsid w:val="004451A9"/>
    <w:rsid w:val="00445A18"/>
    <w:rsid w:val="0044786A"/>
    <w:rsid w:val="00451E24"/>
    <w:rsid w:val="004524A1"/>
    <w:rsid w:val="00493634"/>
    <w:rsid w:val="0049797A"/>
    <w:rsid w:val="004A687E"/>
    <w:rsid w:val="004B14B5"/>
    <w:rsid w:val="004C6792"/>
    <w:rsid w:val="004D5FFA"/>
    <w:rsid w:val="004D6D04"/>
    <w:rsid w:val="004E1507"/>
    <w:rsid w:val="00506406"/>
    <w:rsid w:val="005139D4"/>
    <w:rsid w:val="0053286B"/>
    <w:rsid w:val="00537513"/>
    <w:rsid w:val="00537CCF"/>
    <w:rsid w:val="005428CE"/>
    <w:rsid w:val="00543699"/>
    <w:rsid w:val="0054594E"/>
    <w:rsid w:val="00554566"/>
    <w:rsid w:val="00556D4D"/>
    <w:rsid w:val="00557AC7"/>
    <w:rsid w:val="00560F3E"/>
    <w:rsid w:val="005748AF"/>
    <w:rsid w:val="00574A91"/>
    <w:rsid w:val="00575A3F"/>
    <w:rsid w:val="00577150"/>
    <w:rsid w:val="00583309"/>
    <w:rsid w:val="0058695A"/>
    <w:rsid w:val="005915A8"/>
    <w:rsid w:val="00593FAD"/>
    <w:rsid w:val="00596639"/>
    <w:rsid w:val="005A5501"/>
    <w:rsid w:val="005B02B2"/>
    <w:rsid w:val="005C076D"/>
    <w:rsid w:val="005C4564"/>
    <w:rsid w:val="005D0872"/>
    <w:rsid w:val="005D1383"/>
    <w:rsid w:val="005E25DF"/>
    <w:rsid w:val="005E587D"/>
    <w:rsid w:val="00602F1F"/>
    <w:rsid w:val="00604A04"/>
    <w:rsid w:val="006115F9"/>
    <w:rsid w:val="00630905"/>
    <w:rsid w:val="0064016B"/>
    <w:rsid w:val="00643C13"/>
    <w:rsid w:val="00645040"/>
    <w:rsid w:val="00646A10"/>
    <w:rsid w:val="00647900"/>
    <w:rsid w:val="00661357"/>
    <w:rsid w:val="00664302"/>
    <w:rsid w:val="00672D40"/>
    <w:rsid w:val="00682151"/>
    <w:rsid w:val="006923E4"/>
    <w:rsid w:val="006A4571"/>
    <w:rsid w:val="006D05E6"/>
    <w:rsid w:val="006D0BD2"/>
    <w:rsid w:val="006D32CE"/>
    <w:rsid w:val="006D431D"/>
    <w:rsid w:val="006F1EB2"/>
    <w:rsid w:val="006F4995"/>
    <w:rsid w:val="00712528"/>
    <w:rsid w:val="00712B28"/>
    <w:rsid w:val="007278BC"/>
    <w:rsid w:val="00743386"/>
    <w:rsid w:val="0074470F"/>
    <w:rsid w:val="00767BCF"/>
    <w:rsid w:val="00775DD4"/>
    <w:rsid w:val="00776E01"/>
    <w:rsid w:val="0077774E"/>
    <w:rsid w:val="007833B6"/>
    <w:rsid w:val="007833DA"/>
    <w:rsid w:val="00784F3F"/>
    <w:rsid w:val="00791439"/>
    <w:rsid w:val="00797769"/>
    <w:rsid w:val="007A78E5"/>
    <w:rsid w:val="007B307D"/>
    <w:rsid w:val="007B388F"/>
    <w:rsid w:val="007B63E4"/>
    <w:rsid w:val="007F3C6D"/>
    <w:rsid w:val="007F4351"/>
    <w:rsid w:val="008105B7"/>
    <w:rsid w:val="00812730"/>
    <w:rsid w:val="0081363F"/>
    <w:rsid w:val="00814D36"/>
    <w:rsid w:val="0081518A"/>
    <w:rsid w:val="00815F4D"/>
    <w:rsid w:val="00821B49"/>
    <w:rsid w:val="008225F1"/>
    <w:rsid w:val="00824E77"/>
    <w:rsid w:val="008329C1"/>
    <w:rsid w:val="00854238"/>
    <w:rsid w:val="00857C5A"/>
    <w:rsid w:val="00857FAA"/>
    <w:rsid w:val="00866953"/>
    <w:rsid w:val="008819D8"/>
    <w:rsid w:val="00897829"/>
    <w:rsid w:val="008B66E0"/>
    <w:rsid w:val="008C08F5"/>
    <w:rsid w:val="008C0AE7"/>
    <w:rsid w:val="008C3692"/>
    <w:rsid w:val="008C37A4"/>
    <w:rsid w:val="008C4B85"/>
    <w:rsid w:val="008C602A"/>
    <w:rsid w:val="008D2169"/>
    <w:rsid w:val="008D3E50"/>
    <w:rsid w:val="008D4692"/>
    <w:rsid w:val="008D58EE"/>
    <w:rsid w:val="008E0CC1"/>
    <w:rsid w:val="008E6824"/>
    <w:rsid w:val="008F5452"/>
    <w:rsid w:val="008F673F"/>
    <w:rsid w:val="0092763C"/>
    <w:rsid w:val="00933355"/>
    <w:rsid w:val="00952702"/>
    <w:rsid w:val="0095411C"/>
    <w:rsid w:val="00957EE9"/>
    <w:rsid w:val="00973FB8"/>
    <w:rsid w:val="00995310"/>
    <w:rsid w:val="009A1D01"/>
    <w:rsid w:val="009A4598"/>
    <w:rsid w:val="009A598E"/>
    <w:rsid w:val="009B7551"/>
    <w:rsid w:val="009C3459"/>
    <w:rsid w:val="009C73B8"/>
    <w:rsid w:val="009D4C16"/>
    <w:rsid w:val="009E6B89"/>
    <w:rsid w:val="00A00177"/>
    <w:rsid w:val="00A04FA1"/>
    <w:rsid w:val="00A140C4"/>
    <w:rsid w:val="00A17A4E"/>
    <w:rsid w:val="00A40C4E"/>
    <w:rsid w:val="00A508B0"/>
    <w:rsid w:val="00A50F34"/>
    <w:rsid w:val="00A54B39"/>
    <w:rsid w:val="00A640F5"/>
    <w:rsid w:val="00A85634"/>
    <w:rsid w:val="00AB0850"/>
    <w:rsid w:val="00AC5069"/>
    <w:rsid w:val="00AF015A"/>
    <w:rsid w:val="00B03523"/>
    <w:rsid w:val="00B0397F"/>
    <w:rsid w:val="00B04172"/>
    <w:rsid w:val="00B04806"/>
    <w:rsid w:val="00B07C03"/>
    <w:rsid w:val="00B225AC"/>
    <w:rsid w:val="00B4545D"/>
    <w:rsid w:val="00B46201"/>
    <w:rsid w:val="00B609FE"/>
    <w:rsid w:val="00B63F59"/>
    <w:rsid w:val="00B74517"/>
    <w:rsid w:val="00B767B9"/>
    <w:rsid w:val="00B93A53"/>
    <w:rsid w:val="00BB3DAB"/>
    <w:rsid w:val="00BC1A64"/>
    <w:rsid w:val="00BC4F6D"/>
    <w:rsid w:val="00BE1970"/>
    <w:rsid w:val="00BE7994"/>
    <w:rsid w:val="00C23CAB"/>
    <w:rsid w:val="00C64465"/>
    <w:rsid w:val="00C80AE1"/>
    <w:rsid w:val="00C82251"/>
    <w:rsid w:val="00C912BF"/>
    <w:rsid w:val="00C9753A"/>
    <w:rsid w:val="00CA5C0C"/>
    <w:rsid w:val="00CB2F5A"/>
    <w:rsid w:val="00CB4A6D"/>
    <w:rsid w:val="00CC47AF"/>
    <w:rsid w:val="00CC4AD8"/>
    <w:rsid w:val="00CC7E50"/>
    <w:rsid w:val="00CD5F79"/>
    <w:rsid w:val="00CE6AF0"/>
    <w:rsid w:val="00CF3105"/>
    <w:rsid w:val="00D0726D"/>
    <w:rsid w:val="00D0761A"/>
    <w:rsid w:val="00D12606"/>
    <w:rsid w:val="00D17C4E"/>
    <w:rsid w:val="00D34ECF"/>
    <w:rsid w:val="00D426E8"/>
    <w:rsid w:val="00D5324B"/>
    <w:rsid w:val="00D63028"/>
    <w:rsid w:val="00D65187"/>
    <w:rsid w:val="00D71927"/>
    <w:rsid w:val="00D77920"/>
    <w:rsid w:val="00D93F34"/>
    <w:rsid w:val="00DB24BD"/>
    <w:rsid w:val="00DB7D01"/>
    <w:rsid w:val="00DC1456"/>
    <w:rsid w:val="00DC1B4C"/>
    <w:rsid w:val="00DF1D84"/>
    <w:rsid w:val="00DF2E4A"/>
    <w:rsid w:val="00DF55C1"/>
    <w:rsid w:val="00E3735E"/>
    <w:rsid w:val="00E37E6B"/>
    <w:rsid w:val="00E41269"/>
    <w:rsid w:val="00E42561"/>
    <w:rsid w:val="00E42AD4"/>
    <w:rsid w:val="00E5087D"/>
    <w:rsid w:val="00E54244"/>
    <w:rsid w:val="00E557DA"/>
    <w:rsid w:val="00E55A2A"/>
    <w:rsid w:val="00E61CE0"/>
    <w:rsid w:val="00E66362"/>
    <w:rsid w:val="00E756CA"/>
    <w:rsid w:val="00E76C91"/>
    <w:rsid w:val="00E850CB"/>
    <w:rsid w:val="00EA167C"/>
    <w:rsid w:val="00EA28AF"/>
    <w:rsid w:val="00EA2A43"/>
    <w:rsid w:val="00EA61D9"/>
    <w:rsid w:val="00EA6BFD"/>
    <w:rsid w:val="00EC4FE7"/>
    <w:rsid w:val="00EC6CE1"/>
    <w:rsid w:val="00ED338B"/>
    <w:rsid w:val="00ED3455"/>
    <w:rsid w:val="00ED7428"/>
    <w:rsid w:val="00EE6E37"/>
    <w:rsid w:val="00EF0198"/>
    <w:rsid w:val="00EF3251"/>
    <w:rsid w:val="00EF453F"/>
    <w:rsid w:val="00F07CF2"/>
    <w:rsid w:val="00F15061"/>
    <w:rsid w:val="00F157BA"/>
    <w:rsid w:val="00F240F4"/>
    <w:rsid w:val="00F26DE0"/>
    <w:rsid w:val="00F36F20"/>
    <w:rsid w:val="00F37FD4"/>
    <w:rsid w:val="00F44F02"/>
    <w:rsid w:val="00F56406"/>
    <w:rsid w:val="00F80B02"/>
    <w:rsid w:val="00F966FE"/>
    <w:rsid w:val="00FC3E89"/>
    <w:rsid w:val="00FD09F3"/>
    <w:rsid w:val="00FD3686"/>
    <w:rsid w:val="00FD3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1C8A"/>
  <w15:docId w15:val="{987D7B9D-8352-421A-A000-70038BA9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2528"/>
    <w:pPr>
      <w:keepNext/>
      <w:keepLines/>
      <w:numPr>
        <w:numId w:val="6"/>
      </w:numPr>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712528"/>
    <w:pPr>
      <w:keepNext/>
      <w:keepLines/>
      <w:numPr>
        <w:ilvl w:val="1"/>
        <w:numId w:val="6"/>
      </w:numPr>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712528"/>
    <w:pPr>
      <w:keepNext/>
      <w:keepLines/>
      <w:numPr>
        <w:ilvl w:val="2"/>
        <w:numId w:val="6"/>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712528"/>
    <w:pPr>
      <w:keepNext/>
      <w:keepLines/>
      <w:numPr>
        <w:ilvl w:val="3"/>
        <w:numId w:val="6"/>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712528"/>
    <w:pPr>
      <w:keepNext/>
      <w:keepLines/>
      <w:numPr>
        <w:ilvl w:val="4"/>
        <w:numId w:val="6"/>
      </w:numPr>
      <w:spacing w:before="40" w:after="0" w:line="259" w:lineRule="auto"/>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712528"/>
    <w:pPr>
      <w:keepNext/>
      <w:keepLines/>
      <w:numPr>
        <w:ilvl w:val="5"/>
        <w:numId w:val="6"/>
      </w:numPr>
      <w:spacing w:before="40" w:after="0" w:line="259" w:lineRule="auto"/>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12528"/>
    <w:pPr>
      <w:keepNext/>
      <w:keepLines/>
      <w:numPr>
        <w:ilvl w:val="6"/>
        <w:numId w:val="6"/>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712528"/>
    <w:pPr>
      <w:keepNext/>
      <w:keepLines/>
      <w:numPr>
        <w:ilvl w:val="7"/>
        <w:numId w:val="6"/>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12528"/>
    <w:pPr>
      <w:keepNext/>
      <w:keepLines/>
      <w:numPr>
        <w:ilvl w:val="8"/>
        <w:numId w:val="6"/>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 w:type="paragraph" w:customStyle="1" w:styleId="paragraph">
    <w:name w:val="paragraph"/>
    <w:basedOn w:val="Normal"/>
    <w:rsid w:val="00DC14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D34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3455"/>
  </w:style>
  <w:style w:type="character" w:customStyle="1" w:styleId="Ttulo1Char">
    <w:name w:val="Título 1 Char"/>
    <w:basedOn w:val="Fontepargpadro"/>
    <w:link w:val="Ttulo1"/>
    <w:uiPriority w:val="9"/>
    <w:rsid w:val="00712528"/>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712528"/>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712528"/>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712528"/>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semiHidden/>
    <w:rsid w:val="00712528"/>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712528"/>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12528"/>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712528"/>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712528"/>
    <w:rPr>
      <w:rFonts w:asciiTheme="majorHAnsi" w:eastAsiaTheme="majorEastAsia" w:hAnsiTheme="majorHAnsi" w:cstheme="majorBidi"/>
      <w:i/>
      <w:iCs/>
      <w:color w:val="272727" w:themeColor="text1" w:themeTint="D8"/>
      <w:sz w:val="21"/>
      <w:szCs w:val="21"/>
    </w:rPr>
  </w:style>
  <w:style w:type="character" w:customStyle="1" w:styleId="textobra">
    <w:name w:val="textobra"/>
    <w:basedOn w:val="Fontepargpadro"/>
    <w:rsid w:val="005428CE"/>
  </w:style>
  <w:style w:type="character" w:customStyle="1" w:styleId="apple-converted-space">
    <w:name w:val="apple-converted-space"/>
    <w:basedOn w:val="Fontepargpadro"/>
    <w:rsid w:val="005428CE"/>
  </w:style>
  <w:style w:type="character" w:styleId="Forte">
    <w:name w:val="Strong"/>
    <w:basedOn w:val="Fontepargpadro"/>
    <w:uiPriority w:val="22"/>
    <w:qFormat/>
    <w:rsid w:val="0017087A"/>
    <w:rPr>
      <w:b/>
      <w:bCs/>
    </w:rPr>
  </w:style>
  <w:style w:type="character" w:styleId="nfase">
    <w:name w:val="Emphasis"/>
    <w:basedOn w:val="Fontepargpadro"/>
    <w:uiPriority w:val="20"/>
    <w:qFormat/>
    <w:rsid w:val="001708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2964">
      <w:bodyDiv w:val="1"/>
      <w:marLeft w:val="0"/>
      <w:marRight w:val="0"/>
      <w:marTop w:val="0"/>
      <w:marBottom w:val="0"/>
      <w:divBdr>
        <w:top w:val="none" w:sz="0" w:space="0" w:color="auto"/>
        <w:left w:val="none" w:sz="0" w:space="0" w:color="auto"/>
        <w:bottom w:val="none" w:sz="0" w:space="0" w:color="auto"/>
        <w:right w:val="none" w:sz="0" w:space="0" w:color="auto"/>
      </w:divBdr>
    </w:div>
    <w:div w:id="1049643925">
      <w:bodyDiv w:val="1"/>
      <w:marLeft w:val="0"/>
      <w:marRight w:val="0"/>
      <w:marTop w:val="0"/>
      <w:marBottom w:val="0"/>
      <w:divBdr>
        <w:top w:val="none" w:sz="0" w:space="0" w:color="auto"/>
        <w:left w:val="none" w:sz="0" w:space="0" w:color="auto"/>
        <w:bottom w:val="none" w:sz="0" w:space="0" w:color="auto"/>
        <w:right w:val="none" w:sz="0" w:space="0" w:color="auto"/>
      </w:divBdr>
    </w:div>
    <w:div w:id="1064378619">
      <w:bodyDiv w:val="1"/>
      <w:marLeft w:val="0"/>
      <w:marRight w:val="0"/>
      <w:marTop w:val="0"/>
      <w:marBottom w:val="0"/>
      <w:divBdr>
        <w:top w:val="none" w:sz="0" w:space="0" w:color="auto"/>
        <w:left w:val="none" w:sz="0" w:space="0" w:color="auto"/>
        <w:bottom w:val="none" w:sz="0" w:space="0" w:color="auto"/>
        <w:right w:val="none" w:sz="0" w:space="0" w:color="auto"/>
      </w:divBdr>
    </w:div>
    <w:div w:id="1149708930">
      <w:bodyDiv w:val="1"/>
      <w:marLeft w:val="0"/>
      <w:marRight w:val="0"/>
      <w:marTop w:val="0"/>
      <w:marBottom w:val="0"/>
      <w:divBdr>
        <w:top w:val="none" w:sz="0" w:space="0" w:color="auto"/>
        <w:left w:val="none" w:sz="0" w:space="0" w:color="auto"/>
        <w:bottom w:val="none" w:sz="0" w:space="0" w:color="auto"/>
        <w:right w:val="none" w:sz="0" w:space="0" w:color="auto"/>
      </w:divBdr>
      <w:divsChild>
        <w:div w:id="1701540750">
          <w:marLeft w:val="0"/>
          <w:marRight w:val="0"/>
          <w:marTop w:val="0"/>
          <w:marBottom w:val="0"/>
          <w:divBdr>
            <w:top w:val="none" w:sz="0" w:space="0" w:color="auto"/>
            <w:left w:val="none" w:sz="0" w:space="0" w:color="auto"/>
            <w:bottom w:val="none" w:sz="0" w:space="0" w:color="auto"/>
            <w:right w:val="none" w:sz="0" w:space="0" w:color="auto"/>
          </w:divBdr>
        </w:div>
        <w:div w:id="1203707271">
          <w:marLeft w:val="0"/>
          <w:marRight w:val="0"/>
          <w:marTop w:val="0"/>
          <w:marBottom w:val="0"/>
          <w:divBdr>
            <w:top w:val="none" w:sz="0" w:space="0" w:color="auto"/>
            <w:left w:val="none" w:sz="0" w:space="0" w:color="auto"/>
            <w:bottom w:val="none" w:sz="0" w:space="0" w:color="auto"/>
            <w:right w:val="none" w:sz="0" w:space="0" w:color="auto"/>
          </w:divBdr>
        </w:div>
      </w:divsChild>
    </w:div>
    <w:div w:id="1572277060">
      <w:bodyDiv w:val="1"/>
      <w:marLeft w:val="0"/>
      <w:marRight w:val="0"/>
      <w:marTop w:val="0"/>
      <w:marBottom w:val="0"/>
      <w:divBdr>
        <w:top w:val="none" w:sz="0" w:space="0" w:color="auto"/>
        <w:left w:val="none" w:sz="0" w:space="0" w:color="auto"/>
        <w:bottom w:val="none" w:sz="0" w:space="0" w:color="auto"/>
        <w:right w:val="none" w:sz="0" w:space="0" w:color="auto"/>
      </w:divBdr>
    </w:div>
    <w:div w:id="1970550025">
      <w:bodyDiv w:val="1"/>
      <w:marLeft w:val="0"/>
      <w:marRight w:val="0"/>
      <w:marTop w:val="0"/>
      <w:marBottom w:val="0"/>
      <w:divBdr>
        <w:top w:val="none" w:sz="0" w:space="0" w:color="auto"/>
        <w:left w:val="none" w:sz="0" w:space="0" w:color="auto"/>
        <w:bottom w:val="none" w:sz="0" w:space="0" w:color="auto"/>
        <w:right w:val="none" w:sz="0" w:space="0" w:color="auto"/>
      </w:divBdr>
      <w:divsChild>
        <w:div w:id="808132674">
          <w:marLeft w:val="0"/>
          <w:marRight w:val="0"/>
          <w:marTop w:val="0"/>
          <w:marBottom w:val="0"/>
          <w:divBdr>
            <w:top w:val="none" w:sz="0" w:space="0" w:color="auto"/>
            <w:left w:val="none" w:sz="0" w:space="0" w:color="auto"/>
            <w:bottom w:val="none" w:sz="0" w:space="0" w:color="auto"/>
            <w:right w:val="none" w:sz="0" w:space="0" w:color="auto"/>
          </w:divBdr>
        </w:div>
        <w:div w:id="136531519">
          <w:marLeft w:val="0"/>
          <w:marRight w:val="0"/>
          <w:marTop w:val="0"/>
          <w:marBottom w:val="0"/>
          <w:divBdr>
            <w:top w:val="none" w:sz="0" w:space="0" w:color="auto"/>
            <w:left w:val="none" w:sz="0" w:space="0" w:color="auto"/>
            <w:bottom w:val="none" w:sz="0" w:space="0" w:color="auto"/>
            <w:right w:val="none" w:sz="0" w:space="0" w:color="auto"/>
          </w:divBdr>
        </w:div>
      </w:divsChild>
    </w:div>
    <w:div w:id="1990673925">
      <w:bodyDiv w:val="1"/>
      <w:marLeft w:val="0"/>
      <w:marRight w:val="0"/>
      <w:marTop w:val="0"/>
      <w:marBottom w:val="0"/>
      <w:divBdr>
        <w:top w:val="none" w:sz="0" w:space="0" w:color="auto"/>
        <w:left w:val="none" w:sz="0" w:space="0" w:color="auto"/>
        <w:bottom w:val="none" w:sz="0" w:space="0" w:color="auto"/>
        <w:right w:val="none" w:sz="0" w:space="0" w:color="auto"/>
      </w:divBdr>
      <w:divsChild>
        <w:div w:id="1164736288">
          <w:marLeft w:val="0"/>
          <w:marRight w:val="0"/>
          <w:marTop w:val="0"/>
          <w:marBottom w:val="0"/>
          <w:divBdr>
            <w:top w:val="none" w:sz="0" w:space="0" w:color="auto"/>
            <w:left w:val="none" w:sz="0" w:space="0" w:color="auto"/>
            <w:bottom w:val="none" w:sz="0" w:space="0" w:color="auto"/>
            <w:right w:val="none" w:sz="0" w:space="0" w:color="auto"/>
          </w:divBdr>
        </w:div>
        <w:div w:id="590551083">
          <w:marLeft w:val="0"/>
          <w:marRight w:val="0"/>
          <w:marTop w:val="0"/>
          <w:marBottom w:val="0"/>
          <w:divBdr>
            <w:top w:val="none" w:sz="0" w:space="0" w:color="auto"/>
            <w:left w:val="none" w:sz="0" w:space="0" w:color="auto"/>
            <w:bottom w:val="none" w:sz="0" w:space="0" w:color="auto"/>
            <w:right w:val="none" w:sz="0" w:space="0" w:color="auto"/>
          </w:divBdr>
        </w:div>
        <w:div w:id="1209027197">
          <w:marLeft w:val="0"/>
          <w:marRight w:val="0"/>
          <w:marTop w:val="0"/>
          <w:marBottom w:val="0"/>
          <w:divBdr>
            <w:top w:val="none" w:sz="0" w:space="0" w:color="auto"/>
            <w:left w:val="none" w:sz="0" w:space="0" w:color="auto"/>
            <w:bottom w:val="none" w:sz="0" w:space="0" w:color="auto"/>
            <w:right w:val="none" w:sz="0" w:space="0" w:color="auto"/>
          </w:divBdr>
        </w:div>
        <w:div w:id="825703409">
          <w:marLeft w:val="0"/>
          <w:marRight w:val="0"/>
          <w:marTop w:val="0"/>
          <w:marBottom w:val="0"/>
          <w:divBdr>
            <w:top w:val="none" w:sz="0" w:space="0" w:color="auto"/>
            <w:left w:val="none" w:sz="0" w:space="0" w:color="auto"/>
            <w:bottom w:val="none" w:sz="0" w:space="0" w:color="auto"/>
            <w:right w:val="none" w:sz="0" w:space="0" w:color="auto"/>
          </w:divBdr>
        </w:div>
        <w:div w:id="647252154">
          <w:marLeft w:val="0"/>
          <w:marRight w:val="0"/>
          <w:marTop w:val="0"/>
          <w:marBottom w:val="0"/>
          <w:divBdr>
            <w:top w:val="none" w:sz="0" w:space="0" w:color="auto"/>
            <w:left w:val="none" w:sz="0" w:space="0" w:color="auto"/>
            <w:bottom w:val="none" w:sz="0" w:space="0" w:color="auto"/>
            <w:right w:val="none" w:sz="0" w:space="0" w:color="auto"/>
          </w:divBdr>
        </w:div>
        <w:div w:id="550657924">
          <w:marLeft w:val="0"/>
          <w:marRight w:val="0"/>
          <w:marTop w:val="0"/>
          <w:marBottom w:val="0"/>
          <w:divBdr>
            <w:top w:val="none" w:sz="0" w:space="0" w:color="auto"/>
            <w:left w:val="none" w:sz="0" w:space="0" w:color="auto"/>
            <w:bottom w:val="none" w:sz="0" w:space="0" w:color="auto"/>
            <w:right w:val="none" w:sz="0" w:space="0" w:color="auto"/>
          </w:divBdr>
        </w:div>
      </w:divsChild>
    </w:div>
    <w:div w:id="20106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531CB-1630-455C-9F8E-50EDE57B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3594</Words>
  <Characters>19408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conceicao santos</cp:lastModifiedBy>
  <cp:revision>5</cp:revision>
  <cp:lastPrinted>2014-11-07T23:02:00Z</cp:lastPrinted>
  <dcterms:created xsi:type="dcterms:W3CDTF">2014-11-07T22:54:00Z</dcterms:created>
  <dcterms:modified xsi:type="dcterms:W3CDTF">2018-06-18T21:14:00Z</dcterms:modified>
</cp:coreProperties>
</file>