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D2" w:rsidRPr="00830575" w:rsidRDefault="002015D2" w:rsidP="00033CD3">
      <w:pPr>
        <w:spacing w:after="40" w:line="360" w:lineRule="auto"/>
        <w:jc w:val="center"/>
        <w:rPr>
          <w:rFonts w:ascii="Times New Roman" w:hAnsi="Times New Roman" w:cs="Times New Roman"/>
          <w:sz w:val="24"/>
        </w:rPr>
      </w:pPr>
      <w:r w:rsidRPr="00830575">
        <w:rPr>
          <w:rFonts w:ascii="Times New Roman" w:hAnsi="Times New Roman" w:cs="Times New Roman"/>
          <w:sz w:val="24"/>
        </w:rPr>
        <w:t>UNIDADE DE ENSINO SUPERIOR DOM BOSCO – UNDB</w:t>
      </w:r>
    </w:p>
    <w:p w:rsidR="002015D2" w:rsidRDefault="002015D2" w:rsidP="00033CD3">
      <w:pPr>
        <w:spacing w:after="40" w:line="360" w:lineRule="auto"/>
        <w:jc w:val="center"/>
        <w:rPr>
          <w:rFonts w:ascii="Times New Roman" w:hAnsi="Times New Roman" w:cs="Times New Roman"/>
          <w:sz w:val="24"/>
        </w:rPr>
      </w:pPr>
      <w:r w:rsidRPr="00830575">
        <w:rPr>
          <w:rFonts w:ascii="Times New Roman" w:hAnsi="Times New Roman" w:cs="Times New Roman"/>
          <w:sz w:val="24"/>
        </w:rPr>
        <w:t>CURSO DE GRADUAÇÃO EM DIREITO</w:t>
      </w:r>
    </w:p>
    <w:p w:rsidR="002015D2" w:rsidRDefault="002015D2" w:rsidP="00033CD3">
      <w:pPr>
        <w:spacing w:after="40" w:line="360" w:lineRule="auto"/>
        <w:jc w:val="center"/>
        <w:rPr>
          <w:rFonts w:ascii="Times New Roman" w:hAnsi="Times New Roman" w:cs="Times New Roman"/>
          <w:sz w:val="24"/>
        </w:rPr>
      </w:pPr>
    </w:p>
    <w:p w:rsidR="002015D2" w:rsidRDefault="002015D2" w:rsidP="00033CD3">
      <w:pPr>
        <w:suppressAutoHyphens/>
        <w:overflowPunct w:val="0"/>
        <w:spacing w:after="4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354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“PAPER” DE PESQUISA ARGUMENTATIVO/ ESTUDO DE CASO</w:t>
      </w:r>
    </w:p>
    <w:p w:rsidR="002015D2" w:rsidRPr="002354AC" w:rsidRDefault="002015D2" w:rsidP="00033CD3">
      <w:pPr>
        <w:suppressAutoHyphens/>
        <w:overflowPunct w:val="0"/>
        <w:spacing w:after="40" w:line="360" w:lineRule="auto"/>
        <w:jc w:val="center"/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  <w:lang w:eastAsia="pt-BR"/>
        </w:rPr>
      </w:pPr>
    </w:p>
    <w:p w:rsidR="00864FE4" w:rsidRDefault="002015D2" w:rsidP="00033CD3">
      <w:pPr>
        <w:spacing w:after="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TÍTULO: </w:t>
      </w:r>
      <w:r>
        <w:rPr>
          <w:rFonts w:ascii="Times New Roman" w:hAnsi="Times New Roman" w:cs="Times New Roman"/>
          <w:sz w:val="24"/>
        </w:rPr>
        <w:t>Impacto que o amicus curiae possui nas decisões do Supremo Tribunal Federal.</w:t>
      </w:r>
      <w:r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:rsidR="002015D2" w:rsidRDefault="002015D2" w:rsidP="00033CD3">
      <w:pPr>
        <w:spacing w:after="40" w:line="360" w:lineRule="auto"/>
        <w:rPr>
          <w:rFonts w:ascii="Times New Roman" w:hAnsi="Times New Roman" w:cs="Times New Roman"/>
          <w:sz w:val="24"/>
        </w:rPr>
      </w:pPr>
    </w:p>
    <w:p w:rsidR="002015D2" w:rsidRDefault="002015D2" w:rsidP="00033CD3">
      <w:pPr>
        <w:spacing w:after="40"/>
        <w:jc w:val="right"/>
      </w:pPr>
      <w:r>
        <w:rPr>
          <w:rFonts w:ascii="Times New Roman" w:hAnsi="Times New Roman" w:cs="Times New Roman"/>
          <w:sz w:val="24"/>
        </w:rPr>
        <w:t>Renan Conde dos Santos</w:t>
      </w:r>
      <w:r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2015D2" w:rsidRDefault="0067188C" w:rsidP="00033CD3">
      <w:pPr>
        <w:spacing w:after="40"/>
        <w:jc w:val="right"/>
      </w:pPr>
      <w:r>
        <w:rPr>
          <w:rFonts w:ascii="Times New Roman" w:hAnsi="Times New Roman" w:cs="Times New Roman"/>
          <w:sz w:val="24"/>
        </w:rPr>
        <w:t>Gabriel de Souza Gomes Feitosa</w:t>
      </w:r>
      <w:r w:rsidR="002015D2">
        <w:rPr>
          <w:rStyle w:val="Refdenotaderodap"/>
          <w:rFonts w:ascii="Times New Roman" w:hAnsi="Times New Roman" w:cs="Times New Roman"/>
          <w:sz w:val="24"/>
        </w:rPr>
        <w:footnoteReference w:id="3"/>
      </w:r>
    </w:p>
    <w:p w:rsidR="00EF5765" w:rsidRDefault="00EF5765" w:rsidP="00033CD3">
      <w:pPr>
        <w:spacing w:after="40"/>
        <w:jc w:val="right"/>
        <w:rPr>
          <w:rFonts w:ascii="Times New Roman" w:hAnsi="Times New Roman" w:cs="Times New Roman"/>
          <w:sz w:val="24"/>
        </w:rPr>
      </w:pPr>
    </w:p>
    <w:p w:rsidR="00033CD3" w:rsidRDefault="00033CD3" w:rsidP="00033CD3">
      <w:pPr>
        <w:spacing w:after="40"/>
        <w:jc w:val="right"/>
        <w:rPr>
          <w:rFonts w:ascii="Times New Roman" w:hAnsi="Times New Roman" w:cs="Times New Roman"/>
          <w:sz w:val="24"/>
        </w:rPr>
      </w:pPr>
    </w:p>
    <w:p w:rsidR="004B0A78" w:rsidRPr="00EF5765" w:rsidRDefault="004B0A78" w:rsidP="00033CD3">
      <w:pPr>
        <w:spacing w:after="40"/>
        <w:jc w:val="right"/>
        <w:rPr>
          <w:rFonts w:ascii="Times New Roman" w:hAnsi="Times New Roman" w:cs="Times New Roman"/>
          <w:sz w:val="24"/>
        </w:rPr>
      </w:pPr>
    </w:p>
    <w:p w:rsidR="002015D2" w:rsidRDefault="002015D2" w:rsidP="00033CD3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14F35">
        <w:rPr>
          <w:rFonts w:ascii="Times New Roman" w:hAnsi="Times New Roman" w:cs="Times New Roman"/>
          <w:b/>
          <w:bCs/>
          <w:sz w:val="24"/>
          <w:szCs w:val="20"/>
        </w:rPr>
        <w:t>RESUMO</w:t>
      </w:r>
    </w:p>
    <w:p w:rsidR="002015D2" w:rsidRDefault="002015D2" w:rsidP="00033CD3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015D2" w:rsidRPr="00BE051F" w:rsidRDefault="002015D2" w:rsidP="00033CD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51F">
        <w:rPr>
          <w:rFonts w:ascii="Times New Roman" w:hAnsi="Times New Roman" w:cs="Times New Roman"/>
          <w:sz w:val="24"/>
          <w:szCs w:val="24"/>
        </w:rPr>
        <w:t>Diante das mudanças que prevê o Projeto de Lei nº 4.330-l de 2004 à referida pesquisa, se mostra de grande relevância no atual contexto trabalhista que se encontra no Brasil.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2A7">
        <w:rPr>
          <w:rFonts w:ascii="Times New Roman" w:hAnsi="Times New Roman" w:cs="Times New Roman"/>
          <w:sz w:val="24"/>
          <w:szCs w:val="24"/>
        </w:rPr>
        <w:t>É imperioso acompanhar e compreender que desde que esse instrumento foi adotado pelo ordenamento jurídico brasileiro, ele já foi diversas vezes utilizado pelo S</w:t>
      </w:r>
      <w:r>
        <w:rPr>
          <w:rFonts w:ascii="Times New Roman" w:hAnsi="Times New Roman" w:cs="Times New Roman"/>
          <w:sz w:val="24"/>
          <w:szCs w:val="24"/>
        </w:rPr>
        <w:t xml:space="preserve">upremo </w:t>
      </w:r>
      <w:r w:rsidRPr="002212A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ribunal </w:t>
      </w:r>
      <w:r w:rsidRPr="002212A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ederal</w:t>
      </w:r>
      <w:r w:rsidRPr="002212A7">
        <w:rPr>
          <w:rFonts w:ascii="Times New Roman" w:hAnsi="Times New Roman" w:cs="Times New Roman"/>
          <w:sz w:val="24"/>
          <w:szCs w:val="24"/>
        </w:rPr>
        <w:t>, tanto indicado por este, como de forma voluntária, ressaltando que este último foi o que houve maior participação nos debates, pois estavam envolvidos tanto diretamente, como indiretamente no assunto abordado.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2A7">
        <w:rPr>
          <w:rFonts w:ascii="Times New Roman" w:hAnsi="Times New Roman" w:cs="Times New Roman"/>
          <w:sz w:val="24"/>
          <w:szCs w:val="24"/>
        </w:rPr>
        <w:t xml:space="preserve">A escolha desse tema, nasce da dúvida de qual é realmente o papel que o amicus curiae tem nas decisões proferidas pelo Supremo Tribunal Federal, se de incrementar nos argumentos acerca do assunto ou tomar posicionamento em </w:t>
      </w:r>
      <w:r>
        <w:rPr>
          <w:rFonts w:ascii="Times New Roman" w:hAnsi="Times New Roman" w:cs="Times New Roman"/>
          <w:sz w:val="24"/>
          <w:szCs w:val="24"/>
        </w:rPr>
        <w:t xml:space="preserve">alguns do lado da lide, nascendo daí a necessidade da discussão do tema em pauta, afim de buscar um melhor entendimento para qual a função que o amicus curiae possui nas decisões do STF. Para discorrer sobre esse assunto, o trabalho foi dividido em três objetivos específicos, sendo eles: </w:t>
      </w:r>
      <w:r w:rsidRPr="00BE051F">
        <w:rPr>
          <w:rFonts w:ascii="Times New Roman" w:hAnsi="Times New Roman" w:cs="Times New Roman"/>
          <w:sz w:val="24"/>
          <w:szCs w:val="24"/>
        </w:rPr>
        <w:t>Identificar os requisitos de deferimento e i</w:t>
      </w:r>
      <w:r>
        <w:rPr>
          <w:rFonts w:ascii="Times New Roman" w:hAnsi="Times New Roman" w:cs="Times New Roman"/>
          <w:sz w:val="24"/>
          <w:szCs w:val="24"/>
        </w:rPr>
        <w:t xml:space="preserve">ndeferimentos do amicus curiae; </w:t>
      </w:r>
      <w:proofErr w:type="gramStart"/>
      <w:r w:rsidRPr="00BE051F">
        <w:rPr>
          <w:rFonts w:ascii="Times New Roman" w:hAnsi="Times New Roman" w:cs="Times New Roman"/>
          <w:sz w:val="24"/>
          <w:szCs w:val="24"/>
        </w:rPr>
        <w:t>Analisar</w:t>
      </w:r>
      <w:proofErr w:type="gramEnd"/>
      <w:r w:rsidRPr="00BE051F">
        <w:rPr>
          <w:rFonts w:ascii="Times New Roman" w:hAnsi="Times New Roman" w:cs="Times New Roman"/>
          <w:sz w:val="24"/>
          <w:szCs w:val="24"/>
        </w:rPr>
        <w:t xml:space="preserve"> como deve ser estruturado a base de argumentação dos interessados</w:t>
      </w:r>
      <w:r>
        <w:rPr>
          <w:rFonts w:ascii="Times New Roman" w:hAnsi="Times New Roman" w:cs="Times New Roman"/>
          <w:sz w:val="24"/>
          <w:szCs w:val="24"/>
        </w:rPr>
        <w:t xml:space="preserve"> e, </w:t>
      </w:r>
      <w:r w:rsidRPr="00BE051F">
        <w:rPr>
          <w:rFonts w:ascii="Times New Roman" w:hAnsi="Times New Roman" w:cs="Times New Roman"/>
          <w:sz w:val="24"/>
          <w:szCs w:val="24"/>
        </w:rPr>
        <w:t>Apontar os possíveis impactos desse tipo de participação no resultado final do processo.</w:t>
      </w:r>
    </w:p>
    <w:p w:rsidR="002015D2" w:rsidRDefault="002015D2" w:rsidP="00033CD3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6327C3" w:rsidRPr="00A833DF" w:rsidRDefault="002015D2" w:rsidP="007361B0">
      <w:pPr>
        <w:spacing w:after="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Palavras-chave: </w:t>
      </w:r>
      <w:r>
        <w:rPr>
          <w:rFonts w:ascii="Times New Roman" w:hAnsi="Times New Roman" w:cs="Times New Roman"/>
          <w:sz w:val="24"/>
        </w:rPr>
        <w:t>Amicus curiae. Instrumento. Supremo Tribunal Federal.</w:t>
      </w:r>
    </w:p>
    <w:p w:rsidR="007361B0" w:rsidRDefault="007361B0" w:rsidP="007361B0">
      <w:pPr>
        <w:spacing w:after="40" w:line="360" w:lineRule="auto"/>
      </w:pPr>
    </w:p>
    <w:p w:rsidR="004B0A78" w:rsidRDefault="004B0A78" w:rsidP="007361B0">
      <w:pPr>
        <w:spacing w:after="40" w:line="360" w:lineRule="auto"/>
      </w:pPr>
    </w:p>
    <w:p w:rsidR="004B0A78" w:rsidRDefault="004B0A78" w:rsidP="007361B0">
      <w:pPr>
        <w:spacing w:after="40" w:line="360" w:lineRule="auto"/>
      </w:pPr>
    </w:p>
    <w:p w:rsidR="004B0A78" w:rsidRDefault="004B0A78" w:rsidP="007361B0">
      <w:pPr>
        <w:spacing w:after="40" w:line="360" w:lineRule="auto"/>
      </w:pPr>
    </w:p>
    <w:p w:rsidR="002015D2" w:rsidRDefault="002015D2" w:rsidP="00033CD3">
      <w:pPr>
        <w:spacing w:after="4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 INTRODUÇÃO</w:t>
      </w:r>
    </w:p>
    <w:p w:rsidR="00EF5765" w:rsidRDefault="00EF5765" w:rsidP="00033CD3">
      <w:pPr>
        <w:spacing w:after="40" w:line="360" w:lineRule="auto"/>
        <w:rPr>
          <w:rFonts w:ascii="Times New Roman" w:hAnsi="Times New Roman" w:cs="Times New Roman"/>
          <w:b/>
          <w:bCs/>
          <w:sz w:val="24"/>
        </w:rPr>
      </w:pPr>
    </w:p>
    <w:p w:rsidR="009F31EC" w:rsidRDefault="00A833DF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amicus curiae inicialmente instituído no período medieval, consistia no papel de terceiros de apontar erros apresentados nos processos, trazendo informações relevantes e não conhecidas ou ignoradas pelos juízes. Esse é um dos aspectos de maior discussão a respeito desse tema, já que é questionado a neutralidade desse terceiro que participa do processo informando aos julgadores aspectos desconhecidos a respeito do caso. Atualmente essa questão já não é mais relevante de modo que o pensamento majoritário a respeito do assunto entende que o amicus curiae de uma maneira ou de outra irá favorecer um lado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processo</w:t>
      </w:r>
      <w:r w:rsidR="00EF5765" w:rsidRPr="00944C2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F5765" w:rsidRPr="00944C29">
        <w:rPr>
          <w:rFonts w:ascii="Times New Roman" w:hAnsi="Times New Roman" w:cs="Times New Roman"/>
          <w:sz w:val="24"/>
          <w:szCs w:val="24"/>
        </w:rPr>
        <w:t xml:space="preserve"> inovação do </w:t>
      </w:r>
      <w:proofErr w:type="spellStart"/>
      <w:r w:rsidR="00EF5765" w:rsidRPr="00944C29">
        <w:rPr>
          <w:rFonts w:ascii="Times New Roman" w:hAnsi="Times New Roman" w:cs="Times New Roman"/>
          <w:sz w:val="24"/>
          <w:szCs w:val="24"/>
        </w:rPr>
        <w:t>amicus</w:t>
      </w:r>
      <w:proofErr w:type="spellEnd"/>
      <w:r w:rsidR="00EF5765" w:rsidRPr="00944C29">
        <w:rPr>
          <w:rFonts w:ascii="Times New Roman" w:hAnsi="Times New Roman" w:cs="Times New Roman"/>
          <w:sz w:val="24"/>
          <w:szCs w:val="24"/>
        </w:rPr>
        <w:t xml:space="preserve"> curiae, “amigo da corte”, </w:t>
      </w:r>
      <w:r w:rsidR="00EF5765">
        <w:rPr>
          <w:rFonts w:ascii="Times New Roman" w:hAnsi="Times New Roman" w:cs="Times New Roman"/>
          <w:sz w:val="24"/>
          <w:szCs w:val="24"/>
        </w:rPr>
        <w:t>é um instrumento que tem como finalidade da</w:t>
      </w:r>
      <w:r w:rsidR="001371C3">
        <w:rPr>
          <w:rFonts w:ascii="Times New Roman" w:hAnsi="Times New Roman" w:cs="Times New Roman"/>
          <w:sz w:val="24"/>
          <w:szCs w:val="24"/>
        </w:rPr>
        <w:t>r</w:t>
      </w:r>
      <w:r w:rsidR="00EF5765">
        <w:rPr>
          <w:rFonts w:ascii="Times New Roman" w:hAnsi="Times New Roman" w:cs="Times New Roman"/>
          <w:sz w:val="24"/>
          <w:szCs w:val="24"/>
        </w:rPr>
        <w:t xml:space="preserve"> voz à sociedade nas decisões</w:t>
      </w:r>
      <w:r w:rsidR="001371C3">
        <w:rPr>
          <w:rFonts w:ascii="Times New Roman" w:hAnsi="Times New Roman" w:cs="Times New Roman"/>
          <w:sz w:val="24"/>
          <w:szCs w:val="24"/>
        </w:rPr>
        <w:t>, ou seja, é um símbolo da democratização do exercício da função jurisdicional</w:t>
      </w:r>
      <w:r w:rsidR="00EF5765">
        <w:rPr>
          <w:rFonts w:ascii="Times New Roman" w:hAnsi="Times New Roman" w:cs="Times New Roman"/>
          <w:sz w:val="24"/>
          <w:szCs w:val="24"/>
        </w:rPr>
        <w:t>, e que</w:t>
      </w:r>
      <w:r w:rsidR="00EF5765" w:rsidRPr="00944C29">
        <w:rPr>
          <w:rFonts w:ascii="Times New Roman" w:hAnsi="Times New Roman" w:cs="Times New Roman"/>
          <w:sz w:val="24"/>
          <w:szCs w:val="24"/>
        </w:rPr>
        <w:t xml:space="preserve"> nasce da necessidade de haver um terceiro</w:t>
      </w:r>
      <w:r w:rsidR="001371C3">
        <w:rPr>
          <w:rFonts w:ascii="Times New Roman" w:hAnsi="Times New Roman" w:cs="Times New Roman"/>
          <w:sz w:val="24"/>
          <w:szCs w:val="24"/>
        </w:rPr>
        <w:t>, detentor de conhecimentos específicos,</w:t>
      </w:r>
      <w:r w:rsidR="00EF5765" w:rsidRPr="00944C29">
        <w:rPr>
          <w:rFonts w:ascii="Times New Roman" w:hAnsi="Times New Roman" w:cs="Times New Roman"/>
          <w:sz w:val="24"/>
          <w:szCs w:val="24"/>
        </w:rPr>
        <w:t xml:space="preserve"> na lide que o Supremo Tribunal Federal tem como dever julgar.</w:t>
      </w:r>
    </w:p>
    <w:p w:rsidR="00EF5765" w:rsidRPr="00944C29" w:rsidRDefault="00EF5765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4C29">
        <w:rPr>
          <w:rFonts w:ascii="Times New Roman" w:hAnsi="Times New Roman" w:cs="Times New Roman"/>
          <w:sz w:val="24"/>
          <w:szCs w:val="24"/>
        </w:rPr>
        <w:t xml:space="preserve">O amicus curiae é determinado pela Corte ou por sua própria iniciativa, pois a decisão a ser proferida pelo STF </w:t>
      </w:r>
      <w:r>
        <w:rPr>
          <w:rFonts w:ascii="Times New Roman" w:hAnsi="Times New Roman" w:cs="Times New Roman"/>
          <w:sz w:val="24"/>
          <w:szCs w:val="24"/>
        </w:rPr>
        <w:t>poderá repercutir</w:t>
      </w:r>
      <w:r w:rsidRPr="00944C29">
        <w:rPr>
          <w:rFonts w:ascii="Times New Roman" w:hAnsi="Times New Roman" w:cs="Times New Roman"/>
          <w:sz w:val="24"/>
          <w:szCs w:val="24"/>
        </w:rPr>
        <w:t xml:space="preserve"> a seu favor, pois este possui informação técnica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44C29">
        <w:rPr>
          <w:rFonts w:ascii="Times New Roman" w:hAnsi="Times New Roman" w:cs="Times New Roman"/>
          <w:sz w:val="24"/>
          <w:szCs w:val="24"/>
        </w:rPr>
        <w:t xml:space="preserve">é de suma importância para o debate constitucional travado na Corte. </w:t>
      </w:r>
    </w:p>
    <w:p w:rsidR="00EF5765" w:rsidRDefault="00EF5765" w:rsidP="00033CD3">
      <w:pPr>
        <w:spacing w:after="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29">
        <w:rPr>
          <w:rFonts w:ascii="Times New Roman" w:hAnsi="Times New Roman" w:cs="Times New Roman"/>
          <w:sz w:val="24"/>
          <w:szCs w:val="24"/>
        </w:rPr>
        <w:t xml:space="preserve">Sendo assim, o amicus curiae </w:t>
      </w:r>
      <w:r>
        <w:rPr>
          <w:rFonts w:ascii="Times New Roman" w:hAnsi="Times New Roman" w:cs="Times New Roman"/>
          <w:sz w:val="24"/>
          <w:szCs w:val="24"/>
        </w:rPr>
        <w:t>teve sua intervenção estendida</w:t>
      </w:r>
      <w:r w:rsidRPr="00944C29">
        <w:rPr>
          <w:rFonts w:ascii="Times New Roman" w:hAnsi="Times New Roman" w:cs="Times New Roman"/>
          <w:sz w:val="24"/>
          <w:szCs w:val="24"/>
        </w:rPr>
        <w:t xml:space="preserve"> em alguns processos, pela lei </w:t>
      </w:r>
      <w:r w:rsidRPr="00944C29">
        <w:rPr>
          <w:rFonts w:ascii="Times New Roman" w:eastAsia="Times New Roman" w:hAnsi="Times New Roman" w:cs="Times New Roman"/>
          <w:sz w:val="24"/>
          <w:szCs w:val="24"/>
        </w:rPr>
        <w:t>nº 9.868/99</w:t>
      </w:r>
      <w:r>
        <w:rPr>
          <w:rFonts w:ascii="Times New Roman" w:eastAsia="Times New Roman" w:hAnsi="Times New Roman" w:cs="Times New Roman"/>
          <w:sz w:val="24"/>
          <w:szCs w:val="24"/>
        </w:rPr>
        <w:t>, modificando assim, sua relevância no ordenamento jurídico brasileiro, quebrando</w:t>
      </w:r>
      <w:r w:rsidRPr="00944C29">
        <w:rPr>
          <w:rFonts w:ascii="Times New Roman" w:eastAsia="Times New Roman" w:hAnsi="Times New Roman" w:cs="Times New Roman"/>
          <w:sz w:val="24"/>
          <w:szCs w:val="24"/>
        </w:rPr>
        <w:t xml:space="preserve"> com o paradigma da legitimidade exclusiva das instituições reguladoras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71C3" w:rsidRDefault="009F31EC" w:rsidP="00033CD3">
      <w:pPr>
        <w:spacing w:after="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1371C3">
        <w:rPr>
          <w:rFonts w:ascii="Times New Roman" w:eastAsia="Times New Roman" w:hAnsi="Times New Roman" w:cs="Times New Roman"/>
          <w:sz w:val="24"/>
          <w:szCs w:val="24"/>
        </w:rPr>
        <w:t xml:space="preserve">exercício da democracia não ficou mais restrito à apenas a </w:t>
      </w:r>
      <w:r>
        <w:rPr>
          <w:rFonts w:ascii="Times New Roman" w:eastAsia="Times New Roman" w:hAnsi="Times New Roman" w:cs="Times New Roman"/>
          <w:sz w:val="24"/>
          <w:szCs w:val="24"/>
        </w:rPr>
        <w:t>participação dos cidadãos na escolha de seus representantes, por meio de eleições, pelo voto direito, ultrapassando a barreira do poder Executivo e Legislativo, e alcançando o poder Judiciário.</w:t>
      </w:r>
    </w:p>
    <w:p w:rsidR="00EF5765" w:rsidRDefault="00EF5765" w:rsidP="00033CD3">
      <w:pPr>
        <w:spacing w:after="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em diversos processos julgados pelo Supremo Tribunal Federal ao logo dos anos, foi determinada o uso desse instrumento com o objetivo de enriquecer os argumentos que era tratado na lide, porém, muita das vezes, em sua própria argumentação, o amicus curiae deixava implícito de que lado da lide ele apoiava, possui</w:t>
      </w:r>
      <w:r w:rsidR="009F31EC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grande relevância na decisão do mais alto tribunal do país.</w:t>
      </w:r>
    </w:p>
    <w:p w:rsidR="009F31EC" w:rsidRDefault="009F31EC" w:rsidP="00033CD3">
      <w:pPr>
        <w:spacing w:after="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Portanto, pelo fato de o amicus curiae ser um instrumento de aperfeiçoamento das decisões da Corte Suprema, também com o objetivo de conferir maior legitimidade e democratização a estas, se tem a importância de se aprofundar no tema.</w:t>
      </w:r>
    </w:p>
    <w:p w:rsidR="002015D2" w:rsidRDefault="002015D2" w:rsidP="00033CD3">
      <w:pPr>
        <w:spacing w:after="40" w:line="360" w:lineRule="auto"/>
        <w:rPr>
          <w:rFonts w:ascii="Times New Roman" w:hAnsi="Times New Roman" w:cs="Times New Roman"/>
          <w:b/>
          <w:bCs/>
          <w:sz w:val="24"/>
        </w:rPr>
      </w:pPr>
    </w:p>
    <w:p w:rsidR="004B0A78" w:rsidRDefault="004B0A78" w:rsidP="00033CD3">
      <w:pPr>
        <w:spacing w:after="40" w:line="360" w:lineRule="auto"/>
        <w:rPr>
          <w:rFonts w:ascii="Times New Roman" w:hAnsi="Times New Roman" w:cs="Times New Roman"/>
          <w:b/>
          <w:bCs/>
          <w:sz w:val="24"/>
        </w:rPr>
      </w:pPr>
    </w:p>
    <w:p w:rsidR="004B0A78" w:rsidRDefault="004B0A78" w:rsidP="00033CD3">
      <w:pPr>
        <w:spacing w:after="40" w:line="360" w:lineRule="auto"/>
        <w:rPr>
          <w:rFonts w:ascii="Times New Roman" w:hAnsi="Times New Roman" w:cs="Times New Roman"/>
          <w:b/>
          <w:bCs/>
          <w:sz w:val="24"/>
        </w:rPr>
      </w:pPr>
    </w:p>
    <w:p w:rsidR="002015D2" w:rsidRDefault="002015D2" w:rsidP="00033CD3">
      <w:pPr>
        <w:pStyle w:val="NormalWeb"/>
        <w:spacing w:before="0" w:beforeAutospacing="0" w:after="40" w:afterAutospacing="0" w:line="360" w:lineRule="auto"/>
        <w:jc w:val="both"/>
        <w:rPr>
          <w:b/>
          <w:color w:val="000000"/>
        </w:rPr>
      </w:pPr>
      <w:r w:rsidRPr="00CB0D8F">
        <w:rPr>
          <w:b/>
          <w:color w:val="000000"/>
        </w:rPr>
        <w:lastRenderedPageBreak/>
        <w:t xml:space="preserve">2 </w:t>
      </w:r>
      <w:r>
        <w:rPr>
          <w:b/>
          <w:color w:val="000000"/>
        </w:rPr>
        <w:t>FUNDAMENTAÇÃO TEÓRICA</w:t>
      </w:r>
    </w:p>
    <w:p w:rsidR="002015D2" w:rsidRDefault="002015D2" w:rsidP="00033CD3">
      <w:pPr>
        <w:pStyle w:val="NormalWeb"/>
        <w:spacing w:before="0" w:beforeAutospacing="0" w:after="40" w:afterAutospacing="0" w:line="360" w:lineRule="auto"/>
        <w:jc w:val="both"/>
        <w:rPr>
          <w:b/>
          <w:color w:val="000000"/>
        </w:rPr>
      </w:pPr>
    </w:p>
    <w:p w:rsidR="002015D2" w:rsidRDefault="002015D2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B3D7C">
        <w:rPr>
          <w:rFonts w:ascii="Times New Roman" w:hAnsi="Times New Roman" w:cs="Times New Roman"/>
          <w:b/>
          <w:sz w:val="24"/>
          <w:szCs w:val="24"/>
        </w:rPr>
        <w:t>1. Requisitos do deferimento e do indeferimento do amicus curiae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3CD3" w:rsidRDefault="00033CD3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CD3" w:rsidRPr="0072511F" w:rsidRDefault="00033CD3" w:rsidP="00033CD3">
      <w:pPr>
        <w:spacing w:after="4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6D72">
        <w:rPr>
          <w:rFonts w:ascii="Times New Roman" w:hAnsi="Times New Roman" w:cs="Times New Roman"/>
          <w:sz w:val="24"/>
          <w:szCs w:val="24"/>
        </w:rPr>
        <w:t>É possível identificar um padrão recorrente na avaliação dos ministros do STF no que se refere a</w:t>
      </w:r>
      <w:r>
        <w:rPr>
          <w:rFonts w:ascii="Times New Roman" w:hAnsi="Times New Roman" w:cs="Times New Roman"/>
          <w:sz w:val="24"/>
          <w:szCs w:val="24"/>
        </w:rPr>
        <w:t xml:space="preserve"> admissibilidade n</w:t>
      </w:r>
      <w:r w:rsidRPr="00736D72">
        <w:rPr>
          <w:rFonts w:ascii="Times New Roman" w:hAnsi="Times New Roman" w:cs="Times New Roman"/>
          <w:sz w:val="24"/>
          <w:szCs w:val="24"/>
        </w:rPr>
        <w:t xml:space="preserve">o amicus curiae, que está ligado a dois critérios materiais. De tal modo, </w:t>
      </w:r>
      <w:r>
        <w:rPr>
          <w:rFonts w:ascii="Times New Roman" w:hAnsi="Times New Roman" w:cs="Times New Roman"/>
          <w:sz w:val="24"/>
          <w:szCs w:val="24"/>
        </w:rPr>
        <w:t xml:space="preserve">de acordo com o que é apontado no </w:t>
      </w:r>
      <w:r w:rsidRPr="00736D72">
        <w:rPr>
          <w:rFonts w:ascii="Times New Roman" w:hAnsi="Times New Roman" w:cs="Times New Roman"/>
          <w:sz w:val="24"/>
          <w:szCs w:val="24"/>
        </w:rPr>
        <w:t xml:space="preserve">art. 7º da Lei 9868/99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736D72">
        <w:rPr>
          <w:rFonts w:ascii="Times New Roman" w:hAnsi="Times New Roman" w:cs="Times New Roman"/>
          <w:sz w:val="24"/>
          <w:szCs w:val="24"/>
        </w:rPr>
        <w:t>seguintes critérios</w:t>
      </w:r>
      <w:r>
        <w:rPr>
          <w:rFonts w:ascii="Times New Roman" w:hAnsi="Times New Roman" w:cs="Times New Roman"/>
          <w:sz w:val="24"/>
          <w:szCs w:val="24"/>
        </w:rPr>
        <w:t xml:space="preserve"> são crucias</w:t>
      </w:r>
      <w:r w:rsidRPr="00736D72">
        <w:rPr>
          <w:rFonts w:ascii="Times New Roman" w:hAnsi="Times New Roman" w:cs="Times New Roman"/>
          <w:sz w:val="24"/>
          <w:szCs w:val="24"/>
        </w:rPr>
        <w:t>: relevância da matéria e representatividade dos postulantes.</w:t>
      </w:r>
    </w:p>
    <w:p w:rsidR="00033CD3" w:rsidRDefault="00033CD3" w:rsidP="00033CD3">
      <w:pPr>
        <w:spacing w:after="4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2511F">
        <w:rPr>
          <w:rFonts w:ascii="Times New Roman" w:hAnsi="Times New Roman" w:cs="Times New Roman"/>
          <w:sz w:val="24"/>
          <w:szCs w:val="24"/>
        </w:rPr>
        <w:t>A relevância da matéria pode ser vista como “a magnitude dos efeitos da decisão a ser proferida nos setores diretamente afetados ou para a sociedade como um todo” (BINENBOJM</w:t>
      </w:r>
      <w:r>
        <w:rPr>
          <w:rFonts w:ascii="Times New Roman" w:hAnsi="Times New Roman" w:cs="Times New Roman"/>
          <w:sz w:val="24"/>
          <w:szCs w:val="24"/>
        </w:rPr>
        <w:t>, 2010, p.</w:t>
      </w:r>
      <w:r w:rsidRPr="0072511F">
        <w:rPr>
          <w:rFonts w:ascii="Times New Roman" w:hAnsi="Times New Roman" w:cs="Times New Roman"/>
          <w:sz w:val="24"/>
          <w:szCs w:val="24"/>
        </w:rPr>
        <w:t>164). Por sua vez, a questão da representatividade vem sendo entendida precipuamente</w:t>
      </w:r>
      <w:r>
        <w:rPr>
          <w:rFonts w:ascii="Times New Roman" w:hAnsi="Times New Roman" w:cs="Times New Roman"/>
          <w:sz w:val="24"/>
          <w:szCs w:val="24"/>
        </w:rPr>
        <w:t xml:space="preserve"> como:</w:t>
      </w:r>
    </w:p>
    <w:p w:rsidR="00033CD3" w:rsidRPr="00701F7D" w:rsidRDefault="00033CD3" w:rsidP="00033CD3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701F7D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Os entes legitimados a propor a ação direta de inconstitucionalidade e ação declaratória de constitucionalidade, listados no artigo 103 da Constituição Federal, que não integram a lide, podem intervir na qualidade de amicus curiae, desde que demonstrem seu interesse, a ser avaliado pelo julgador. (MARÇAL, 2014, p. [?]). </w:t>
      </w:r>
    </w:p>
    <w:p w:rsidR="00033CD3" w:rsidRDefault="00033CD3" w:rsidP="00033CD3">
      <w:pPr>
        <w:spacing w:after="4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CD3" w:rsidRDefault="00033CD3" w:rsidP="00033CD3">
      <w:pPr>
        <w:spacing w:after="4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pertinência da matéria, que consiste na relação existente entre os fins institucionais atribuídos do órgão ou entidade e a matéria do ato normativos impugnado, mostra-se para a jurisprudência do Supremo Tribunal Federal uma necessidade para considerar um terceiro legitimo para configurar como amicus curiae. No entanto, para alguns, esse critério consiste apenas em uma forma de salvar a efetividade do requisito da relevância jurídica. A respeito disso, </w:t>
      </w:r>
      <w:r w:rsidRPr="00F9453E">
        <w:rPr>
          <w:rFonts w:ascii="Times New Roman" w:hAnsi="Times New Roman" w:cs="Times New Roman"/>
          <w:sz w:val="24"/>
          <w:szCs w:val="24"/>
        </w:rPr>
        <w:t>Cláudia Paiva da Silva</w:t>
      </w:r>
      <w:r>
        <w:rPr>
          <w:rFonts w:ascii="Times New Roman" w:hAnsi="Times New Roman" w:cs="Times New Roman"/>
          <w:sz w:val="24"/>
          <w:szCs w:val="24"/>
        </w:rPr>
        <w:t xml:space="preserve"> afirma que</w:t>
      </w:r>
      <w:r w:rsidRPr="00F9453E">
        <w:rPr>
          <w:rFonts w:ascii="Times New Roman" w:hAnsi="Times New Roman" w:cs="Times New Roman"/>
          <w:sz w:val="24"/>
          <w:szCs w:val="24"/>
        </w:rPr>
        <w:t>, “o requisito de relevância da matéria é considerado por muitos autores como relevância daquela matéria específica para aquele grupo representado pelo órgão ou entidade, dessa forma, os dois requisitos – pertinência e relev</w:t>
      </w:r>
      <w:r>
        <w:rPr>
          <w:rFonts w:ascii="Times New Roman" w:hAnsi="Times New Roman" w:cs="Times New Roman"/>
          <w:sz w:val="24"/>
          <w:szCs w:val="24"/>
        </w:rPr>
        <w:t>ância - acabam se confundindo” (DA SILVA, 2011, p.77)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33CD3" w:rsidRDefault="00033CD3" w:rsidP="00033CD3">
      <w:pPr>
        <w:spacing w:after="40" w:line="360" w:lineRule="auto"/>
        <w:ind w:firstLine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que tem se observado mais frequentemente com relação a isso, é que o amicus curiae tem se preocupado mais em mostrar a relevância temática com a sua representação, do que a relevância da matéria, com relação as suas repercussões de caráter político, econômico e social. A representação dessa forma, pode levar ao afastamento do amicus curiae, já que objetivo dela tem sido apenas atuar como amigo aos membros do processo, sendo uma tutela indireta. </w:t>
      </w:r>
    </w:p>
    <w:p w:rsidR="00033CD3" w:rsidRDefault="00033CD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sentido da relevância da matéria já se mostrou objeto de alguns estudos que tentaram aferir o seu real sentido, como pode ser mostrado: </w:t>
      </w:r>
    </w:p>
    <w:p w:rsidR="00033CD3" w:rsidRDefault="00033CD3" w:rsidP="00033CD3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C395F">
        <w:rPr>
          <w:rFonts w:ascii="Times New Roman" w:hAnsi="Times New Roman" w:cs="Times New Roman"/>
          <w:sz w:val="20"/>
          <w:szCs w:val="20"/>
        </w:rPr>
        <w:lastRenderedPageBreak/>
        <w:t>Como conclusão [...] sobre a “relevância da matéria” - imposta pela lei que cuida do procedimento da ADIN- temos que, tal critério, de acordo com o entendimento de alguns Ministros do STF [...] é composto dos seguintes requisitos: a) existência de situação concreta para ensejar a participação do amicus curiae; b) o tema em questão ser de alta indagação; c) a discussão ser suficiente para que o relator sinta a necessidade de recolhimento de mais informações; d) o caso possuir complexidade; e) existência de repercussão na ordem pública estadual</w:t>
      </w:r>
      <w:r>
        <w:rPr>
          <w:rFonts w:ascii="Times New Roman" w:hAnsi="Times New Roman" w:cs="Times New Roman"/>
          <w:sz w:val="20"/>
          <w:szCs w:val="20"/>
        </w:rPr>
        <w:t xml:space="preserve"> (LAURENTIS, 2007, p. 35)</w:t>
      </w:r>
    </w:p>
    <w:p w:rsidR="00033CD3" w:rsidRPr="009C395F" w:rsidRDefault="00033CD3" w:rsidP="00033CD3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33CD3" w:rsidRDefault="00033CD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Partindo desses critérios, é factível a afirmação que aponta o rol do artigo 103 da Constituição Federal como as pessoas pré-qualificadas para a admissão no amicus curiae, desde que o interesse jurídico na participação ação esteja </w:t>
      </w:r>
      <w:r w:rsidRPr="009C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evidente e claro.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Cassio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C9100D">
        <w:rPr>
          <w:rFonts w:ascii="Times New Roman" w:hAnsi="Times New Roman" w:cs="Times New Roman"/>
          <w:sz w:val="24"/>
          <w:szCs w:val="24"/>
          <w:shd w:val="clear" w:color="auto" w:fill="FFFFFF"/>
        </w:rPr>
        <w:t>carpinella</w:t>
      </w:r>
      <w:proofErr w:type="spellEnd"/>
      <w:r w:rsidRPr="00C910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Bueno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(2006)</w:t>
      </w:r>
      <w:r w:rsidRPr="00C910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esclarece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necessidade de relação entre </w:t>
      </w:r>
      <w:r w:rsidRPr="009C4414">
        <w:rPr>
          <w:rFonts w:ascii="Times New Roman" w:hAnsi="Times New Roman" w:cs="Times New Roman"/>
          <w:sz w:val="24"/>
          <w:szCs w:val="24"/>
          <w:shd w:val="clear" w:color="auto" w:fill="FFFFFF"/>
        </w:rPr>
        <w:t>as pessoas jurídicas de direito público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9C44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de direito privado, indicadas no artigo 103 da Constituição Federal, “com o que está sendo discutido em juízo, mas isso deve ser aferido no plano institucional, de suas finalidades institucionais, e não propriamente de seus interesses próprios 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deslinde da ação e das consequ</w:t>
      </w:r>
      <w:r w:rsidRPr="009C4414">
        <w:rPr>
          <w:rFonts w:ascii="Times New Roman" w:hAnsi="Times New Roman" w:cs="Times New Roman"/>
          <w:sz w:val="24"/>
          <w:szCs w:val="24"/>
          <w:shd w:val="clear" w:color="auto" w:fill="FFFFFF"/>
        </w:rPr>
        <w:t>ências de seu julgamento”.</w:t>
      </w:r>
    </w:p>
    <w:p w:rsidR="002015D2" w:rsidRPr="004B3D7C" w:rsidRDefault="002015D2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5D2" w:rsidRDefault="002015D2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C</w:t>
      </w:r>
      <w:r w:rsidRPr="004B3D7C">
        <w:rPr>
          <w:rFonts w:ascii="Times New Roman" w:hAnsi="Times New Roman" w:cs="Times New Roman"/>
          <w:b/>
          <w:sz w:val="24"/>
          <w:szCs w:val="24"/>
        </w:rPr>
        <w:t>omo deve ser estruturado a base de argumentação dos interessados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3CD3" w:rsidRDefault="00033CD3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CD3" w:rsidRDefault="00033CD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relação aos argumentos apresentados pelos interessados, tem se mostrado que os mesmos apresentam uma originalidade com relação a matéria da ação, exibindo novos aspectos que acrescentam ao que foi posto pelas partes ou mesmo por outros interessados. Caso ocorresse a repetição de assuntos já colocados em pauta, haveria uma sobrecarga que tornaria o processo moroso e não célere. </w:t>
      </w:r>
    </w:p>
    <w:p w:rsidR="00033CD3" w:rsidRDefault="00033CD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</w:t>
      </w:r>
      <w:r w:rsidRPr="00E82407">
        <w:rPr>
          <w:rFonts w:ascii="Times New Roman" w:hAnsi="Times New Roman" w:cs="Times New Roman"/>
          <w:sz w:val="24"/>
          <w:szCs w:val="24"/>
        </w:rPr>
        <w:t xml:space="preserve">, o min. Celso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82407">
        <w:rPr>
          <w:rFonts w:ascii="Times New Roman" w:hAnsi="Times New Roman" w:cs="Times New Roman"/>
          <w:sz w:val="24"/>
          <w:szCs w:val="24"/>
        </w:rPr>
        <w:t xml:space="preserve">ello já afirmou que “a intervenção do ‘amicus curiae’ para </w:t>
      </w:r>
      <w:r w:rsidRPr="0072511F">
        <w:rPr>
          <w:rFonts w:ascii="Times New Roman" w:hAnsi="Times New Roman" w:cs="Times New Roman"/>
          <w:sz w:val="24"/>
          <w:szCs w:val="24"/>
        </w:rPr>
        <w:t>legitimar-se, deve apoiar-se em razões que tornem desejável e útil a sua atuação[...]”.</w:t>
      </w:r>
      <w:r w:rsidRPr="00E82407">
        <w:rPr>
          <w:rFonts w:ascii="Times New Roman" w:hAnsi="Times New Roman" w:cs="Times New Roman"/>
          <w:sz w:val="24"/>
          <w:szCs w:val="24"/>
        </w:rPr>
        <w:t xml:space="preserve"> Em atenção a tal entendimento, destaca-se a seguinte decisão: “[...]</w:t>
      </w:r>
      <w:r>
        <w:rPr>
          <w:rFonts w:ascii="Times New Roman" w:hAnsi="Times New Roman" w:cs="Times New Roman"/>
          <w:sz w:val="24"/>
          <w:szCs w:val="24"/>
        </w:rPr>
        <w:t xml:space="preserve"> indefiro</w:t>
      </w:r>
      <w:r w:rsidRPr="00E82407">
        <w:rPr>
          <w:rFonts w:ascii="Times New Roman" w:hAnsi="Times New Roman" w:cs="Times New Roman"/>
          <w:sz w:val="24"/>
          <w:szCs w:val="24"/>
        </w:rPr>
        <w:t xml:space="preserve">, igualmente, o pedido de habilitação da APP [...] pois as razões trazidas pelo postulante constituem repetição do conteúdo material de outras tantas já expostas por onze entidades admitidas[...]” </w:t>
      </w:r>
      <w:r>
        <w:rPr>
          <w:rFonts w:ascii="Times New Roman" w:hAnsi="Times New Roman" w:cs="Times New Roman"/>
          <w:sz w:val="24"/>
          <w:szCs w:val="24"/>
        </w:rPr>
        <w:t>(BRITO, 2008, p. [?]).</w:t>
      </w:r>
    </w:p>
    <w:p w:rsidR="00033CD3" w:rsidRDefault="00033CD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o julgamento está muito próximo de acontecer, ou o mesmo já tenha sido oferecido em pauta, os ministros têm o costume de não aceitar o pedido, mas essa decisão pode variar tendo em vista que é de caráter discricionária. O relator pode optar em não aceitar o pedido quando ocorre uma inadmissão completa ou quando o requerente aceito o amicus curiae, mas de maneira reduzida. Estas possibilidades, podem ser </w:t>
      </w:r>
      <w:proofErr w:type="gramStart"/>
      <w:r>
        <w:rPr>
          <w:rFonts w:ascii="Times New Roman" w:hAnsi="Times New Roman" w:cs="Times New Roman"/>
          <w:sz w:val="24"/>
          <w:szCs w:val="24"/>
        </w:rPr>
        <w:t>vista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neste caso: </w:t>
      </w:r>
    </w:p>
    <w:p w:rsidR="00033CD3" w:rsidRPr="003C3E01" w:rsidRDefault="00033CD3" w:rsidP="00033CD3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C3E01">
        <w:rPr>
          <w:rFonts w:ascii="Times New Roman" w:hAnsi="Times New Roman" w:cs="Times New Roman"/>
          <w:sz w:val="20"/>
          <w:szCs w:val="20"/>
        </w:rPr>
        <w:t xml:space="preserve">No entanto, em virtude de a publicação da inclusão em pauta deste processo haver se dado em 24/9/2008 e a presente solicitação ter sido realizada apenas em 17/10/2008, </w:t>
      </w:r>
      <w:r w:rsidRPr="003C3E01">
        <w:rPr>
          <w:rFonts w:ascii="Times New Roman" w:hAnsi="Times New Roman" w:cs="Times New Roman"/>
          <w:sz w:val="20"/>
          <w:szCs w:val="20"/>
        </w:rPr>
        <w:lastRenderedPageBreak/>
        <w:t>admito a participação da Fazenda Nacional como amicus curiae tão-somente para (i) receber futuros memoriais, e (</w:t>
      </w:r>
      <w:proofErr w:type="spellStart"/>
      <w:r w:rsidRPr="003C3E01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3C3E01">
        <w:rPr>
          <w:rFonts w:ascii="Times New Roman" w:hAnsi="Times New Roman" w:cs="Times New Roman"/>
          <w:sz w:val="20"/>
          <w:szCs w:val="20"/>
        </w:rPr>
        <w:t xml:space="preserve">) para a realização, caso queira, da sustentação </w:t>
      </w:r>
      <w:r>
        <w:rPr>
          <w:rFonts w:ascii="Times New Roman" w:hAnsi="Times New Roman" w:cs="Times New Roman"/>
          <w:sz w:val="20"/>
          <w:szCs w:val="20"/>
        </w:rPr>
        <w:t>oral na sessão de julgamento</w:t>
      </w:r>
      <w:r w:rsidRPr="007139C3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7139C3">
        <w:rPr>
          <w:rFonts w:ascii="Times New Roman" w:hAnsi="Times New Roman" w:cs="Times New Roman"/>
          <w:sz w:val="20"/>
          <w:szCs w:val="20"/>
        </w:rPr>
        <w:t>Lewandowski</w:t>
      </w:r>
      <w:proofErr w:type="spellEnd"/>
      <w:r>
        <w:rPr>
          <w:rFonts w:ascii="Times New Roman" w:hAnsi="Times New Roman" w:cs="Times New Roman"/>
          <w:sz w:val="20"/>
          <w:szCs w:val="20"/>
        </w:rPr>
        <w:t>, 2009)</w:t>
      </w:r>
    </w:p>
    <w:p w:rsidR="00033CD3" w:rsidRPr="003C3E01" w:rsidRDefault="00033CD3" w:rsidP="00033CD3">
      <w:pPr>
        <w:spacing w:after="4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33CD3" w:rsidRDefault="00033CD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ministra Carmen Lúcia, já proferiu decisões em função da apresentação do pedido fora do prazo estipulado,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4F0E5F">
        <w:rPr>
          <w:rFonts w:ascii="Times New Roman" w:hAnsi="Times New Roman" w:cs="Times New Roman"/>
          <w:sz w:val="24"/>
          <w:szCs w:val="24"/>
        </w:rPr>
        <w:t xml:space="preserve"> ministra afirmou que os Requerentes tiveram quase três meses para apresentar seus pedidos entre a decisão de admissão do RE e a data de julgamento, todavia o fizeram somente horas antes do início do mesmo</w:t>
      </w:r>
      <w:r>
        <w:rPr>
          <w:rFonts w:ascii="Times New Roman" w:hAnsi="Times New Roman" w:cs="Times New Roman"/>
          <w:sz w:val="24"/>
          <w:szCs w:val="24"/>
        </w:rPr>
        <w:t>” (CORREA, 2012, p. [?])</w:t>
      </w:r>
      <w:r w:rsidRPr="004F0E5F">
        <w:rPr>
          <w:rFonts w:ascii="Times New Roman" w:hAnsi="Times New Roman" w:cs="Times New Roman"/>
          <w:sz w:val="24"/>
          <w:szCs w:val="24"/>
        </w:rPr>
        <w:t>.</w:t>
      </w:r>
    </w:p>
    <w:p w:rsidR="00033CD3" w:rsidRDefault="00033CD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Desde o surgimento do amicus curiae, tanto os seus procedimentos quanto a sua matéria foram moldados a partir de decisões monocráticas. Isso ocorreu em função da legislação ser pouco esclarecedora a respeito do assunto, o que tornou o STF competente para especificar o amigo da corte. Por fim, sabe-se que a utilização do amicus curiae é um direito do subjetivo do interessado, mas que depende da vontade do relator do processo e da sua discricionariedade para saber se convém a temática apresentada, e assim, seja pertinente a sua admissão no caso.</w:t>
      </w:r>
    </w:p>
    <w:p w:rsidR="002015D2" w:rsidRPr="004B3D7C" w:rsidRDefault="002015D2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5D2" w:rsidRDefault="002015D2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2.3. P</w:t>
      </w:r>
      <w:r w:rsidRPr="008872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ossíveis impactos desse tipo de participação no resultado final do processo.</w:t>
      </w:r>
    </w:p>
    <w:p w:rsidR="001371C3" w:rsidRDefault="001371C3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371C3" w:rsidRDefault="001371C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Este instrumento, denominado por amicus curiae, foi adotado com o objetivo principal de trazer informações relevantes e que não eram de conhecimento ou que foram ignoradas pelos ministros, durante a sua breve participação no processo, vale ressaltar que quando este está presente, tanto por onde desta corte, como por ato voluntário. Contudo, com diversos estudos realizados sobre sua função, chegou-se a uma conclusão, que ele se desvirtua do seu objetivo, pois na grande maioria das vezes em que há sua participação, ele acaba por argumentar a favor de um dos lados. (MEDINA, 2010, p.132)</w:t>
      </w:r>
    </w:p>
    <w:p w:rsidR="001371C3" w:rsidRDefault="001371C3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fato deste instrumento do processo estar argumentando a favor ou contra seus interesses, acaba que influenciando na decisão dos ministros, algo que foi comprovado pela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Damares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Medina em sua dissertação de mestrado, em que ela observou decisões do STF em que tinha a participação do “amigo da corte”, de 1992 até 2010, que foi a defesa de sua tese, comprovando que houve um aumento na possibilidade de êxito na parte que ele apoia.</w:t>
      </w:r>
      <w:r w:rsidRPr="00E30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(MEDINA, 2010, p. 133)</w:t>
      </w:r>
    </w:p>
    <w:p w:rsidR="008A6AEB" w:rsidRDefault="009B57FB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ministros quando estão atuando no exercício da jurisdição constitucional, não estão atentos aos argumentos trazidos pelo autor, tendo em vista que são insuficientes para a declaração de inconstitucionalidade de algum ato normativo. O motivo para determinada </w:t>
      </w:r>
      <w:r w:rsidR="0085575F">
        <w:rPr>
          <w:rFonts w:ascii="Times New Roman" w:hAnsi="Times New Roman" w:cs="Times New Roman"/>
          <w:sz w:val="24"/>
          <w:szCs w:val="24"/>
          <w:shd w:val="clear" w:color="auto" w:fill="FFFFFF"/>
        </w:rPr>
        <w:t>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ministros, é que cabe ao STF ser “guardião” da Constituição</w:t>
      </w:r>
      <w:r w:rsidR="008557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298B" w:rsidRPr="00C2298B">
        <w:rPr>
          <w:rFonts w:ascii="Times New Roman" w:hAnsi="Times New Roman" w:cs="Times New Roman"/>
          <w:sz w:val="24"/>
          <w:szCs w:val="24"/>
        </w:rPr>
        <w:t xml:space="preserve"> </w:t>
      </w:r>
      <w:r w:rsidR="00C2298B">
        <w:rPr>
          <w:rFonts w:ascii="Times New Roman" w:hAnsi="Times New Roman" w:cs="Times New Roman"/>
          <w:sz w:val="24"/>
          <w:szCs w:val="24"/>
        </w:rPr>
        <w:t>(CORREA, 2012, p. [?])</w:t>
      </w:r>
      <w:r w:rsidR="00C2298B" w:rsidRPr="004F0E5F">
        <w:rPr>
          <w:rFonts w:ascii="Times New Roman" w:hAnsi="Times New Roman" w:cs="Times New Roman"/>
          <w:sz w:val="24"/>
          <w:szCs w:val="24"/>
        </w:rPr>
        <w:t>.</w:t>
      </w:r>
    </w:p>
    <w:p w:rsidR="0085575F" w:rsidRDefault="0085575F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Portanto, ao enfrentar uma questão de determinado ato normativo frente a Constituição, cabe aos ministros avaliarem os dispositivos questionados pelo autor em face ao ordenamento jurídico brasileiro.</w:t>
      </w:r>
    </w:p>
    <w:p w:rsidR="0085575F" w:rsidRDefault="0085575F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Caso o STF tenha decidido que aquele dispositivo impugnado pelo autor, seja considerado inconstitucional, outras também podem ser declarados da mesma forma, por meio de “arrastamento”, ou seja, </w:t>
      </w:r>
      <w:r w:rsidR="00365AFF">
        <w:rPr>
          <w:rFonts w:ascii="Times New Roman" w:hAnsi="Times New Roman" w:cs="Times New Roman"/>
          <w:sz w:val="24"/>
          <w:szCs w:val="24"/>
          <w:shd w:val="clear" w:color="auto" w:fill="FFFFFF"/>
        </w:rPr>
        <w:t>as normas posteriores também serão afetadas, e a declaração de inconstitucionalidade poderá ser estendidas a estas.</w:t>
      </w:r>
      <w:r w:rsidR="00C2298B" w:rsidRPr="00C2298B">
        <w:rPr>
          <w:rFonts w:ascii="Times New Roman" w:hAnsi="Times New Roman" w:cs="Times New Roman"/>
          <w:sz w:val="24"/>
          <w:szCs w:val="24"/>
        </w:rPr>
        <w:t xml:space="preserve"> </w:t>
      </w:r>
      <w:r w:rsidR="00C2298B">
        <w:rPr>
          <w:rFonts w:ascii="Times New Roman" w:hAnsi="Times New Roman" w:cs="Times New Roman"/>
          <w:sz w:val="24"/>
          <w:szCs w:val="24"/>
        </w:rPr>
        <w:t>(CORREA, 2012, p. [?])</w:t>
      </w:r>
      <w:r w:rsidR="00C2298B" w:rsidRPr="004F0E5F">
        <w:rPr>
          <w:rFonts w:ascii="Times New Roman" w:hAnsi="Times New Roman" w:cs="Times New Roman"/>
          <w:sz w:val="24"/>
          <w:szCs w:val="24"/>
        </w:rPr>
        <w:t>.</w:t>
      </w:r>
    </w:p>
    <w:p w:rsidR="00365AFF" w:rsidRPr="00365AFF" w:rsidRDefault="00365AFF" w:rsidP="00033CD3">
      <w:pPr>
        <w:spacing w:after="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Sobre a modulação dos efeitos temporais das decisões do STF, tem causado uma discussão entre os ministros, pois utiliza</w:t>
      </w:r>
      <w:r w:rsid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ndo esta, a Corte pode decidir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qual o âmbito temporal de validade da sua declaração, se com efeito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tunc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nunc.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98B">
        <w:rPr>
          <w:rFonts w:ascii="Times New Roman" w:hAnsi="Times New Roman" w:cs="Times New Roman"/>
          <w:sz w:val="24"/>
          <w:szCs w:val="24"/>
        </w:rPr>
        <w:t>(CORREA, 2012, p. [?])</w:t>
      </w:r>
      <w:r w:rsidR="00C2298B" w:rsidRPr="004F0E5F">
        <w:rPr>
          <w:rFonts w:ascii="Times New Roman" w:hAnsi="Times New Roman" w:cs="Times New Roman"/>
          <w:sz w:val="24"/>
          <w:szCs w:val="24"/>
        </w:rPr>
        <w:t>.</w:t>
      </w:r>
    </w:p>
    <w:p w:rsidR="002015D2" w:rsidRDefault="002015D2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33DF" w:rsidRDefault="00A833DF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33DF" w:rsidRDefault="00A833DF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0A78" w:rsidRDefault="004B0A78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33DF" w:rsidRDefault="00A833DF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33DF" w:rsidRDefault="00A833DF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33DF" w:rsidRDefault="00A833DF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33DF" w:rsidRDefault="00A833DF" w:rsidP="00033CD3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015D2" w:rsidRDefault="002015D2" w:rsidP="00033CD3">
      <w:pPr>
        <w:pStyle w:val="NormalWeb"/>
        <w:spacing w:before="0" w:beforeAutospacing="0" w:after="4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3 CONCLUSÃO</w:t>
      </w:r>
    </w:p>
    <w:p w:rsidR="002015D2" w:rsidRDefault="002015D2" w:rsidP="00033CD3">
      <w:pPr>
        <w:pStyle w:val="NormalWeb"/>
        <w:spacing w:before="0" w:beforeAutospacing="0" w:after="40" w:afterAutospacing="0" w:line="360" w:lineRule="auto"/>
        <w:jc w:val="both"/>
        <w:rPr>
          <w:b/>
          <w:color w:val="000000"/>
        </w:rPr>
      </w:pPr>
    </w:p>
    <w:p w:rsidR="002015D2" w:rsidRDefault="007361B0" w:rsidP="007361B0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Diante do que fora abordado no decorrer do trabalho, identificou-se que </w:t>
      </w:r>
      <w:r w:rsidR="00C2298B">
        <w:rPr>
          <w:color w:val="000000"/>
        </w:rPr>
        <w:t>o instrumento do amicus curiae, é utilizado para acrescentar informações antes desconhecidas pelos ministros do Supremo Tribunal Federal.</w:t>
      </w:r>
    </w:p>
    <w:p w:rsidR="00C2298B" w:rsidRDefault="00C2298B" w:rsidP="007361B0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Em que pese diante das mudanças do projeto de Lei nº 4.330-1 de 2004 que teve como principal objetivo aumentar a área de atuação do amicus curiae, englobando diversas ações em que o STF tinha que julgar.</w:t>
      </w:r>
    </w:p>
    <w:p w:rsidR="00931928" w:rsidRDefault="00C2298B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Quanto ao conteúdo da manifestação do amicus curiae, essas têm maior contribuição no âmbito estritamente jurídico</w:t>
      </w:r>
      <w:r w:rsidR="00931928">
        <w:rPr>
          <w:color w:val="000000"/>
        </w:rPr>
        <w:t>, ou seja, aquelas que possuem grande destaque no ordenamento jurídico, baseada nos princípios constitucionais, e também na sociedade em qual vivemos.</w:t>
      </w:r>
    </w:p>
    <w:p w:rsidR="00931928" w:rsidRDefault="00931928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Destaca-se que a participação do amicus curiae sobre a constitucionalidade ou inconstitucionalidade de determinado ato normativo sempre é expressa de forma clara, porém, é muito difícil de que o amicus curiae tenha uma postura neutra no processo, tendo em vista que ao apresentar argumentos sobre a questão ele acaba que por se definir em qual lado mais se compactua, o que afasta definitivamente qualquer possibilidade </w:t>
      </w:r>
      <w:proofErr w:type="gramStart"/>
      <w:r>
        <w:rPr>
          <w:color w:val="000000"/>
        </w:rPr>
        <w:t>deste</w:t>
      </w:r>
      <w:proofErr w:type="gramEnd"/>
      <w:r>
        <w:rPr>
          <w:color w:val="000000"/>
        </w:rPr>
        <w:t xml:space="preserve"> ser como imparcial.</w:t>
      </w:r>
    </w:p>
    <w:p w:rsidR="00931928" w:rsidRDefault="00931928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Embora fosse um papel desse terceiro</w:t>
      </w:r>
      <w:r w:rsidR="00870FC7">
        <w:rPr>
          <w:color w:val="000000"/>
        </w:rPr>
        <w:t xml:space="preserve"> ser</w:t>
      </w:r>
      <w:r>
        <w:rPr>
          <w:color w:val="000000"/>
        </w:rPr>
        <w:t xml:space="preserve"> uma ferramenta de que possibilite a pluralização argumentativa </w:t>
      </w:r>
      <w:r w:rsidR="00870FC7">
        <w:rPr>
          <w:color w:val="000000"/>
        </w:rPr>
        <w:t>do debate constitucional, fazendo com que a democratização seja aplicada pelo o uso do amicus curiae nos julgamentos do STF.</w:t>
      </w:r>
    </w:p>
    <w:p w:rsidR="00870FC7" w:rsidRDefault="00870FC7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Contudo, tal relevância depende de maior atuação do amicus curiae, no sentido de trazer novos elementos para os processos nos quais atuam. De outra forma, o amicus curiae tem que procurar sem informal e não argumentar a favor ou contra algum lado do processo.</w:t>
      </w:r>
    </w:p>
    <w:p w:rsidR="00870FC7" w:rsidRDefault="00870FC7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870FC7" w:rsidRDefault="00870FC7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870FC7" w:rsidRDefault="00870FC7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870FC7" w:rsidRDefault="00870FC7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A833DF" w:rsidRDefault="00A833DF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A833DF" w:rsidRDefault="00A833DF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A833DF" w:rsidRDefault="00A833DF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A833DF" w:rsidRDefault="00A833DF" w:rsidP="00A833DF">
      <w:pPr>
        <w:pStyle w:val="NormalWeb"/>
        <w:spacing w:before="0" w:beforeAutospacing="0" w:after="40" w:afterAutospacing="0" w:line="360" w:lineRule="auto"/>
        <w:jc w:val="both"/>
        <w:rPr>
          <w:color w:val="000000"/>
        </w:rPr>
      </w:pPr>
    </w:p>
    <w:p w:rsidR="00870FC7" w:rsidRPr="00B71045" w:rsidRDefault="00870FC7" w:rsidP="00931928">
      <w:pPr>
        <w:pStyle w:val="NormalWeb"/>
        <w:spacing w:before="0" w:beforeAutospacing="0" w:after="40" w:afterAutospacing="0" w:line="360" w:lineRule="auto"/>
        <w:ind w:firstLine="1134"/>
        <w:jc w:val="both"/>
        <w:rPr>
          <w:color w:val="000000"/>
        </w:rPr>
      </w:pPr>
    </w:p>
    <w:p w:rsidR="002015D2" w:rsidRDefault="002015D2" w:rsidP="00033CD3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B3D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</w:t>
      </w:r>
      <w:bookmarkStart w:id="0" w:name="_GoBack"/>
      <w:bookmarkEnd w:id="0"/>
      <w:r w:rsidRPr="004B3D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EFERÊNCIAS</w:t>
      </w:r>
    </w:p>
    <w:p w:rsidR="00033CD3" w:rsidRPr="004B3D7C" w:rsidRDefault="00033CD3" w:rsidP="00870FC7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33CD3" w:rsidRDefault="00033CD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9E5DE3">
        <w:rPr>
          <w:rFonts w:ascii="Times New Roman" w:hAnsi="Times New Roman" w:cs="Times New Roman"/>
          <w:sz w:val="24"/>
          <w:szCs w:val="24"/>
        </w:rPr>
        <w:t xml:space="preserve">BINENBOJM, Gustavo. </w:t>
      </w:r>
      <w:r w:rsidRPr="009E5DE3">
        <w:rPr>
          <w:rFonts w:ascii="Times New Roman" w:hAnsi="Times New Roman" w:cs="Times New Roman"/>
          <w:b/>
          <w:sz w:val="24"/>
          <w:szCs w:val="24"/>
        </w:rPr>
        <w:t>A nova jurisdição constitucional brasileira: legitimidade democrática e instrumentos de realização</w:t>
      </w:r>
      <w:r w:rsidRPr="009E5DE3">
        <w:rPr>
          <w:rFonts w:ascii="Times New Roman" w:hAnsi="Times New Roman" w:cs="Times New Roman"/>
          <w:sz w:val="24"/>
          <w:szCs w:val="24"/>
        </w:rPr>
        <w:t xml:space="preserve">. 3 a. ed. rev. e atual. Rio de Janeiro: Renovar, 2010. 316p. Disponível em: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0E48E8">
        <w:rPr>
          <w:rFonts w:ascii="Times New Roman" w:hAnsi="Times New Roman" w:cs="Times New Roman"/>
          <w:sz w:val="24"/>
          <w:szCs w:val="24"/>
        </w:rPr>
        <w:t>http://bdjur.stj.jus.br/jspui/bitstream/2011/90365/nova_jurisdicao_constitucional_4.ed.pdf</w:t>
      </w:r>
      <w:r>
        <w:rPr>
          <w:rFonts w:ascii="Times New Roman" w:hAnsi="Times New Roman" w:cs="Times New Roman"/>
          <w:sz w:val="24"/>
          <w:szCs w:val="24"/>
        </w:rPr>
        <w:t>&gt;. Acesso em: 22 nov. 2016</w:t>
      </w:r>
    </w:p>
    <w:p w:rsidR="00033CD3" w:rsidRDefault="00033CD3" w:rsidP="00870FC7">
      <w:pPr>
        <w:spacing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3CD3" w:rsidRDefault="00033CD3" w:rsidP="00870FC7">
      <w:pPr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BUENO, Cassio </w:t>
      </w:r>
      <w:proofErr w:type="spellStart"/>
      <w:r w:rsidRPr="009E5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Scarpinella</w:t>
      </w:r>
      <w:proofErr w:type="spellEnd"/>
      <w:r w:rsidRPr="009E5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E5DE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5DE3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Amicus</w:t>
      </w:r>
      <w:r w:rsidRPr="009E5DE3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 </w:t>
      </w:r>
      <w:r w:rsidRPr="009E5DE3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Curiae no Processo Civil Brasileiro - Um Terceiro Enigmático</w:t>
      </w:r>
      <w:r w:rsidRPr="009E5DE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9E5DE3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9E5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São Paulo: Saraiva, 2006.</w:t>
      </w:r>
    </w:p>
    <w:p w:rsidR="00033CD3" w:rsidRDefault="00033CD3" w:rsidP="00870FC7">
      <w:pPr>
        <w:spacing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15D2" w:rsidRPr="00033CD3" w:rsidRDefault="00C2298B" w:rsidP="00870FC7">
      <w:pPr>
        <w:spacing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CORRÊ</w:t>
      </w:r>
      <w:r w:rsidR="00033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A, Leticia França. </w:t>
      </w:r>
      <w:r w:rsidR="00033CD3" w:rsidRPr="003864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 figura do </w:t>
      </w:r>
      <w:proofErr w:type="spellStart"/>
      <w:r w:rsidR="00033CD3" w:rsidRPr="003864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amicus</w:t>
      </w:r>
      <w:proofErr w:type="spellEnd"/>
      <w:r w:rsidR="00033CD3" w:rsidRPr="003864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33CD3" w:rsidRPr="003864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curia</w:t>
      </w:r>
      <w:proofErr w:type="spellEnd"/>
      <w:r w:rsidR="00033CD3" w:rsidRPr="003864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no Supremo Tribunal Federal. Departamento de direito.</w:t>
      </w:r>
      <w:r w:rsidR="00033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2012. Disponível em: </w:t>
      </w:r>
      <w:r w:rsidR="00033CD3" w:rsidRPr="004A5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http://www.puc-rio.br/pibic/relatorio_resumo2012/relatorios_pdf/ccs/DIR/JUR-Let%C3%ADcia%20Fran%C3%A7a%20Corr%C3%AAa.pdf</w:t>
      </w:r>
      <w:r w:rsidR="00033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Acesso em: 25 nov. 2016</w:t>
      </w:r>
    </w:p>
    <w:p w:rsidR="00033CD3" w:rsidRDefault="00033CD3" w:rsidP="00870FC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CD3" w:rsidRDefault="00033CD3" w:rsidP="00870FC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74">
        <w:rPr>
          <w:rFonts w:ascii="Times New Roman" w:hAnsi="Times New Roman" w:cs="Times New Roman"/>
          <w:sz w:val="24"/>
          <w:szCs w:val="24"/>
        </w:rPr>
        <w:t xml:space="preserve">DA SILVA, C. P. C. </w:t>
      </w:r>
      <w:r w:rsidRPr="004A5374">
        <w:rPr>
          <w:rFonts w:ascii="Times New Roman" w:hAnsi="Times New Roman" w:cs="Times New Roman"/>
          <w:b/>
          <w:sz w:val="24"/>
          <w:szCs w:val="24"/>
        </w:rPr>
        <w:t>O amicus curiae na Suprema Corte americana e no Supremo Tribunal Federal: um estudo de direito comparado</w:t>
      </w:r>
      <w:r w:rsidRPr="004A5374">
        <w:rPr>
          <w:rFonts w:ascii="Times New Roman" w:hAnsi="Times New Roman" w:cs="Times New Roman"/>
          <w:sz w:val="24"/>
          <w:szCs w:val="24"/>
        </w:rPr>
        <w:t>, 2011. Dissertação (Mestrado em Direito) – Faculdade Nacional de Direito, Universidade Federal do Rio de Janeiro, Rio de Janeiro.</w:t>
      </w:r>
    </w:p>
    <w:p w:rsidR="00033CD3" w:rsidRDefault="00033CD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033CD3" w:rsidRPr="00386402" w:rsidRDefault="00033CD3" w:rsidP="00870FC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402">
        <w:rPr>
          <w:rFonts w:ascii="Times New Roman" w:hAnsi="Times New Roman" w:cs="Times New Roman"/>
          <w:sz w:val="24"/>
          <w:szCs w:val="24"/>
        </w:rPr>
        <w:t xml:space="preserve">LAURENTIS, T. </w:t>
      </w:r>
      <w:r w:rsidRPr="00386402">
        <w:rPr>
          <w:rFonts w:ascii="Times New Roman" w:hAnsi="Times New Roman" w:cs="Times New Roman"/>
          <w:b/>
          <w:sz w:val="24"/>
          <w:szCs w:val="24"/>
        </w:rPr>
        <w:t>A caracterização do amicus curiae à luz do STF</w:t>
      </w:r>
      <w:r w:rsidRPr="00386402">
        <w:rPr>
          <w:rFonts w:ascii="Times New Roman" w:hAnsi="Times New Roman" w:cs="Times New Roman"/>
          <w:sz w:val="24"/>
          <w:szCs w:val="24"/>
        </w:rPr>
        <w:t>. São Paulo, 2007. (Monografia) Escola de Formação, Sociedade Brasileira de Direito Público.</w:t>
      </w:r>
    </w:p>
    <w:p w:rsidR="00033CD3" w:rsidRDefault="00033CD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CD3" w:rsidRPr="00033CD3" w:rsidRDefault="00033CD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>MARÇAL, Thiago</w:t>
      </w:r>
      <w:r w:rsidRPr="00033C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033CD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7" w:history="1">
        <w:r w:rsidRPr="00033CD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A participação do amicus curiae no controle concentrado de constitucionalidade.</w:t>
        </w:r>
        <w:r w:rsidRPr="00033CD3">
          <w:rPr>
            <w:rStyle w:val="apple-converted-space"/>
            <w:rFonts w:ascii="Times New Roman" w:hAnsi="Times New Roman" w:cs="Times New Roman"/>
            <w:sz w:val="24"/>
            <w:szCs w:val="24"/>
            <w:shd w:val="clear" w:color="auto" w:fill="FFFFFF"/>
          </w:rPr>
          <w:t> </w:t>
        </w:r>
      </w:hyperlink>
      <w:r w:rsidRPr="00033CD3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Revista Jus </w:t>
      </w:r>
      <w:proofErr w:type="spellStart"/>
      <w:r w:rsidRPr="00033CD3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Navigandi</w:t>
      </w:r>
      <w:proofErr w:type="spellEnd"/>
      <w:r w:rsidRP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</w:t>
      </w:r>
      <w:r w:rsidRPr="00033C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033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ano 19</w:t>
        </w:r>
      </w:hyperlink>
      <w:r w:rsidRP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33C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033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n. 4018</w:t>
        </w:r>
      </w:hyperlink>
      <w:r w:rsidRP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33C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033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</w:t>
        </w:r>
      </w:hyperlink>
      <w:r w:rsidRPr="00033C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033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jul.</w:t>
        </w:r>
      </w:hyperlink>
      <w:r w:rsidRPr="00033C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033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2014</w:t>
        </w:r>
      </w:hyperlink>
      <w:r w:rsidRP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</w:t>
      </w:r>
      <w:r w:rsidRPr="00033C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33CD3">
        <w:rPr>
          <w:rStyle w:val="url"/>
          <w:rFonts w:ascii="Times New Roman" w:hAnsi="Times New Roman" w:cs="Times New Roman"/>
          <w:sz w:val="24"/>
          <w:szCs w:val="24"/>
          <w:shd w:val="clear" w:color="auto" w:fill="FFFFFF"/>
        </w:rPr>
        <w:t>&lt;https://jus.com.br/artigos/28486&gt;</w:t>
      </w:r>
      <w:r w:rsidRP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Pr="00033C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33CD3">
        <w:rPr>
          <w:rFonts w:ascii="Times New Roman" w:hAnsi="Times New Roman" w:cs="Times New Roman"/>
          <w:sz w:val="24"/>
          <w:szCs w:val="24"/>
          <w:shd w:val="clear" w:color="auto" w:fill="FFFFFF"/>
        </w:rPr>
        <w:t>22 nov. 2016.</w:t>
      </w:r>
    </w:p>
    <w:p w:rsidR="00033CD3" w:rsidRDefault="00033CD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1371C3" w:rsidRDefault="001371C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0E48AF">
        <w:rPr>
          <w:rFonts w:ascii="Times New Roman" w:hAnsi="Times New Roman" w:cs="Times New Roman"/>
          <w:sz w:val="24"/>
          <w:szCs w:val="24"/>
        </w:rPr>
        <w:t xml:space="preserve">MEDINA, </w:t>
      </w:r>
      <w:proofErr w:type="spellStart"/>
      <w:r w:rsidRPr="000E48A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amares</w:t>
      </w:r>
      <w:proofErr w:type="spellEnd"/>
      <w:r w:rsidRPr="000E48AF">
        <w:rPr>
          <w:rFonts w:ascii="Times New Roman" w:hAnsi="Times New Roman" w:cs="Times New Roman"/>
          <w:sz w:val="24"/>
          <w:szCs w:val="24"/>
        </w:rPr>
        <w:t xml:space="preserve">. </w:t>
      </w:r>
      <w:r w:rsidRPr="000E48AF">
        <w:rPr>
          <w:rFonts w:ascii="Times New Roman" w:hAnsi="Times New Roman" w:cs="Times New Roman"/>
          <w:b/>
          <w:sz w:val="24"/>
          <w:szCs w:val="24"/>
        </w:rPr>
        <w:t>Amicus curiae: Amigo da Corte ou Amigo da Parte?</w:t>
      </w:r>
      <w:r w:rsidRPr="000E48AF">
        <w:rPr>
          <w:rFonts w:ascii="Times New Roman" w:hAnsi="Times New Roman" w:cs="Times New Roman"/>
          <w:sz w:val="24"/>
          <w:szCs w:val="24"/>
        </w:rPr>
        <w:t xml:space="preserve"> São Paulo: Saraiva, 2010. </w:t>
      </w:r>
    </w:p>
    <w:p w:rsidR="00033CD3" w:rsidRDefault="00033CD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033CD3" w:rsidRPr="00386402" w:rsidRDefault="00033CD3" w:rsidP="00870FC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402">
        <w:rPr>
          <w:rFonts w:ascii="Times New Roman" w:hAnsi="Times New Roman" w:cs="Times New Roman"/>
          <w:sz w:val="24"/>
          <w:szCs w:val="24"/>
        </w:rPr>
        <w:t xml:space="preserve">STF. </w:t>
      </w:r>
      <w:r w:rsidRPr="00386402">
        <w:rPr>
          <w:rFonts w:ascii="Times New Roman" w:hAnsi="Times New Roman" w:cs="Times New Roman"/>
          <w:b/>
          <w:sz w:val="24"/>
          <w:szCs w:val="24"/>
        </w:rPr>
        <w:t>ADI 3934 ED-</w:t>
      </w:r>
      <w:proofErr w:type="spellStart"/>
      <w:r w:rsidRPr="00386402">
        <w:rPr>
          <w:rFonts w:ascii="Times New Roman" w:hAnsi="Times New Roman" w:cs="Times New Roman"/>
          <w:b/>
          <w:sz w:val="24"/>
          <w:szCs w:val="24"/>
        </w:rPr>
        <w:t>AgR</w:t>
      </w:r>
      <w:r w:rsidRPr="00386402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86402">
        <w:rPr>
          <w:rFonts w:ascii="Times New Roman" w:hAnsi="Times New Roman" w:cs="Times New Roman"/>
          <w:sz w:val="24"/>
          <w:szCs w:val="24"/>
        </w:rPr>
        <w:t xml:space="preserve"> Min. Rel. Ricardo </w:t>
      </w:r>
      <w:proofErr w:type="spellStart"/>
      <w:r w:rsidRPr="00386402">
        <w:rPr>
          <w:rFonts w:ascii="Times New Roman" w:hAnsi="Times New Roman" w:cs="Times New Roman"/>
          <w:sz w:val="24"/>
          <w:szCs w:val="24"/>
        </w:rPr>
        <w:t>Lewandowski</w:t>
      </w:r>
      <w:proofErr w:type="spellEnd"/>
      <w:r w:rsidRPr="00386402">
        <w:rPr>
          <w:rFonts w:ascii="Times New Roman" w:hAnsi="Times New Roman" w:cs="Times New Roman"/>
          <w:sz w:val="24"/>
          <w:szCs w:val="24"/>
        </w:rPr>
        <w:t>, Brasília, 24 fev. 2011.</w:t>
      </w:r>
    </w:p>
    <w:p w:rsidR="00033CD3" w:rsidRPr="00386402" w:rsidRDefault="00033CD3" w:rsidP="00870FC7">
      <w:pPr>
        <w:spacing w:after="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CD3" w:rsidRDefault="00033CD3" w:rsidP="00870FC7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386402">
        <w:rPr>
          <w:rFonts w:ascii="Times New Roman" w:hAnsi="Times New Roman" w:cs="Times New Roman"/>
          <w:sz w:val="24"/>
          <w:szCs w:val="24"/>
        </w:rPr>
        <w:t xml:space="preserve">STF, </w:t>
      </w:r>
      <w:r w:rsidRPr="00386402">
        <w:rPr>
          <w:rFonts w:ascii="Times New Roman" w:hAnsi="Times New Roman" w:cs="Times New Roman"/>
          <w:b/>
          <w:sz w:val="24"/>
          <w:szCs w:val="24"/>
        </w:rPr>
        <w:t>ADI n. 3772</w:t>
      </w:r>
      <w:r w:rsidRPr="00386402">
        <w:rPr>
          <w:rFonts w:ascii="Times New Roman" w:hAnsi="Times New Roman" w:cs="Times New Roman"/>
          <w:sz w:val="24"/>
          <w:szCs w:val="24"/>
        </w:rPr>
        <w:t>, Rel. Ministro Ayres Britto, Brasília, 17 abr. 2008.</w:t>
      </w:r>
    </w:p>
    <w:p w:rsidR="002015D2" w:rsidRDefault="002015D2" w:rsidP="00033CD3">
      <w:pPr>
        <w:spacing w:after="40" w:line="360" w:lineRule="auto"/>
        <w:jc w:val="right"/>
      </w:pPr>
    </w:p>
    <w:p w:rsidR="002015D2" w:rsidRDefault="002015D2" w:rsidP="00033CD3">
      <w:pPr>
        <w:spacing w:after="40" w:line="360" w:lineRule="auto"/>
        <w:jc w:val="right"/>
      </w:pPr>
    </w:p>
    <w:p w:rsidR="002015D2" w:rsidRPr="001371C3" w:rsidRDefault="002015D2" w:rsidP="00033CD3">
      <w:pPr>
        <w:tabs>
          <w:tab w:val="left" w:pos="7785"/>
        </w:tabs>
        <w:spacing w:after="40"/>
      </w:pPr>
    </w:p>
    <w:sectPr w:rsidR="002015D2" w:rsidRPr="001371C3" w:rsidSect="007361B0">
      <w:headerReference w:type="default" r:id="rId13"/>
      <w:headerReference w:type="first" r:id="rId14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75" w:rsidRDefault="00EB2C75" w:rsidP="002015D2">
      <w:pPr>
        <w:spacing w:after="0" w:line="240" w:lineRule="auto"/>
      </w:pPr>
      <w:r>
        <w:separator/>
      </w:r>
    </w:p>
  </w:endnote>
  <w:endnote w:type="continuationSeparator" w:id="0">
    <w:p w:rsidR="00EB2C75" w:rsidRDefault="00EB2C75" w:rsidP="0020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75" w:rsidRDefault="00EB2C75" w:rsidP="002015D2">
      <w:pPr>
        <w:spacing w:after="0" w:line="240" w:lineRule="auto"/>
      </w:pPr>
      <w:r>
        <w:separator/>
      </w:r>
    </w:p>
  </w:footnote>
  <w:footnote w:type="continuationSeparator" w:id="0">
    <w:p w:rsidR="00EB2C75" w:rsidRDefault="00EB2C75" w:rsidP="002015D2">
      <w:pPr>
        <w:spacing w:after="0" w:line="240" w:lineRule="auto"/>
      </w:pPr>
      <w:r>
        <w:continuationSeparator/>
      </w:r>
    </w:p>
  </w:footnote>
  <w:footnote w:id="1">
    <w:p w:rsidR="002015D2" w:rsidRDefault="002015D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B61DB2">
        <w:rPr>
          <w:rFonts w:ascii="Times New Roman" w:hAnsi="Times New Roman" w:cs="Times New Roman"/>
        </w:rPr>
        <w:t>Paper</w:t>
      </w:r>
      <w:proofErr w:type="spellEnd"/>
      <w:r w:rsidRPr="00B61DB2">
        <w:rPr>
          <w:rFonts w:ascii="Times New Roman" w:hAnsi="Times New Roman" w:cs="Times New Roman"/>
        </w:rPr>
        <w:t xml:space="preserve"> apresentado à disciplina de </w:t>
      </w:r>
      <w:r>
        <w:rPr>
          <w:rFonts w:ascii="Times New Roman" w:hAnsi="Times New Roman" w:cs="Times New Roman"/>
        </w:rPr>
        <w:t>Processo Constitucional</w:t>
      </w:r>
      <w:r w:rsidRPr="00B61DB2">
        <w:rPr>
          <w:rFonts w:ascii="Times New Roman" w:hAnsi="Times New Roman" w:cs="Times New Roman"/>
        </w:rPr>
        <w:t>, da Unidade de Ensino Superior Dom Bosco – UNDB.</w:t>
      </w:r>
    </w:p>
  </w:footnote>
  <w:footnote w:id="2">
    <w:p w:rsidR="002015D2" w:rsidRDefault="002015D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 do 7</w:t>
      </w:r>
      <w:r w:rsidRPr="00A97D6F">
        <w:rPr>
          <w:rFonts w:ascii="Times New Roman" w:hAnsi="Times New Roman" w:cs="Times New Roman"/>
        </w:rPr>
        <w:t>º período do Curso de Direito, da UNDB</w:t>
      </w:r>
      <w:r>
        <w:rPr>
          <w:rFonts w:ascii="Times New Roman" w:hAnsi="Times New Roman" w:cs="Times New Roman"/>
        </w:rPr>
        <w:t>.</w:t>
      </w:r>
    </w:p>
  </w:footnote>
  <w:footnote w:id="3">
    <w:p w:rsidR="002015D2" w:rsidRDefault="002015D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 do 7</w:t>
      </w:r>
      <w:r w:rsidRPr="00A97D6F">
        <w:rPr>
          <w:rFonts w:ascii="Times New Roman" w:hAnsi="Times New Roman" w:cs="Times New Roman"/>
        </w:rPr>
        <w:t>º período do Curso de Direito, da UNDB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896422"/>
      <w:docPartObj>
        <w:docPartGallery w:val="Page Numbers (Top of Page)"/>
        <w:docPartUnique/>
      </w:docPartObj>
    </w:sdtPr>
    <w:sdtEndPr/>
    <w:sdtContent>
      <w:p w:rsidR="001371C3" w:rsidRDefault="001371C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A78">
          <w:rPr>
            <w:noProof/>
          </w:rPr>
          <w:t>8</w:t>
        </w:r>
        <w:r>
          <w:fldChar w:fldCharType="end"/>
        </w:r>
      </w:p>
    </w:sdtContent>
  </w:sdt>
  <w:p w:rsidR="001371C3" w:rsidRDefault="001371C3" w:rsidP="007361B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91937"/>
      <w:docPartObj>
        <w:docPartGallery w:val="Page Numbers (Top of Page)"/>
        <w:docPartUnique/>
      </w:docPartObj>
    </w:sdtPr>
    <w:sdtEndPr/>
    <w:sdtContent>
      <w:p w:rsidR="001371C3" w:rsidRDefault="007361B0">
        <w:pPr>
          <w:pStyle w:val="Cabealho"/>
          <w:jc w:val="right"/>
        </w:pPr>
        <w:r w:rsidRPr="00B61DB2">
          <w:rPr>
            <w:rFonts w:ascii="Times New Roman" w:hAnsi="Times New Roman" w:cs="Times New Roman"/>
            <w:noProof/>
            <w:sz w:val="20"/>
            <w:lang w:eastAsia="pt-BR"/>
          </w:rPr>
          <w:drawing>
            <wp:anchor distT="0" distB="0" distL="114300" distR="114300" simplePos="0" relativeHeight="251659264" behindDoc="1" locked="0" layoutInCell="1" allowOverlap="1" wp14:anchorId="5EA450F7" wp14:editId="60C2F390">
              <wp:simplePos x="0" y="0"/>
              <wp:positionH relativeFrom="page">
                <wp:posOffset>3042285</wp:posOffset>
              </wp:positionH>
              <wp:positionV relativeFrom="paragraph">
                <wp:posOffset>-163195</wp:posOffset>
              </wp:positionV>
              <wp:extent cx="2076450" cy="542925"/>
              <wp:effectExtent l="0" t="0" r="0" b="9525"/>
              <wp:wrapNone/>
              <wp:docPr id="10" name="Imagem 10" descr="logo_nova_timbrad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0" descr="logo_nova_timbrad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371C3">
          <w:fldChar w:fldCharType="begin"/>
        </w:r>
        <w:r w:rsidR="001371C3">
          <w:instrText>PAGE   \* MERGEFORMAT</w:instrText>
        </w:r>
        <w:r w:rsidR="001371C3">
          <w:fldChar w:fldCharType="separate"/>
        </w:r>
        <w:r w:rsidR="004B0A78">
          <w:rPr>
            <w:noProof/>
          </w:rPr>
          <w:t>1</w:t>
        </w:r>
        <w:r w:rsidR="001371C3">
          <w:fldChar w:fldCharType="end"/>
        </w:r>
      </w:p>
    </w:sdtContent>
  </w:sdt>
  <w:p w:rsidR="002015D2" w:rsidRDefault="002015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D2"/>
    <w:rsid w:val="00033CD3"/>
    <w:rsid w:val="00090759"/>
    <w:rsid w:val="001371C3"/>
    <w:rsid w:val="002015D2"/>
    <w:rsid w:val="00365AFF"/>
    <w:rsid w:val="00416F0A"/>
    <w:rsid w:val="00485BD0"/>
    <w:rsid w:val="004B0A78"/>
    <w:rsid w:val="004F2537"/>
    <w:rsid w:val="006327C3"/>
    <w:rsid w:val="0067188C"/>
    <w:rsid w:val="007361B0"/>
    <w:rsid w:val="007D602A"/>
    <w:rsid w:val="0085575F"/>
    <w:rsid w:val="00870FC7"/>
    <w:rsid w:val="008A6AEB"/>
    <w:rsid w:val="00931928"/>
    <w:rsid w:val="009B57FB"/>
    <w:rsid w:val="009F31EC"/>
    <w:rsid w:val="00A2175A"/>
    <w:rsid w:val="00A23251"/>
    <w:rsid w:val="00A833DF"/>
    <w:rsid w:val="00B45465"/>
    <w:rsid w:val="00BD2054"/>
    <w:rsid w:val="00C2298B"/>
    <w:rsid w:val="00EB2C75"/>
    <w:rsid w:val="00EF5765"/>
    <w:rsid w:val="00F3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91C"/>
  <w15:chartTrackingRefBased/>
  <w15:docId w15:val="{BBB4B600-EEBE-4434-8EFA-647EE9E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5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5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15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1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5D2"/>
  </w:style>
  <w:style w:type="paragraph" w:styleId="Rodap">
    <w:name w:val="footer"/>
    <w:basedOn w:val="Normal"/>
    <w:link w:val="RodapChar"/>
    <w:uiPriority w:val="99"/>
    <w:unhideWhenUsed/>
    <w:rsid w:val="00201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5D2"/>
  </w:style>
  <w:style w:type="paragraph" w:styleId="NormalWeb">
    <w:name w:val="Normal (Web)"/>
    <w:basedOn w:val="Normal"/>
    <w:uiPriority w:val="99"/>
    <w:unhideWhenUsed/>
    <w:rsid w:val="0020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3CD3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033CD3"/>
  </w:style>
  <w:style w:type="character" w:styleId="Forte">
    <w:name w:val="Strong"/>
    <w:basedOn w:val="Fontepargpadro"/>
    <w:uiPriority w:val="22"/>
    <w:qFormat/>
    <w:rsid w:val="00033CD3"/>
    <w:rPr>
      <w:b/>
      <w:bCs/>
    </w:rPr>
  </w:style>
  <w:style w:type="character" w:customStyle="1" w:styleId="url">
    <w:name w:val="url"/>
    <w:basedOn w:val="Fontepargpadro"/>
    <w:rsid w:val="0003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revista/edicoes/201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us.com.br/artigos/28486/a-participacao-do-amicus-curiae-no-controle-concentrado-de-constitucionalidade" TargetMode="External"/><Relationship Id="rId12" Type="http://schemas.openxmlformats.org/officeDocument/2006/relationships/hyperlink" Target="https://jus.com.br/revista/edicoes/20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us.com.br/revista/edicoes/2014/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jus.com.br/revista/edicoes/2014/7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s.com.br/revista/edicoes/2014/7/2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097C-9178-49C9-B602-9897E4B9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2546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santos</dc:creator>
  <cp:keywords/>
  <dc:description/>
  <cp:lastModifiedBy>conceicao santos</cp:lastModifiedBy>
  <cp:revision>7</cp:revision>
  <dcterms:created xsi:type="dcterms:W3CDTF">2016-11-25T14:04:00Z</dcterms:created>
  <dcterms:modified xsi:type="dcterms:W3CDTF">2018-06-18T21:00:00Z</dcterms:modified>
</cp:coreProperties>
</file>