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FD6" w:rsidRDefault="003B7FD6" w:rsidP="003B7FD6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FATORES DE RISCO PARA INCIDÊNCIA DE DOENÇAS CRÔNICAS NÃO TRANSMISSÍVEIS NO INTERIOR DO NORDESTE BRASILEIRO</w:t>
      </w:r>
    </w:p>
    <w:p w:rsidR="001E3F72" w:rsidRDefault="001E3F72"/>
    <w:p w:rsidR="003B7FD6" w:rsidRPr="003B7FD6" w:rsidRDefault="003B7FD6">
      <w:pPr>
        <w:rPr>
          <w:rFonts w:ascii="Times New Roman" w:hAnsi="Times New Roman" w:cs="Times New Roman"/>
          <w:b/>
          <w:sz w:val="26"/>
          <w:szCs w:val="26"/>
        </w:rPr>
      </w:pPr>
      <w:r w:rsidRPr="003B7FD6">
        <w:rPr>
          <w:rFonts w:ascii="Times New Roman" w:hAnsi="Times New Roman" w:cs="Times New Roman"/>
          <w:b/>
          <w:sz w:val="26"/>
          <w:szCs w:val="26"/>
        </w:rPr>
        <w:t>Tatiane Ferreira</w:t>
      </w:r>
    </w:p>
    <w:p w:rsidR="003B7FD6" w:rsidRPr="00C431CC" w:rsidRDefault="003B7FD6" w:rsidP="003B7F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grupo das doenças crônicas não transmissíveis (DCNT) é extenso e possui patologias com muitos fatores de risco em comum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MEDINA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  <w:r>
        <w:rPr>
          <w:rFonts w:ascii="Times New Roman" w:hAnsi="Times New Roman"/>
          <w:sz w:val="24"/>
          <w:szCs w:val="24"/>
        </w:rPr>
        <w:t xml:space="preserve"> De forma majoritária é composto por diabetes, câncer, doenças cardiovasculares e doenças respiratórias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OLIVEIRA-CAMPOS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2013).</w:t>
      </w:r>
      <w:r>
        <w:rPr>
          <w:rFonts w:ascii="Times New Roman" w:hAnsi="Times New Roman"/>
          <w:sz w:val="24"/>
          <w:szCs w:val="24"/>
        </w:rPr>
        <w:t xml:space="preserve"> Ambas demandam atendimento contínuo e interdisciplinar, com isso, o profissional nutricionista também promove suas contribuições no tratamento e prevenção dessas e outras patologias que necessitam de um cuidado nutricional adequado, tendo em vista que a própria má alimentação pode contribuir para o advento de algumas, como por exemplo o alto consumo de alimentos industrializados que vem sendo relacionado a probabilidade em adquirir doenças cardiovasculares (DCV)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OLIVEIRA-CAMPOS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 2013).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 primeiros relatos e tratamentos de </w:t>
      </w:r>
      <w:proofErr w:type="spellStart"/>
      <w:r>
        <w:rPr>
          <w:rFonts w:ascii="Times New Roman" w:hAnsi="Times New Roman"/>
          <w:sz w:val="24"/>
          <w:szCs w:val="24"/>
        </w:rPr>
        <w:t>DCNT´s</w:t>
      </w:r>
      <w:proofErr w:type="spellEnd"/>
      <w:r>
        <w:rPr>
          <w:rFonts w:ascii="Times New Roman" w:hAnsi="Times New Roman"/>
          <w:sz w:val="24"/>
          <w:szCs w:val="24"/>
        </w:rPr>
        <w:t xml:space="preserve"> foram em países desenvolvidos, o que levou ao direcionamento de pesquisas para a relação entre essas doenças e a economia de alguns grupos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ROCHA-BRISCHILIARI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  <w:r>
        <w:rPr>
          <w:rFonts w:ascii="Times New Roman" w:hAnsi="Times New Roman"/>
          <w:sz w:val="24"/>
          <w:szCs w:val="24"/>
        </w:rPr>
        <w:t xml:space="preserve"> No entanto, nos últimos anos pesquisas alertam sobre o possível deslocamento de uma epidemia de doenças crônicas para países sub- desenvolvidos como o Brasil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ROCHA-BRISCHILIARI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  <w:r>
        <w:rPr>
          <w:rFonts w:ascii="Times New Roman" w:hAnsi="Times New Roman"/>
          <w:sz w:val="24"/>
          <w:szCs w:val="24"/>
        </w:rPr>
        <w:t xml:space="preserve"> Dessa forma, o sistema nacional de saúde passou a se dedicar não só a patologias aguadas, mas também passaram a organizar e preparar o sistema para o cuidado de pacientes crônicos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ROCHA-BRISCHILIARI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  <w:r>
        <w:rPr>
          <w:rFonts w:ascii="Times New Roman" w:hAnsi="Times New Roman"/>
          <w:sz w:val="24"/>
          <w:szCs w:val="24"/>
        </w:rPr>
        <w:t xml:space="preserve"> Apesar disso, os gastos públicos com DCNT ainda não são previsíveis como esperava os pesquisadores e consequentemente há uma desordem no tratamento das mesmas, o que fere o direito constitucional a saúde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ROCHA-BRISCHILIARI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É consenso que o envelhecimento populacional, mudanças nos hábitos alimentares, estilo de vida e inatividade física também contribuíram para o aumento da incidência dessas patologias. E que estas podem surgir em diferentes ciclos da vida (CUPPARI,2009). As características principias dessas </w:t>
      </w:r>
      <w:proofErr w:type="gramStart"/>
      <w:r>
        <w:rPr>
          <w:rFonts w:ascii="Times New Roman" w:hAnsi="Times New Roman"/>
          <w:sz w:val="24"/>
          <w:szCs w:val="24"/>
        </w:rPr>
        <w:t>doenças  são</w:t>
      </w:r>
      <w:proofErr w:type="gramEnd"/>
      <w:r>
        <w:rPr>
          <w:rFonts w:ascii="Times New Roman" w:hAnsi="Times New Roman"/>
          <w:sz w:val="24"/>
          <w:szCs w:val="24"/>
        </w:rPr>
        <w:t>: história natural prolongada, multiplicidade da fatores de risco complexos, interação de fatores etiológicos e desconhecidos, extenso período de latência, longo curso assintomático, curso clínico em geral lento, prolongado e permanente, manifestações clínicas com períodos de remissão e exacerbação e evolução para graus variados de incapacidade ou morte (CUPPARI,2009)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O Brasil, seguindo uma tendência mundial vem passando por transições de caráter demográfico, epidemiológico e nutricional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,2017). Atualmente há um aumento de fecundidade, natalidade, expectativa de vida e maior número de idosos em comparação a algumas outras faixas- etárias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</w:t>
      </w:r>
      <w:proofErr w:type="gramStart"/>
      <w:r>
        <w:rPr>
          <w:rFonts w:ascii="Times New Roman" w:hAnsi="Times New Roman"/>
          <w:sz w:val="24"/>
          <w:szCs w:val="24"/>
        </w:rPr>
        <w:t>).Paralelo</w:t>
      </w:r>
      <w:proofErr w:type="gramEnd"/>
      <w:r>
        <w:rPr>
          <w:rFonts w:ascii="Times New Roman" w:hAnsi="Times New Roman"/>
          <w:sz w:val="24"/>
          <w:szCs w:val="24"/>
        </w:rPr>
        <w:t xml:space="preserve"> a isso, as DCNT assumiram a posição de uma das maiores causas de morbimortalidade do mundo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,2017). É importante pontuar que o sistema alimentar brasileiro sofreu grandes mudanças nos últimos 50 anos, o que pode ter acelerado a incidência de casos, tendo em vista que a má alimentação é um fator de risco para o surgimento de algumas patologias desse grupo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No público adulto, 75% dos casos de DCNT são registrados entre indivíduos de 15 a 65 anos, acima disso, é comum a junção de mais de uma patologia crônica (CUPPARI,2009). Partindo dessa premissa, entende-se que dentre os ciclos de vida, a fase adulta é o período mais crítico para o surgimento e tratamento preventivo dessas doenças, pois nesse momento é possível evitar a maioria dos fatores de risco, entre eles o tabagismo, obesidade, inatividade física, colesterol LDL elevado, hipertensão arterial e consumo de álcool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MALTA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,2014).</w:t>
      </w:r>
      <w:r>
        <w:rPr>
          <w:rFonts w:ascii="Times New Roman" w:hAnsi="Times New Roman"/>
          <w:sz w:val="24"/>
          <w:szCs w:val="24"/>
        </w:rPr>
        <w:t xml:space="preserve"> Ademais, a obesidade é um dos fatores de risco mais comuns e pode desencadear outras problemáticas como síndrome metabólica, </w:t>
      </w:r>
      <w:proofErr w:type="spellStart"/>
      <w:r>
        <w:rPr>
          <w:rFonts w:ascii="Times New Roman" w:hAnsi="Times New Roman"/>
          <w:sz w:val="24"/>
          <w:szCs w:val="24"/>
        </w:rPr>
        <w:t>hipercolesterolemia</w:t>
      </w:r>
      <w:proofErr w:type="spellEnd"/>
      <w:r>
        <w:rPr>
          <w:rFonts w:ascii="Times New Roman" w:hAnsi="Times New Roman"/>
          <w:sz w:val="24"/>
          <w:szCs w:val="24"/>
        </w:rPr>
        <w:t xml:space="preserve"> e diabetes mellitus tipo II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MALTA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,2014)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No que concerne </w:t>
      </w:r>
      <w:proofErr w:type="spellStart"/>
      <w:r>
        <w:rPr>
          <w:rFonts w:ascii="Times New Roman" w:hAnsi="Times New Roman"/>
          <w:sz w:val="24"/>
          <w:szCs w:val="24"/>
        </w:rPr>
        <w:t>a</w:t>
      </w:r>
      <w:proofErr w:type="spellEnd"/>
      <w:r>
        <w:rPr>
          <w:rFonts w:ascii="Times New Roman" w:hAnsi="Times New Roman"/>
          <w:sz w:val="24"/>
          <w:szCs w:val="24"/>
        </w:rPr>
        <w:t xml:space="preserve"> obesidade, estudos indicam que o estresse crônico, comum principalmente entre a faixa etária de 15 a 65 anos incidentes em DCNT está sendo relacionado com a modificação do comportamento alimentar, pois o mesmo pode provocar o desejo da ingesta de alimentos com alta densidade energética, o que provoca o aumento de peso (VITOLO, 2015). Esse processo é estimulado pelo sistema </w:t>
      </w:r>
      <w:proofErr w:type="spellStart"/>
      <w:r>
        <w:rPr>
          <w:rFonts w:ascii="Times New Roman" w:hAnsi="Times New Roman"/>
          <w:sz w:val="24"/>
          <w:szCs w:val="24"/>
        </w:rPr>
        <w:t>adrenocortical</w:t>
      </w:r>
      <w:proofErr w:type="spellEnd"/>
      <w:r>
        <w:rPr>
          <w:rFonts w:ascii="Times New Roman" w:hAnsi="Times New Roman"/>
          <w:sz w:val="24"/>
          <w:szCs w:val="24"/>
        </w:rPr>
        <w:t xml:space="preserve">, o qual aumenta os níveis de cortisol (VITOLO, 2015). Outra hipótese é o auto consumo de alimentos </w:t>
      </w:r>
      <w:proofErr w:type="spellStart"/>
      <w:r>
        <w:rPr>
          <w:rFonts w:ascii="Times New Roman" w:hAnsi="Times New Roman"/>
          <w:sz w:val="24"/>
          <w:szCs w:val="24"/>
        </w:rPr>
        <w:t>ultraprocessados</w:t>
      </w:r>
      <w:proofErr w:type="spellEnd"/>
      <w:r>
        <w:rPr>
          <w:rFonts w:ascii="Times New Roman" w:hAnsi="Times New Roman"/>
          <w:sz w:val="24"/>
          <w:szCs w:val="24"/>
        </w:rPr>
        <w:t xml:space="preserve"> que podem ser facilmente armazenados e transportados, o que demanda uma economia de tempo necessária nos dias atuais (VITOLO, 2015).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Ou seja, a falta de tempo na vida adulta vem provocando mudanças nos hábitos alimentares, principalmente através da diminuição do consumo de alimentos que necessitam de um tempo de preparo e substituição por alimentos industrializados que proporcionam economia de tempo (VITOLO, 2015). Nesse sentido, a perda e manutenção de peso a longo prazo parece ser uma boa estratégia para o controle de novos casos de doenças crônicas, tendo em vista que é a partir desse processo inflamatório que podem se </w:t>
      </w:r>
      <w:r>
        <w:rPr>
          <w:rFonts w:ascii="Times New Roman" w:hAnsi="Times New Roman"/>
          <w:sz w:val="24"/>
          <w:szCs w:val="24"/>
        </w:rPr>
        <w:lastRenderedPageBreak/>
        <w:t>desenvolver outros fatores de risco como como é o caso da diabetes mellitus tipo II e da Hipertensão arterial sistêmica (HA) (VITOLO, 2015).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Segundo </w:t>
      </w:r>
      <w:proofErr w:type="spellStart"/>
      <w:r>
        <w:rPr>
          <w:rFonts w:ascii="Times New Roman" w:hAnsi="Times New Roman"/>
          <w:sz w:val="24"/>
          <w:szCs w:val="24"/>
        </w:rPr>
        <w:t>Vitolo</w:t>
      </w:r>
      <w:proofErr w:type="spellEnd"/>
      <w:r>
        <w:rPr>
          <w:rFonts w:ascii="Times New Roman" w:hAnsi="Times New Roman"/>
          <w:sz w:val="24"/>
          <w:szCs w:val="24"/>
        </w:rPr>
        <w:t xml:space="preserve"> (2015), algumas estratégias a longo prazo para diminuição e manutenção do peso são: engajar-se em práticas diárias de atividade física, fazer dietas com baixo teor de carboidratos refinados e gorduras saturadas, consumir café da manhã e fracionar bem as refeições para não sobrecarregar uma única, manter a alimentação regular e consistente, e não procrastinar as mudanças necessárias para sair do grau de sobrepeso ou obesidade. Ademais, um grande empecilho para o tratamento da obesidade, são as limitações emocionais (VITOLO, 2015)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maioria dos indivíduos obesos apresenta sofrimento psicológico que advém de problemas relacionados à discriminação e preconceito, o que acarreta em uma maior desordem e distúrbios alimentares como é o caso da compulsão alimentar (VITOLO, 2015).  Desse modo, é interessante que assim como o tratamento das DCNT, os pacientes obesos tenham atendimento interdisciplinar, com acompanhamento médico, nutricional e psicológico (VITOLO, 2015). É importante pontuar que a compulsão alimentar também pode ser provocada por planos dietéticos mal elaborados que restringem em demasia determinado grupo de alimentos (VITOLO, 2015).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Um exemplo disso é o ganho de peso após a restrição de determinados alimentos, o que é bem comum em indivíduos que aderem a dietas da moda por conta própria sem auxílio de um profissional, como por exemplo, o uso da dieta </w:t>
      </w:r>
      <w:proofErr w:type="spellStart"/>
      <w:r>
        <w:rPr>
          <w:rFonts w:ascii="Times New Roman" w:hAnsi="Times New Roman"/>
          <w:sz w:val="24"/>
          <w:szCs w:val="24"/>
        </w:rPr>
        <w:t>low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carb</w:t>
      </w:r>
      <w:proofErr w:type="spellEnd"/>
      <w:r>
        <w:rPr>
          <w:rFonts w:ascii="Times New Roman" w:hAnsi="Times New Roman"/>
          <w:sz w:val="24"/>
          <w:szCs w:val="24"/>
        </w:rPr>
        <w:t xml:space="preserve"> com restrição exacerbada de carboidratos, sem levar em consideração as necessidades energéticas individuais (SOUZA, 2015). Essa atitude repentina faz com que o corpo “entenda” que há uma escassez de comida no ambiente, por esse motivo ele passa a armazenar mais e queimar menos gordura para caso de emergência, dificultando o emagrecimento e manutenção do peso a longo prazo (SOUZA, 2015).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Nesse contexto, alguns medicamentos são utilizados para contribuir no emagrecimento, porém só devem ser usados em grau de obesidade mórbida, após diversas tentativas sem resultado de reeducação alimentar e impossibilidade de cirurgia bariátrica, são os chamados anorexígenos, que recentemente foram aprovados no Brasil sem autorização da ANVISA, o que vem rendendo discussões calorosas para o cancelamento da liberação feita pelo deputado federal Rodrigo Maia, a partir da lei 2.431/2011 (BRASIL, 2011). Um dos medicamentos aprovados foi à sibutramina, que pode levar a diminuição de até 10% de peso corpóreo, porém pode provocar secura na boca, insônia, </w:t>
      </w:r>
      <w:r>
        <w:rPr>
          <w:rFonts w:ascii="Times New Roman" w:hAnsi="Times New Roman"/>
          <w:sz w:val="24"/>
          <w:szCs w:val="24"/>
        </w:rPr>
        <w:lastRenderedPageBreak/>
        <w:t>constipação intestinal, aumento nos batimentos cardíacos e na pressão arterial (BRASIL, 2011).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Ademais, a vigilância epidemiológica (VE) reúne um conjunto de ações para compreender a história natural das </w:t>
      </w:r>
      <w:proofErr w:type="spellStart"/>
      <w:r>
        <w:rPr>
          <w:rFonts w:ascii="Times New Roman" w:hAnsi="Times New Roman"/>
          <w:sz w:val="24"/>
          <w:szCs w:val="24"/>
        </w:rPr>
        <w:t>DCNT´s</w:t>
      </w:r>
      <w:proofErr w:type="spellEnd"/>
      <w:r>
        <w:rPr>
          <w:rFonts w:ascii="Times New Roman" w:hAnsi="Times New Roman"/>
          <w:sz w:val="24"/>
          <w:szCs w:val="24"/>
        </w:rPr>
        <w:t>, para que desse modo seja possível mensurar os fatores modificáveis que provocam a incidência de casos não só no nordeste, mas em todo o país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MALTA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,2013).</w:t>
      </w:r>
      <w:r>
        <w:rPr>
          <w:rFonts w:ascii="Times New Roman" w:hAnsi="Times New Roman"/>
          <w:sz w:val="24"/>
          <w:szCs w:val="24"/>
        </w:rPr>
        <w:t xml:space="preserve"> Um exemplo de fator de risco modificável é a síndrome metabólica (SM), definida como um conjunto de fatores de risco cardiovasculares que possuem relação com a deposição de gordura e à resistência à insulina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MALTA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,2013).</w:t>
      </w:r>
      <w:r>
        <w:rPr>
          <w:rFonts w:ascii="Times New Roman" w:hAnsi="Times New Roman"/>
          <w:sz w:val="24"/>
          <w:szCs w:val="24"/>
        </w:rPr>
        <w:t xml:space="preserve"> Sendo esta última elevada em muitos casos para Diabetes Mellitus tipo II (DM II), uma das </w:t>
      </w:r>
      <w:proofErr w:type="spellStart"/>
      <w:r>
        <w:rPr>
          <w:rFonts w:ascii="Times New Roman" w:hAnsi="Times New Roman"/>
          <w:sz w:val="24"/>
          <w:szCs w:val="24"/>
        </w:rPr>
        <w:t>DCNT´s</w:t>
      </w:r>
      <w:proofErr w:type="spellEnd"/>
      <w:r>
        <w:rPr>
          <w:rFonts w:ascii="Times New Roman" w:hAnsi="Times New Roman"/>
          <w:sz w:val="24"/>
          <w:szCs w:val="24"/>
        </w:rPr>
        <w:t xml:space="preserve"> de maior causa de morbimortalidade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MALTA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,2013).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 DM é uma enfermidade de múltipla etiologia, e pode ser ocasionada pela incapacidade da insulina em exercer adequadamente sua função de regular o metabolismo da glicose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  <w:r>
        <w:rPr>
          <w:rFonts w:ascii="Times New Roman" w:hAnsi="Times New Roman"/>
          <w:sz w:val="24"/>
          <w:szCs w:val="24"/>
        </w:rPr>
        <w:t xml:space="preserve"> Uma das características dessa patologia é a hiperglicemia crônica associada ao distúrbio no metabolismo de </w:t>
      </w:r>
      <w:proofErr w:type="spellStart"/>
      <w:r>
        <w:rPr>
          <w:rFonts w:ascii="Times New Roman" w:hAnsi="Times New Roman"/>
          <w:sz w:val="24"/>
          <w:szCs w:val="24"/>
        </w:rPr>
        <w:t>macronutrientes</w:t>
      </w:r>
      <w:proofErr w:type="spellEnd"/>
      <w:r>
        <w:rPr>
          <w:rFonts w:ascii="Times New Roman" w:hAnsi="Times New Roman"/>
          <w:sz w:val="24"/>
          <w:szCs w:val="24"/>
        </w:rPr>
        <w:t xml:space="preserve"> (Carboidratos, lipídios e proteínas), o que a longo prazo pode provocar disfunção e falência de órgãos, principalmente no que diz respeito aos rins, olhos, coração, nervos e vasos sanguíneo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Por esse motivo, a DM representa atualmente um grande problema de saúde pública, principalmente por não haver uma perspectiva de cura a curto e médio prazo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  <w:r>
        <w:rPr>
          <w:rFonts w:ascii="Times New Roman" w:hAnsi="Times New Roman"/>
          <w:sz w:val="24"/>
          <w:szCs w:val="24"/>
        </w:rPr>
        <w:t xml:space="preserve"> É importante pontuar que cerca de 90% dos casos de DM são do tipo II, e aproximadamente 5 a 10% são de DM tipo I, e a prevalência de Diabetes gestacional (DG) varia entre apenas 1 a 14% a depender da região, no entanto, no nordeste esse número ainda continua baixo sendo mais considerável no caso de DM II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Outro fator importante para a incidência de DCNT no nordeste brasileiro é a </w:t>
      </w:r>
      <w:proofErr w:type="spellStart"/>
      <w:r>
        <w:rPr>
          <w:rFonts w:ascii="Times New Roman" w:hAnsi="Times New Roman"/>
          <w:sz w:val="24"/>
          <w:szCs w:val="24"/>
        </w:rPr>
        <w:t>hipercolesterolemia</w:t>
      </w:r>
      <w:proofErr w:type="spellEnd"/>
      <w:r>
        <w:rPr>
          <w:rFonts w:ascii="Times New Roman" w:hAnsi="Times New Roman"/>
          <w:sz w:val="24"/>
          <w:szCs w:val="24"/>
        </w:rPr>
        <w:t xml:space="preserve">, uma </w:t>
      </w:r>
      <w:proofErr w:type="spellStart"/>
      <w:r>
        <w:rPr>
          <w:rFonts w:ascii="Times New Roman" w:hAnsi="Times New Roman"/>
          <w:sz w:val="24"/>
          <w:szCs w:val="24"/>
        </w:rPr>
        <w:t>displidemia</w:t>
      </w:r>
      <w:proofErr w:type="spellEnd"/>
      <w:r>
        <w:rPr>
          <w:rFonts w:ascii="Times New Roman" w:hAnsi="Times New Roman"/>
          <w:sz w:val="24"/>
          <w:szCs w:val="24"/>
        </w:rPr>
        <w:t xml:space="preserve"> considerada de risco para o surgimento de doenças cardiovasculares, que apesar de diminuírem em relação a outras patologias como a DMII, ainda são responsáveis por muitas problemáticas, como por exemplo, aterosclerose e infarto agudo do miocárdio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  <w:r>
        <w:rPr>
          <w:rFonts w:ascii="Times New Roman" w:hAnsi="Times New Roman"/>
          <w:sz w:val="24"/>
          <w:szCs w:val="24"/>
        </w:rPr>
        <w:t xml:space="preserve"> Os países em desenvolvimento, assim como o Brasil apresentam uma morbimortalidade considerável, principalmente entre mulheres acima de 50 anos de idade (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CUPPARI</w:t>
      </w:r>
      <w:r>
        <w:rPr>
          <w:rFonts w:ascii="Times New Roman" w:hAnsi="Times New Roman"/>
          <w:sz w:val="24"/>
          <w:szCs w:val="24"/>
          <w:shd w:val="clear" w:color="auto" w:fill="FFFFFF"/>
        </w:rPr>
        <w:t>,2009).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Apesar de haver um declínio desde meados de 1979-1996 na incidência de </w:t>
      </w:r>
      <w:proofErr w:type="spellStart"/>
      <w:r>
        <w:rPr>
          <w:rFonts w:ascii="Times New Roman" w:hAnsi="Times New Roman"/>
          <w:sz w:val="24"/>
          <w:szCs w:val="24"/>
        </w:rPr>
        <w:t>DCV´s</w:t>
      </w:r>
      <w:proofErr w:type="spellEnd"/>
      <w:r>
        <w:rPr>
          <w:rFonts w:ascii="Times New Roman" w:hAnsi="Times New Roman"/>
          <w:sz w:val="24"/>
          <w:szCs w:val="24"/>
        </w:rPr>
        <w:t>, as mesmas ainda representam uma das maiores causas de morte na população brasileira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,2017). </w:t>
      </w:r>
      <w:proofErr w:type="gramStart"/>
      <w:r>
        <w:rPr>
          <w:rFonts w:ascii="Times New Roman" w:hAnsi="Times New Roman"/>
          <w:sz w:val="24"/>
          <w:szCs w:val="24"/>
        </w:rPr>
        <w:t>A diminuição de mortes são</w:t>
      </w:r>
      <w:proofErr w:type="gramEnd"/>
      <w:r>
        <w:rPr>
          <w:rFonts w:ascii="Times New Roman" w:hAnsi="Times New Roman"/>
          <w:sz w:val="24"/>
          <w:szCs w:val="24"/>
        </w:rPr>
        <w:t xml:space="preserve"> mais consideráveis nas regiões sul e </w:t>
      </w:r>
      <w:r>
        <w:rPr>
          <w:rFonts w:ascii="Times New Roman" w:hAnsi="Times New Roman"/>
          <w:sz w:val="24"/>
          <w:szCs w:val="24"/>
        </w:rPr>
        <w:lastRenderedPageBreak/>
        <w:t>sudeste, que são as mais desenvolvidas economicamente em comparação a outras localidades do país como o nordeste, por exemplo,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,2017). Os fatores de risco nessa região variaram entre anormalidade do perfil lipídico pelo aumento da relação </w:t>
      </w:r>
      <w:proofErr w:type="spellStart"/>
      <w:r>
        <w:rPr>
          <w:rFonts w:ascii="Times New Roman" w:hAnsi="Times New Roman"/>
          <w:sz w:val="24"/>
          <w:szCs w:val="24"/>
        </w:rPr>
        <w:t>apolipoproteína</w:t>
      </w:r>
      <w:proofErr w:type="spellEnd"/>
      <w:r>
        <w:rPr>
          <w:rFonts w:ascii="Times New Roman" w:hAnsi="Times New Roman"/>
          <w:sz w:val="24"/>
          <w:szCs w:val="24"/>
        </w:rPr>
        <w:t xml:space="preserve"> B/ </w:t>
      </w:r>
      <w:proofErr w:type="spellStart"/>
      <w:r>
        <w:rPr>
          <w:rFonts w:ascii="Times New Roman" w:hAnsi="Times New Roman"/>
          <w:sz w:val="24"/>
          <w:szCs w:val="24"/>
        </w:rPr>
        <w:t>apolipoproteína</w:t>
      </w:r>
      <w:proofErr w:type="spellEnd"/>
      <w:r>
        <w:rPr>
          <w:rFonts w:ascii="Times New Roman" w:hAnsi="Times New Roman"/>
          <w:sz w:val="24"/>
          <w:szCs w:val="24"/>
        </w:rPr>
        <w:t xml:space="preserve"> A, fumo, elevação da pressão, da glicemia e do acúmulo abdominal de gordura, sedentarismo e diminuição do consumo de frutas, legumes e verduras (FLV) (</w:t>
      </w:r>
      <w:r w:rsidRPr="00290BE9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DE SOUZA</w:t>
      </w:r>
      <w:r>
        <w:rPr>
          <w:rFonts w:ascii="Times New Roman" w:hAnsi="Times New Roman"/>
          <w:sz w:val="24"/>
          <w:szCs w:val="24"/>
        </w:rPr>
        <w:t xml:space="preserve"> ,2017).</w:t>
      </w:r>
    </w:p>
    <w:p w:rsidR="003B7FD6" w:rsidRP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Com base no que foi discutido, entende- se que os fatores de risco para o surgimento de doenças crônicas não transmissíveis no interior do nordeste variam entre </w:t>
      </w:r>
      <w:proofErr w:type="spellStart"/>
      <w:r>
        <w:rPr>
          <w:rFonts w:ascii="Times New Roman" w:hAnsi="Times New Roman"/>
          <w:sz w:val="24"/>
          <w:szCs w:val="24"/>
        </w:rPr>
        <w:t>displidemias</w:t>
      </w:r>
      <w:proofErr w:type="spellEnd"/>
      <w:r>
        <w:rPr>
          <w:rFonts w:ascii="Times New Roman" w:hAnsi="Times New Roman"/>
          <w:sz w:val="24"/>
          <w:szCs w:val="24"/>
        </w:rPr>
        <w:t xml:space="preserve">, obesidade, má alimentação, inatividade física e entre outros que podem ser prevenidos principalmente na fase adulta, com isso, é importante que se tenha uma intervenção do poder público para que haja o cuidado necessário nos casos de prevalência e diminuição considerável dos casos de incidência, tendo e vista que atualmente as </w:t>
      </w:r>
      <w:proofErr w:type="spellStart"/>
      <w:r>
        <w:rPr>
          <w:rFonts w:ascii="Times New Roman" w:hAnsi="Times New Roman"/>
          <w:sz w:val="24"/>
          <w:szCs w:val="24"/>
        </w:rPr>
        <w:t>DCNT´s</w:t>
      </w:r>
      <w:proofErr w:type="spellEnd"/>
      <w:r>
        <w:rPr>
          <w:rFonts w:ascii="Times New Roman" w:hAnsi="Times New Roman"/>
          <w:sz w:val="24"/>
          <w:szCs w:val="24"/>
        </w:rPr>
        <w:t xml:space="preserve"> são uma preocupação da saúde pública e geram gastos em demasia para o tratamento posto a cronicidade das patologias.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Diante</w:t>
      </w:r>
      <w:r>
        <w:rPr>
          <w:rFonts w:ascii="Times New Roman" w:hAnsi="Times New Roman"/>
          <w:sz w:val="24"/>
          <w:szCs w:val="24"/>
        </w:rPr>
        <w:t xml:space="preserve"> disso, algumas soluções para essa problemática</w:t>
      </w:r>
      <w:r>
        <w:rPr>
          <w:rFonts w:ascii="Times New Roman" w:hAnsi="Times New Roman"/>
          <w:sz w:val="24"/>
          <w:szCs w:val="24"/>
        </w:rPr>
        <w:t xml:space="preserve"> seria: a prevenção da obesidade desde a fase infantil a partir de campanhas de conscientização da alimentação infantil, diminuição do consumo de alimentos industrializados e troca por frutas, legumes e verduras; estímulo à atividade física; controle e manutenção da alimentação escolar por programas do estado como o PNAE (Programa Nacional de Alimentação Escolar), por exemplo, e atenção dos serviços de saúde voltada principalmente para o público adulto entre 15 e 65 anos a partir da vigilância epidemiológica da região.</w:t>
      </w:r>
    </w:p>
    <w:p w:rsidR="003B7FD6" w:rsidRPr="001F2DD8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Nesse sentido, seria desenvolvido um conjunto de ações que proporcionem conhecimento, detecção e prevenção de fatores de risco, como uma taxa de colesterol (LDL) alta, consumo excessivo de sal e/ou açúcar na alimentação, circunferência da cintura maior que o ideal, IMC acima do limite de </w:t>
      </w:r>
      <w:proofErr w:type="spellStart"/>
      <w:r>
        <w:rPr>
          <w:rFonts w:ascii="Times New Roman" w:hAnsi="Times New Roman"/>
          <w:sz w:val="24"/>
          <w:szCs w:val="24"/>
        </w:rPr>
        <w:t>eutrofia</w:t>
      </w:r>
      <w:proofErr w:type="spellEnd"/>
      <w:r>
        <w:rPr>
          <w:rFonts w:ascii="Times New Roman" w:hAnsi="Times New Roman"/>
          <w:sz w:val="24"/>
          <w:szCs w:val="24"/>
        </w:rPr>
        <w:t xml:space="preserve"> e entre outros que podem ser notados em consultas periódicas na unidade básica de saúde ou com simples perguntas direcionadas por um agente de saúde. 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Referências:</w:t>
      </w:r>
    </w:p>
    <w:p w:rsidR="003B7FD6" w:rsidRPr="007A5E9D" w:rsidRDefault="003B7FD6" w:rsidP="003B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7A5E9D">
        <w:rPr>
          <w:rFonts w:ascii="Times New Roman" w:hAnsi="Times New Roman"/>
          <w:sz w:val="24"/>
          <w:szCs w:val="24"/>
        </w:rPr>
        <w:t>BRASIL</w:t>
      </w:r>
      <w:r w:rsidRPr="007A5E9D">
        <w:rPr>
          <w:rFonts w:ascii="Times New Roman" w:hAnsi="Times New Roman"/>
          <w:b/>
          <w:sz w:val="24"/>
          <w:szCs w:val="24"/>
        </w:rPr>
        <w:t>_ Lei nº 2432</w:t>
      </w:r>
      <w:r w:rsidRPr="007A5E9D">
        <w:rPr>
          <w:rFonts w:ascii="Times New Roman" w:hAnsi="Times New Roman"/>
          <w:sz w:val="24"/>
          <w:szCs w:val="24"/>
        </w:rPr>
        <w:t xml:space="preserve"> de 28 de Setembro de 2011- </w:t>
      </w:r>
      <w:r w:rsidRPr="007A5E9D">
        <w:rPr>
          <w:rFonts w:ascii="Times New Roman" w:hAnsi="Times New Roman"/>
          <w:iCs/>
          <w:sz w:val="24"/>
          <w:szCs w:val="24"/>
        </w:rPr>
        <w:t xml:space="preserve">Autoriza a produção, a comercialização e o consumo, sob prescrição médica, dos anorexígenos: sibutramina, </w:t>
      </w:r>
      <w:proofErr w:type="spellStart"/>
      <w:r w:rsidRPr="007A5E9D">
        <w:rPr>
          <w:rFonts w:ascii="Times New Roman" w:hAnsi="Times New Roman"/>
          <w:iCs/>
          <w:sz w:val="24"/>
          <w:szCs w:val="24"/>
        </w:rPr>
        <w:t>anfepramona</w:t>
      </w:r>
      <w:proofErr w:type="spellEnd"/>
      <w:r w:rsidRPr="007A5E9D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7A5E9D">
        <w:rPr>
          <w:rFonts w:ascii="Times New Roman" w:hAnsi="Times New Roman"/>
          <w:iCs/>
          <w:sz w:val="24"/>
          <w:szCs w:val="24"/>
        </w:rPr>
        <w:t>femproporex</w:t>
      </w:r>
      <w:proofErr w:type="spellEnd"/>
      <w:r w:rsidRPr="007A5E9D">
        <w:rPr>
          <w:rFonts w:ascii="Times New Roman" w:hAnsi="Times New Roman"/>
          <w:iCs/>
          <w:sz w:val="24"/>
          <w:szCs w:val="24"/>
        </w:rPr>
        <w:t xml:space="preserve"> e </w:t>
      </w:r>
      <w:proofErr w:type="spellStart"/>
      <w:r w:rsidRPr="007A5E9D">
        <w:rPr>
          <w:rFonts w:ascii="Times New Roman" w:hAnsi="Times New Roman"/>
          <w:iCs/>
          <w:sz w:val="24"/>
          <w:szCs w:val="24"/>
        </w:rPr>
        <w:t>mazindol</w:t>
      </w:r>
      <w:proofErr w:type="spellEnd"/>
      <w:r w:rsidRPr="007A5E9D">
        <w:rPr>
          <w:rFonts w:ascii="Times New Roman" w:hAnsi="Times New Roman"/>
          <w:iCs/>
          <w:sz w:val="24"/>
          <w:szCs w:val="24"/>
        </w:rPr>
        <w:t>.</w:t>
      </w:r>
    </w:p>
    <w:p w:rsidR="003B7FD6" w:rsidRPr="007A5E9D" w:rsidRDefault="003B7FD6" w:rsidP="003B7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CUPPARI, L. </w:t>
      </w:r>
      <w:r w:rsidRPr="007A5E9D">
        <w:rPr>
          <w:rFonts w:ascii="Times New Roman" w:hAnsi="Times New Roman"/>
          <w:b/>
          <w:sz w:val="24"/>
          <w:szCs w:val="24"/>
          <w:shd w:val="clear" w:color="auto" w:fill="FFFFFF"/>
        </w:rPr>
        <w:t>Nutrição: nas doenças crônicas não transmissíveis</w:t>
      </w:r>
      <w:r w:rsidRPr="007A5E9D">
        <w:rPr>
          <w:rFonts w:ascii="Times New Roman" w:hAnsi="Times New Roman"/>
          <w:sz w:val="24"/>
          <w:szCs w:val="24"/>
        </w:rPr>
        <w:t>. Barueri, SP: Manole, 2009.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DE SOUZA, Elton Bicalho. Transição nutricional no Brasil: análise dos principais fatores.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Cadernos </w:t>
      </w:r>
      <w:proofErr w:type="spellStart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UniFOA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, v. 5, n. 13, p. 49-53, 2017.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CUPPARI, L. </w:t>
      </w:r>
      <w:r w:rsidRPr="007A5E9D">
        <w:rPr>
          <w:rFonts w:ascii="Times New Roman" w:hAnsi="Times New Roman"/>
          <w:b/>
          <w:sz w:val="24"/>
          <w:szCs w:val="24"/>
          <w:shd w:val="clear" w:color="auto" w:fill="FFFFFF"/>
        </w:rPr>
        <w:t>Nutrição: nas doenças crônicas não transmissíveis</w:t>
      </w:r>
      <w:r w:rsidRPr="007A5E9D">
        <w:rPr>
          <w:rFonts w:ascii="Times New Roman" w:hAnsi="Times New Roman"/>
          <w:sz w:val="24"/>
          <w:szCs w:val="24"/>
        </w:rPr>
        <w:t xml:space="preserve">. Barueri, SP: Manole, 2009.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MALTA, Deborah Carvalho; SILVA JR, Jarbas Barbosa da. O Plano de Ações Estratégicas para o Enfrentamento das Doenças Crônicas Não Transmissíveis no Brasil e a definição das metas globais para o enfrentamento dessas doenças até 2025: uma revisão.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Epidemiologia e Serviços de Saúde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22, n. 1, p. 151-164, 2013.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MALTA, Deborah Carvalho et al. Prevalência de fatores de risco e proteção para doenças crônicas não transmissíveis em adultos: estudo transversal, Brasil, 2011.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Epidemiologia e Serviços de Saúde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22, n. 3, p. 423-434, 2013.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MALTA, Deborah Carvalho. Doenças crônicas não transmissíveis, um grande desafio da sociedade contemporânea.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Ciência &amp; Saúde Coletiva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19, n. 1, p. 4-5, 2014.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MALTA, Deborah Carvalho et al. Mortalidade por doenças crônicas não transmissíveis no Brasil e suas regiões, 2000 a 2011.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Epidemiologia e Serviços de Saúde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23, n. 4, p. 599-608, 2014.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MEDINA, Maria Guadalupe et al. Promoção da saúde e prevenção de doenças crônicas: o que fazem as equipes de Saúde da </w:t>
      </w:r>
      <w:proofErr w:type="gramStart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Família?.</w:t>
      </w:r>
      <w:proofErr w:type="gram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Saúde em Debate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38, p. 69-82, 2014.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OLIVEIRA-CAMPOS, </w:t>
      </w:r>
      <w:proofErr w:type="spellStart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Maryane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 et al. Impacto dos fatores de risco para doenças crônicas não transmissíveis na qualidade de vida.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Ciência &amp; Saúde Coletiva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, v. 18, n. 3, 2013. 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ROCHA-BRISCHILIARI, Sheila Cristina et al. Doenças crônicas não transmissíveis e associação com fatores de risco. </w:t>
      </w:r>
      <w:proofErr w:type="spellStart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Rev</w:t>
      </w:r>
      <w:proofErr w:type="spellEnd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Bras</w:t>
      </w:r>
      <w:proofErr w:type="spellEnd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Cardiol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, v. 27, n. 1, p. 35-42, 2014.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SOUZA, </w:t>
      </w:r>
      <w:proofErr w:type="spellStart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Madeline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 Guimarães; ANDRADE, </w:t>
      </w:r>
      <w:proofErr w:type="spellStart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Ingride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>Even</w:t>
      </w:r>
      <w:proofErr w:type="spellEnd"/>
      <w:r w:rsidRPr="007A5E9D">
        <w:rPr>
          <w:rFonts w:ascii="Times New Roman" w:hAnsi="Times New Roman"/>
          <w:sz w:val="24"/>
          <w:szCs w:val="24"/>
          <w:shd w:val="clear" w:color="auto" w:fill="FFFFFF"/>
        </w:rPr>
        <w:t xml:space="preserve"> Lopes; RAMALHO, Alanderson Alves. Adequação nutricional de dietas para perda de peso em revistas não científicas brasileiras. </w:t>
      </w:r>
      <w:r w:rsidRPr="007A5E9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DEMETRA: Alimentação, Nutrição &amp; Saúde</w:t>
      </w:r>
      <w:r w:rsidRPr="007A5E9D">
        <w:rPr>
          <w:rFonts w:ascii="Times New Roman" w:hAnsi="Times New Roman"/>
          <w:sz w:val="24"/>
          <w:szCs w:val="24"/>
          <w:shd w:val="clear" w:color="auto" w:fill="FFFFFF"/>
        </w:rPr>
        <w:t>, v. 10, n. 4, p. 947-961, 2015.</w:t>
      </w:r>
    </w:p>
    <w:p w:rsidR="003B7FD6" w:rsidRPr="007A5E9D" w:rsidRDefault="003B7FD6" w:rsidP="003B7FD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A5E9D">
        <w:rPr>
          <w:rFonts w:ascii="Times New Roman" w:hAnsi="Times New Roman"/>
          <w:sz w:val="24"/>
          <w:szCs w:val="24"/>
        </w:rPr>
        <w:t xml:space="preserve">VITOLO, M.R. </w:t>
      </w:r>
      <w:r w:rsidRPr="007A5E9D">
        <w:rPr>
          <w:rFonts w:ascii="Times New Roman" w:hAnsi="Times New Roman"/>
          <w:b/>
          <w:sz w:val="24"/>
          <w:szCs w:val="24"/>
        </w:rPr>
        <w:t>Nutrição: da gestação ao envelhecimento</w:t>
      </w:r>
      <w:r w:rsidRPr="007A5E9D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7A5E9D">
        <w:rPr>
          <w:rFonts w:ascii="Times New Roman" w:hAnsi="Times New Roman"/>
          <w:sz w:val="24"/>
          <w:szCs w:val="24"/>
        </w:rPr>
        <w:t>2 ed.</w:t>
      </w:r>
      <w:proofErr w:type="gramEnd"/>
      <w:r w:rsidRPr="007A5E9D">
        <w:rPr>
          <w:rFonts w:ascii="Times New Roman" w:hAnsi="Times New Roman"/>
          <w:sz w:val="24"/>
          <w:szCs w:val="24"/>
        </w:rPr>
        <w:t xml:space="preserve"> Rio de Janeiro: </w:t>
      </w:r>
      <w:proofErr w:type="spellStart"/>
      <w:r w:rsidRPr="007A5E9D">
        <w:rPr>
          <w:rFonts w:ascii="Times New Roman" w:hAnsi="Times New Roman"/>
          <w:sz w:val="24"/>
          <w:szCs w:val="24"/>
        </w:rPr>
        <w:t>Rubio</w:t>
      </w:r>
      <w:proofErr w:type="spellEnd"/>
      <w:r w:rsidRPr="007A5E9D">
        <w:rPr>
          <w:rFonts w:ascii="Times New Roman" w:hAnsi="Times New Roman"/>
          <w:sz w:val="24"/>
          <w:szCs w:val="24"/>
        </w:rPr>
        <w:t xml:space="preserve">, 2015. </w:t>
      </w: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7FD6" w:rsidRDefault="003B7FD6" w:rsidP="003B7FD6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B7FD6" w:rsidRDefault="003B7FD6"/>
    <w:sectPr w:rsidR="003B7F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FD6"/>
    <w:rsid w:val="001E3F72"/>
    <w:rsid w:val="003B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F982D-2CA9-4B2A-9F20-245D00C1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B7FD6"/>
    <w:pPr>
      <w:spacing w:after="0" w:line="240" w:lineRule="auto"/>
    </w:pPr>
    <w:rPr>
      <w:rFonts w:ascii="Calibri" w:eastAsia="Times New Roman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2259</Words>
  <Characters>12203</Characters>
  <Application>Microsoft Office Word</Application>
  <DocSecurity>0</DocSecurity>
  <Lines>101</Lines>
  <Paragraphs>28</Paragraphs>
  <ScaleCrop>false</ScaleCrop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dc:description/>
  <cp:lastModifiedBy>vitor</cp:lastModifiedBy>
  <cp:revision>1</cp:revision>
  <dcterms:created xsi:type="dcterms:W3CDTF">2018-04-08T01:36:00Z</dcterms:created>
  <dcterms:modified xsi:type="dcterms:W3CDTF">2018-04-08T01:42:00Z</dcterms:modified>
</cp:coreProperties>
</file>