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F5" w:rsidRPr="00C37F4E" w:rsidRDefault="00CD5BF5" w:rsidP="00CD5B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7F4E">
        <w:rPr>
          <w:rFonts w:ascii="Times New Roman" w:hAnsi="Times New Roman" w:cs="Times New Roman"/>
          <w:i/>
          <w:sz w:val="24"/>
          <w:szCs w:val="24"/>
          <w:u w:val="single"/>
        </w:rPr>
        <w:t>PAPER</w:t>
      </w:r>
    </w:p>
    <w:p w:rsidR="00CD5BF5" w:rsidRPr="00C37F4E" w:rsidRDefault="00CD5BF5" w:rsidP="00CD5B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7F4E">
        <w:rPr>
          <w:rFonts w:ascii="Times New Roman" w:hAnsi="Times New Roman" w:cs="Times New Roman"/>
          <w:sz w:val="24"/>
          <w:szCs w:val="24"/>
          <w:u w:val="single"/>
        </w:rPr>
        <w:t xml:space="preserve">REDAÇÃO </w:t>
      </w:r>
      <w:r w:rsidR="00C37F4E" w:rsidRPr="00C37F4E">
        <w:rPr>
          <w:rFonts w:ascii="Times New Roman" w:hAnsi="Times New Roman" w:cs="Times New Roman"/>
          <w:sz w:val="24"/>
          <w:szCs w:val="24"/>
          <w:u w:val="single"/>
        </w:rPr>
        <w:t>FINAL</w:t>
      </w:r>
      <w:r w:rsidRPr="00C37F4E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C37F4E">
        <w:rPr>
          <w:rFonts w:ascii="Times New Roman" w:hAnsi="Times New Roman" w:cs="Times New Roman"/>
          <w:i/>
          <w:sz w:val="24"/>
          <w:szCs w:val="24"/>
          <w:u w:val="single"/>
        </w:rPr>
        <w:t>PAPER</w:t>
      </w:r>
    </w:p>
    <w:p w:rsidR="00CD5BF5" w:rsidRDefault="00CD5BF5" w:rsidP="00D31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F27" w:rsidRDefault="00CD5BF5" w:rsidP="00D311D7">
      <w:pPr>
        <w:jc w:val="center"/>
        <w:rPr>
          <w:bCs/>
          <w:sz w:val="28"/>
          <w:szCs w:val="28"/>
        </w:rPr>
      </w:pPr>
      <w:r w:rsidRPr="00C37F4E">
        <w:rPr>
          <w:rFonts w:ascii="Times New Roman" w:hAnsi="Times New Roman" w:cs="Times New Roman"/>
          <w:b/>
          <w:sz w:val="24"/>
          <w:szCs w:val="24"/>
        </w:rPr>
        <w:t>Título:</w:t>
      </w:r>
      <w:r w:rsidRPr="00C37F4E">
        <w:rPr>
          <w:rFonts w:ascii="Times New Roman" w:hAnsi="Times New Roman" w:cs="Times New Roman"/>
          <w:sz w:val="24"/>
          <w:szCs w:val="24"/>
        </w:rPr>
        <w:t xml:space="preserve"> </w:t>
      </w:r>
      <w:r w:rsidR="00F3707D">
        <w:rPr>
          <w:rFonts w:ascii="Times New Roman" w:hAnsi="Times New Roman" w:cs="Times New Roman"/>
          <w:sz w:val="24"/>
          <w:szCs w:val="24"/>
        </w:rPr>
        <w:t>Celeridade processual no novo CPC</w:t>
      </w:r>
      <w:r w:rsidR="00D311D7" w:rsidRPr="00104AF8">
        <w:rPr>
          <w:rStyle w:val="Refdenotaderodap"/>
          <w:bCs/>
          <w:sz w:val="28"/>
          <w:szCs w:val="28"/>
        </w:rPr>
        <w:footnoteReference w:id="2"/>
      </w:r>
    </w:p>
    <w:p w:rsidR="00CD5BF5" w:rsidRDefault="00C37F4E" w:rsidP="00CD5BF5">
      <w:pPr>
        <w:pStyle w:val="Defaul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Kleber Martins Correa</w:t>
      </w:r>
      <w:r w:rsidR="00CD5BF5">
        <w:rPr>
          <w:rStyle w:val="Refdenotaderodap"/>
          <w:bCs/>
          <w:sz w:val="20"/>
          <w:szCs w:val="20"/>
        </w:rPr>
        <w:footnoteReference w:id="3"/>
      </w:r>
    </w:p>
    <w:p w:rsidR="00D311D7" w:rsidRDefault="0001759C" w:rsidP="00CD5BF5">
      <w:pPr>
        <w:pStyle w:val="Defaul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ESP</w:t>
      </w:r>
      <w:r w:rsidR="00CD5BF5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Heliane Sousa Fernandes</w:t>
      </w:r>
      <w:r w:rsidR="00D311D7" w:rsidRPr="00D311D7">
        <w:rPr>
          <w:rStyle w:val="Refdenotaderodap"/>
          <w:bCs/>
          <w:sz w:val="20"/>
          <w:szCs w:val="20"/>
        </w:rPr>
        <w:footnoteReference w:id="4"/>
      </w:r>
    </w:p>
    <w:p w:rsidR="00C87FAD" w:rsidRDefault="00C87FAD" w:rsidP="00CD5B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687" w:rsidRPr="00CD5BF5" w:rsidRDefault="00C53687" w:rsidP="00C53687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SUMARIO: Resumo 1.0 Introdução 1.1 Dos princípios 2.0 Da possibilidade de flexibilização processual 3.0 Dos prazos processuais 4.0 Dos meios eletrônicos 5.0 Conclusão. Referencias</w:t>
      </w:r>
    </w:p>
    <w:p w:rsidR="00C53687" w:rsidRDefault="00C53687" w:rsidP="00D31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1D7" w:rsidRDefault="00D311D7" w:rsidP="00D31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07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C53687" w:rsidRDefault="00C53687" w:rsidP="00D311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D3C" w:rsidRPr="0001759C" w:rsidRDefault="0001759C" w:rsidP="0001759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1759C">
        <w:rPr>
          <w:rFonts w:ascii="Times New Roman" w:hAnsi="Times New Roman" w:cs="Times New Roman"/>
          <w:sz w:val="24"/>
          <w:szCs w:val="24"/>
        </w:rPr>
        <w:t>O presente artigo visa abordar de forma sistemática as mudanças referentes aos prazos processuais definidas pelo novo CPC.Não obstante, enfatizar a celeridade e o preenchimento de lacunas proporcionadas por tais mudanças no cerne processual em que pese o sistema jurídico bem como o poder judiciário e os litigantes como um todo.</w:t>
      </w:r>
      <w:r w:rsidR="00C53687">
        <w:rPr>
          <w:rFonts w:ascii="Times New Roman" w:hAnsi="Times New Roman" w:cs="Times New Roman"/>
          <w:sz w:val="24"/>
          <w:szCs w:val="24"/>
        </w:rPr>
        <w:t>Deseja-se , também, verificar se tais alterações alcançam em sua plenitude o objetivo idealizado e esperado pelo legislador processual e como tais mecanismos podem ser identificados e apresentados na prática.</w:t>
      </w:r>
    </w:p>
    <w:p w:rsidR="00C91D3C" w:rsidRDefault="00C91D3C" w:rsidP="000175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AD7" w:rsidRDefault="00D5025D" w:rsidP="00995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01759C">
        <w:rPr>
          <w:rFonts w:ascii="Times New Roman" w:hAnsi="Times New Roman" w:cs="Times New Roman"/>
          <w:sz w:val="24"/>
          <w:szCs w:val="24"/>
        </w:rPr>
        <w:t>Novo CPC</w:t>
      </w:r>
      <w:r w:rsidR="00FA1D5B">
        <w:rPr>
          <w:rFonts w:ascii="Times New Roman" w:hAnsi="Times New Roman" w:cs="Times New Roman"/>
          <w:sz w:val="24"/>
          <w:szCs w:val="24"/>
        </w:rPr>
        <w:t>,</w:t>
      </w:r>
      <w:r w:rsidR="0001759C">
        <w:rPr>
          <w:rFonts w:ascii="Times New Roman" w:hAnsi="Times New Roman" w:cs="Times New Roman"/>
          <w:sz w:val="24"/>
          <w:szCs w:val="24"/>
        </w:rPr>
        <w:t>Prazos processuais,Celeridade processual</w:t>
      </w:r>
      <w:r w:rsidR="00D96834">
        <w:rPr>
          <w:rFonts w:ascii="Times New Roman" w:hAnsi="Times New Roman" w:cs="Times New Roman"/>
          <w:sz w:val="24"/>
          <w:szCs w:val="24"/>
        </w:rPr>
        <w:t>.</w:t>
      </w:r>
    </w:p>
    <w:p w:rsidR="00995076" w:rsidRDefault="00995076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66C" w:rsidRDefault="00DB566C" w:rsidP="009950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D5D" w:rsidRDefault="00535D5D" w:rsidP="00281F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96C" w:rsidRPr="00281F3F" w:rsidRDefault="00910D96" w:rsidP="00281F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CE6C24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D156E3" w:rsidRDefault="00D156E3" w:rsidP="0099507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56E3" w:rsidRDefault="00D156E3" w:rsidP="00DB566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DB566C">
        <w:rPr>
          <w:rFonts w:ascii="Times New Roman" w:hAnsi="Times New Roman" w:cs="Times New Roman"/>
          <w:sz w:val="24"/>
          <w:szCs w:val="24"/>
        </w:rPr>
        <w:t xml:space="preserve">É sabido que o processo civil funciona como um verdadeiro pilar de diretrizes para as demais </w:t>
      </w:r>
      <w:r w:rsidR="00DB566C" w:rsidRPr="00DB566C">
        <w:rPr>
          <w:rFonts w:ascii="Times New Roman" w:hAnsi="Times New Roman" w:cs="Times New Roman"/>
          <w:sz w:val="24"/>
          <w:szCs w:val="24"/>
        </w:rPr>
        <w:t>ramificações</w:t>
      </w:r>
      <w:r w:rsidRPr="00DB566C">
        <w:rPr>
          <w:rFonts w:ascii="Times New Roman" w:hAnsi="Times New Roman" w:cs="Times New Roman"/>
          <w:sz w:val="24"/>
          <w:szCs w:val="24"/>
        </w:rPr>
        <w:t xml:space="preserve"> do direito, quais sejam o direito civil ,penal, trabalhista dentre outros. Não obstante, permeia todo o sistema jurídico e judiciário esquematizando a funcionalidade de sua </w:t>
      </w:r>
      <w:r w:rsidR="00DB566C" w:rsidRPr="00DB566C">
        <w:rPr>
          <w:rFonts w:ascii="Times New Roman" w:hAnsi="Times New Roman" w:cs="Times New Roman"/>
          <w:sz w:val="24"/>
          <w:szCs w:val="24"/>
        </w:rPr>
        <w:t>aplicabilidade.</w:t>
      </w:r>
      <w:r w:rsidRPr="00DB566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Assim sendo, decorrente da própria evolução da sociedade e da necessidade de mecanismos judiciais que a acompanhasse</w:t>
      </w:r>
      <w:r w:rsidR="000E5D1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tal evolução</w:t>
      </w:r>
      <w:r w:rsidRPr="00DB566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instituiu-se o novo</w:t>
      </w:r>
      <w:r w:rsidRPr="00DB566C">
        <w:rPr>
          <w:rStyle w:val="apple-converted-space"/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</w:t>
      </w:r>
      <w:hyperlink r:id="rId7" w:tooltip="Lei no 5.869, de 11 de janeiro de 1973." w:history="1">
        <w:r w:rsidRPr="00DB566C">
          <w:rPr>
            <w:rStyle w:val="Hyperlink"/>
            <w:rFonts w:ascii="Times New Roman" w:hAnsi="Times New Roman" w:cs="Times New Roman"/>
            <w:color w:val="000000" w:themeColor="text1"/>
            <w:spacing w:val="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Código de Processo Civil</w:t>
        </w:r>
      </w:hyperlink>
      <w:r w:rsidR="000E5D1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sob a </w:t>
      </w:r>
      <w:r w:rsidRPr="00DB566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Lei</w:t>
      </w:r>
      <w:r w:rsidRPr="00DB566C">
        <w:rPr>
          <w:rStyle w:val="apple-converted-space"/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</w:t>
      </w:r>
      <w:hyperlink r:id="rId8" w:tooltip="LEI Nº 13.105, DE 16 DE MARÇO DE 2015." w:history="1">
        <w:r w:rsidRPr="00DB566C">
          <w:rPr>
            <w:rStyle w:val="Hyperlink"/>
            <w:rFonts w:ascii="Times New Roman" w:hAnsi="Times New Roman" w:cs="Times New Roman"/>
            <w:color w:val="000000" w:themeColor="text1"/>
            <w:spacing w:val="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13.105</w:t>
        </w:r>
      </w:hyperlink>
      <w:r w:rsidRPr="00DB566C">
        <w:rPr>
          <w:rStyle w:val="apple-converted-space"/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 </w:t>
      </w:r>
      <w:r w:rsidR="000E5D1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de 16-3-2015</w:t>
      </w:r>
      <w:r w:rsidRPr="00DB566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 trazendo alterações legislativas com o objetivo não apenas de atualizar o processo na esfera cível, mas reformar o sistema judiciário.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 novo CPC</w:t>
      </w:r>
      <w:r w:rsidRPr="00DB56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através das inovações trazidas, propõe solucionar lacunas processuais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inerentes aos processos</w:t>
      </w:r>
      <w:r w:rsidRPr="00DB56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com especial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ênfase</w:t>
      </w:r>
      <w:r w:rsidRPr="00DB56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à falta de celeridade processual, tido como principal problema que enfrenta o judiciário nos dias atuais. Preocupando-se ainda em promover um processo não apenas célere, mas eficaz, para que a tutela resguardada seja cumprida e o jurisdicionado possa alcançar aquilo que buscou no Poder Judiciário,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satisfação de sua demanda em face do direito pretendido  ou alegado</w:t>
      </w:r>
      <w:r w:rsidRPr="00DB56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7414BD" w:rsidRDefault="00D156E3" w:rsidP="00D156E3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10D96" w:rsidRDefault="007414BD" w:rsidP="007414B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DB566C">
        <w:rPr>
          <w:rFonts w:ascii="Times New Roman" w:hAnsi="Times New Roman" w:cs="Times New Roman"/>
          <w:b/>
          <w:sz w:val="24"/>
          <w:szCs w:val="24"/>
        </w:rPr>
        <w:t>Dos princípios</w:t>
      </w:r>
    </w:p>
    <w:p w:rsidR="00B2303E" w:rsidRPr="00910D96" w:rsidRDefault="00B2303E" w:rsidP="007414B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66C" w:rsidRDefault="00DB566C" w:rsidP="00F51079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sabido que desde Hans Kelsen a norma passou a ser mais do que um texto </w:t>
      </w:r>
      <w:r w:rsidR="009A33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legal. Passou a ter um significado muito mais além que o código jurídico possa expressar. Em outras palavras, a norma legal ganhou muito mais sentido através de uma interpretação hermenêutica que não está pautada apenas no senso da lei como dispositivo, mais sim de em todo um arcabolço principiologico. </w:t>
      </w:r>
      <w:r w:rsidR="009A3320" w:rsidRPr="009A3320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Isso torna a aplicação do Direito muito mais capaz de lidar com a realidade, uma vez que as prescrições legais (hipotéticas, abstratas) nunca se encaixam perfeitamente no mundo dos fatos.</w:t>
      </w:r>
    </w:p>
    <w:p w:rsidR="009A3320" w:rsidRDefault="009A3320" w:rsidP="009A3320">
      <w:pPr>
        <w:spacing w:after="0" w:line="360" w:lineRule="auto"/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A3320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Posto isto, 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ao invés da lei possuir apenas um sentido dado, compreende-se que a norma jurídica é capaz de abrir um leque de interpretações possíveis, assim o sistema se expande para além dos limites da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argumentação textual da norma jurídica. Assim sendo, o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Direito Processual Civil também estende </w:t>
      </w:r>
      <w:r w:rsidR="00E853F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suas interpretações para além das normas jurídicas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E853F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incluindo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os princípios, tidos igualmente como normas. E o novo</w:t>
      </w:r>
      <w:r w:rsidRPr="009A3320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9" w:tooltip="Lei no 5.869, de 11 de janeiro de 1973." w:history="1">
        <w:r w:rsidRPr="009A3320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Código de Processo Civil</w:t>
        </w:r>
      </w:hyperlink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presenta-se </w:t>
      </w:r>
      <w:r w:rsidR="00E853F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permeado por um condão constitucional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ao elencar diversos princípios constitucionais, a exemplos dos artigos</w:t>
      </w:r>
      <w:r w:rsidRPr="009A3320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10" w:tooltip="Artigo 6 da Lei nº 5.869 de 11 de Janeiro de 1973" w:history="1">
        <w:r w:rsidRPr="00E853F4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6</w:t>
        </w:r>
        <w:r w:rsidRPr="00E853F4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º</w:t>
        </w:r>
      </w:hyperlink>
      <w:r w:rsidR="0092153D">
        <w:t xml:space="preserve"> 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</w:t>
      </w:r>
      <w:r w:rsidRPr="009A3320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11" w:tooltip="Artigo 13 da Lei nº 5.869 de 11 de Janeiro de 1973" w:history="1">
        <w:r w:rsidRPr="00E853F4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13</w:t>
        </w:r>
      </w:hyperlink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sendo visível ainda em todo o 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texto e servindo como </w:t>
      </w:r>
      <w:r w:rsid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hipótese</w:t>
      </w:r>
      <w:r w:rsidRPr="009A33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interpretativa de todas as técnicas trazidas </w:t>
      </w:r>
      <w:r w:rsidR="00E853F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em sua nova formulação.</w:t>
      </w:r>
    </w:p>
    <w:p w:rsidR="00E853F4" w:rsidRPr="009A3320" w:rsidRDefault="00E853F4" w:rsidP="009A3320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96834" w:rsidRDefault="00E853F4" w:rsidP="008031E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1A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1AD8">
        <w:rPr>
          <w:rFonts w:ascii="Times New Roman" w:hAnsi="Times New Roman" w:cs="Times New Roman"/>
          <w:sz w:val="24"/>
          <w:szCs w:val="24"/>
        </w:rPr>
        <w:t xml:space="preserve">     </w:t>
      </w:r>
      <w:r w:rsidRPr="005E1AD8">
        <w:rPr>
          <w:rFonts w:ascii="Times New Roman" w:hAnsi="Times New Roman" w:cs="Times New Roman"/>
          <w:sz w:val="24"/>
          <w:szCs w:val="24"/>
        </w:rPr>
        <w:t>Um dos princípios que se fazem presentes no código de processo civil, trata-se da razoável duração do processo.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Verifica-se no artigo 4º a construção do máximo aproveitamento processual através de sua literalidade, abandonando a antiga premissa ritual. Nesse novo ideal, o apego à forma abre espaço para um formalismo mais democrático, o que também é reflexo de um dos objetivos máximos (senão o principal) do novo</w:t>
      </w:r>
      <w:r w:rsidRPr="005E1AD8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12" w:tooltip="Lei no 5.869, de 11 de janeiro de 1973." w:history="1">
        <w:r w:rsidRPr="005E1AD8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Código de Processo Civil</w:t>
        </w:r>
      </w:hyperlink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inspirado pelo</w:t>
      </w:r>
      <w:r w:rsidRPr="005E1AD8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Pr="005E1AD8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Princípio da Celeridade Processual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5E1AD8" w:rsidRDefault="005E1AD8" w:rsidP="008031E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Enseja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como forma de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aplicabilidade desse novo paradigma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instrumentalidade técnica como premissa para sanar os atos processuais obsoletos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consideração dos efeitos da decisão proferida por juízo incompetente, ainda que absoluto ou não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 a necessidade de fu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ndamentação específica à luz da materialidade dos fatos 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para fins de invalidação de ato subsequente ao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defeituosas e diversas alterações de ordem recursal, inclusive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aludindo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</w:t>
      </w:r>
      <w:r w:rsidRPr="005E1AD8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Princípio da fungibilidade r</w:t>
      </w:r>
      <w:r w:rsidRPr="005E1AD8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ecursal</w:t>
      </w:r>
      <w:r w:rsidRPr="005E1AD8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.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</w:t>
      </w:r>
    </w:p>
    <w:p w:rsidR="005E1AD8" w:rsidRDefault="005E1AD8" w:rsidP="008031E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</w:t>
      </w:r>
      <w:r w:rsidR="008031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Em relação à celeridade processual,a suprema corte, nas palavras do ministro Luiz Fux, acredita que o novo código de processo civil trará na prática para o judiciário e para o sistema jurídico benefícios como a duração pela metade de processos que chegam ao judiciário.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Para tanto, </w:t>
      </w:r>
      <w:r w:rsidR="008031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 que se sabe é que foram adicionados no novo diploma legal ferramentas que deveram auxiliar as partes em acordos processuais que outrora eram tidos como atos rígidos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8031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ajudando no destravamento de processos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; </w:t>
      </w:r>
      <w:r w:rsidR="008031E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simplificando e flexibilizando a contagem dos prazos e induzindo ao uso de meios eletrônicos</w:t>
      </w:r>
      <w:r w:rsidRPr="005E1A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8031E7" w:rsidRDefault="008031E7" w:rsidP="008031E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03E" w:rsidRDefault="00B2303E" w:rsidP="008031E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03E">
        <w:rPr>
          <w:rFonts w:ascii="Times New Roman" w:hAnsi="Times New Roman" w:cs="Times New Roman"/>
          <w:b/>
          <w:sz w:val="24"/>
          <w:szCs w:val="24"/>
        </w:rPr>
        <w:t>2.0 DA POSSIBILIDADE DE FLEXIBILIZAÇÃO PROCESSUAL</w:t>
      </w:r>
    </w:p>
    <w:p w:rsidR="00B2303E" w:rsidRDefault="00B2303E" w:rsidP="008031E7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03E" w:rsidRDefault="00B2303E" w:rsidP="00B2303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Com a finalidade de tornar o processo mais célere e simples, o novo CPC trás em seu bojo novas perspectivas de acordo e livre negociação entre as partes, deixando de lado o ativismo do juiz nas relações bilatérias do processo. Assim, baseado em princípios constitucionais o novo CPC visa estabelecer entre as partes litigantes responsabilidades e capacidade de interlocução no processo, primando pelo contraditório na medida em que acontecem os diálogos entre as partes.</w:t>
      </w:r>
    </w:p>
    <w:p w:rsidR="0058626A" w:rsidRDefault="00B2303E" w:rsidP="00B2303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B705A">
        <w:rPr>
          <w:rFonts w:ascii="Times New Roman" w:hAnsi="Times New Roman" w:cs="Times New Roman"/>
          <w:sz w:val="24"/>
          <w:szCs w:val="24"/>
        </w:rPr>
        <w:t xml:space="preserve">Além do exposto, o novo diploma legal também trás em sua literalidade a figura da autocomposição. Ou seja, a possibilidade das partes litigantes negociarem suas demandas através do diálogo antes de procurarem o poder judiciário e assim abarrotarem o sistema </w:t>
      </w:r>
    </w:p>
    <w:p w:rsidR="0058626A" w:rsidRDefault="0058626A" w:rsidP="00B2303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03E" w:rsidRDefault="007B705A" w:rsidP="00B2303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processual de demandas solucionáveis pela via da autocomposição de conflitos . Nesse viés, o acordo de vontades dos litigantes deve fazer justiça entre as partes como forma de pacificação de suas demandas.</w:t>
      </w:r>
    </w:p>
    <w:p w:rsidR="007B705A" w:rsidRDefault="007B705A" w:rsidP="007B705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Tal apreço pelo dialogo entre as partes é facilmente vislumbrado nos artigos 6º,9º e 10º que enfatizam o contraditório entre as partes como efetividade na resolução de conflitos. Esse contraditório significa, nas palavras de MARINONI, um “contraditório com um papel de consulta”, meios de consulta e paridade que se mostram mais efetivos no novo CPC, senão vejamos:</w:t>
      </w:r>
    </w:p>
    <w:p w:rsidR="00F32A0B" w:rsidRDefault="00F32A0B" w:rsidP="007B705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A0B" w:rsidRPr="00F32A0B" w:rsidRDefault="00F32A0B" w:rsidP="00F32A0B">
      <w:pPr>
        <w:tabs>
          <w:tab w:val="left" w:pos="1134"/>
        </w:tabs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32A0B">
        <w:rPr>
          <w:rFonts w:ascii="Times New Roman" w:hAnsi="Times New Roman" w:cs="Times New Roman"/>
          <w:color w:val="000000"/>
          <w:sz w:val="24"/>
          <w:szCs w:val="24"/>
        </w:rPr>
        <w:t>Art. 6</w:t>
      </w:r>
      <w:r w:rsidRPr="00F32A0B"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>o</w:t>
      </w:r>
      <w:r w:rsidRPr="00F32A0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32A0B">
        <w:rPr>
          <w:rFonts w:ascii="Times New Roman" w:hAnsi="Times New Roman" w:cs="Times New Roman"/>
          <w:color w:val="000000"/>
          <w:sz w:val="24"/>
          <w:szCs w:val="24"/>
        </w:rPr>
        <w:t>Todos os sujeitos do processo devem cooperar entre si para que se obtenha, em tempo razoável, decisão de mérito justa e efetiva.</w:t>
      </w:r>
    </w:p>
    <w:p w:rsidR="007B705A" w:rsidRPr="00F32A0B" w:rsidRDefault="007B705A" w:rsidP="009A64ED">
      <w:pPr>
        <w:pStyle w:val="NormalWeb"/>
        <w:shd w:val="clear" w:color="auto" w:fill="FFFFFF"/>
        <w:spacing w:before="0" w:beforeAutospacing="0" w:after="120" w:afterAutospacing="0" w:line="390" w:lineRule="atLeast"/>
        <w:ind w:left="2126"/>
        <w:jc w:val="both"/>
        <w:rPr>
          <w:iCs/>
          <w:spacing w:val="2"/>
          <w:sz w:val="20"/>
          <w:szCs w:val="20"/>
          <w:lang w:val="pt-BR"/>
        </w:rPr>
      </w:pPr>
      <w:r w:rsidRPr="00F32A0B">
        <w:rPr>
          <w:iCs/>
          <w:spacing w:val="2"/>
          <w:sz w:val="20"/>
          <w:szCs w:val="20"/>
          <w:lang w:val="pt-BR"/>
        </w:rPr>
        <w:t>Art. 9º Não se proferirá decisão contra uma das partes sem que ela seja previamente ouvida.</w:t>
      </w:r>
    </w:p>
    <w:p w:rsidR="007B705A" w:rsidRPr="00F32A0B" w:rsidRDefault="007B705A" w:rsidP="009A64ED">
      <w:pPr>
        <w:pStyle w:val="NormalWeb"/>
        <w:shd w:val="clear" w:color="auto" w:fill="FFFFFF"/>
        <w:spacing w:before="0" w:beforeAutospacing="0" w:after="120" w:afterAutospacing="0" w:line="390" w:lineRule="atLeast"/>
        <w:ind w:left="2126"/>
        <w:jc w:val="both"/>
        <w:rPr>
          <w:iCs/>
          <w:spacing w:val="2"/>
          <w:sz w:val="20"/>
          <w:szCs w:val="20"/>
          <w:lang w:val="pt-BR"/>
        </w:rPr>
      </w:pPr>
      <w:r w:rsidRPr="00F32A0B">
        <w:rPr>
          <w:iCs/>
          <w:spacing w:val="2"/>
          <w:sz w:val="20"/>
          <w:szCs w:val="20"/>
          <w:lang w:val="pt-BR"/>
        </w:rPr>
        <w:t>Art. 10. O juiz não pode decidir, em grau algum de jurisdição, com base em fundamento a respeito do qual não se tenha dado às partes oportunidade de se manifestar, ainda que se trate de matéria sobre a qual deva decidir de ofício.</w:t>
      </w:r>
    </w:p>
    <w:p w:rsidR="007B705A" w:rsidRDefault="007B705A" w:rsidP="007B705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05A" w:rsidRDefault="009A64ED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</w:t>
      </w:r>
      <w:r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Por </w:t>
      </w:r>
      <w:r w:rsidR="000E5D1C"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tanto,</w:t>
      </w:r>
      <w:r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tais alterações visam evitar </w:t>
      </w:r>
      <w:r w:rsidR="000E5D1C"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“</w:t>
      </w:r>
      <w:r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surpresas” no processo pel</w:t>
      </w:r>
      <w:r w:rsidR="000E5D1C"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</w:t>
      </w:r>
      <w:r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exclusão de tal contraditório, conforme ensina Fredie Didier Jr, que infere que o artigo 10 é um dos pilares do novo CPC</w:t>
      </w:r>
      <w:r w:rsidR="000E5D1C"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Tal procedimento já é alvo de criticas, pois como o juiz não poderá decidir sobre matéria que não tenha sido debatida no processo, incidiriam mais tempos processuais para o cumprimento de citações sobre feitos novos.</w:t>
      </w:r>
    </w:p>
    <w:p w:rsidR="00E81DB2" w:rsidRDefault="00E81DB2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Sobre tal paridade processual, compete citarmos o artigo 7º:</w:t>
      </w:r>
    </w:p>
    <w:p w:rsidR="00E81DB2" w:rsidRDefault="00E81DB2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E81DB2" w:rsidRDefault="00E81DB2" w:rsidP="00E81DB2">
      <w:pPr>
        <w:tabs>
          <w:tab w:val="left" w:pos="1134"/>
        </w:tabs>
        <w:spacing w:after="0" w:line="276" w:lineRule="auto"/>
        <w:ind w:left="21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81DB2">
        <w:rPr>
          <w:rFonts w:ascii="Times New Roman" w:hAnsi="Times New Roman" w:cs="Times New Roman"/>
          <w:color w:val="000000"/>
          <w:sz w:val="20"/>
          <w:szCs w:val="20"/>
        </w:rPr>
        <w:t>Art. 7</w:t>
      </w:r>
      <w:r w:rsidRPr="00E81DB2">
        <w:rPr>
          <w:rFonts w:ascii="Times New Roman" w:hAnsi="Times New Roman" w:cs="Times New Roman"/>
          <w:color w:val="000000"/>
          <w:sz w:val="20"/>
          <w:szCs w:val="20"/>
          <w:u w:val="single"/>
          <w:vertAlign w:val="superscript"/>
        </w:rPr>
        <w:t>o</w:t>
      </w:r>
      <w:r w:rsidRPr="00E81DB2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E81DB2">
        <w:rPr>
          <w:rFonts w:ascii="Times New Roman" w:hAnsi="Times New Roman" w:cs="Times New Roman"/>
          <w:color w:val="000000"/>
          <w:sz w:val="20"/>
          <w:szCs w:val="20"/>
        </w:rPr>
        <w:t>É assegurada às partes paridade de tratamento em relação ao exercício de direitos e faculdades processuais, aos meios de defesa, aos ônus, aos deveres e à aplicação de sanções processuais, competindo ao juiz zelar pelo efetivo contraditório.</w:t>
      </w:r>
    </w:p>
    <w:p w:rsidR="00E81DB2" w:rsidRPr="00E81DB2" w:rsidRDefault="00E81DB2" w:rsidP="00E81DB2">
      <w:pPr>
        <w:tabs>
          <w:tab w:val="left" w:pos="1134"/>
        </w:tabs>
        <w:spacing w:after="0" w:line="240" w:lineRule="auto"/>
        <w:ind w:left="2124"/>
        <w:jc w:val="both"/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</w:pPr>
    </w:p>
    <w:p w:rsidR="000E5D1C" w:rsidRDefault="000E5D1C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0E5D1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Ponto este em que as opiniões divergem-se. Enquanto alguns defendem válida a ferramenta no sentido de evitar decisões surpresas, outros a classificam como um excesso, vez que a medida se estende até para casos em que se trate de matéria de ordem pública.</w:t>
      </w:r>
    </w:p>
    <w:p w:rsidR="000E5D1C" w:rsidRDefault="000E5D1C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53687" w:rsidRDefault="00C53687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53687" w:rsidRDefault="00C53687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0E5D1C" w:rsidRDefault="000E5D1C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0E5D1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lastRenderedPageBreak/>
        <w:t>3.0 DOS PRAZOS PROCESSUAIS NO NOVO CPC</w:t>
      </w:r>
    </w:p>
    <w:p w:rsidR="000E5D1C" w:rsidRDefault="000E5D1C" w:rsidP="000E5D1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8626A" w:rsidRDefault="000E5D1C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                 </w:t>
      </w:r>
      <w:r w:rsid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Com relação aos prazos processuais, o novo CPC admite contagem de prazos apenas em dias úteis, suspendendo tal contagem apenas entre os dias 20 de dezembro e 20 de janeiro.Essa modificação não se confunde com o recesso do juciário de fim de ano,ou seja o dispositivo apenas menciona a suspensão do prazo enquanto os fóruns voltam a sua normalidade.</w:t>
      </w:r>
    </w:p>
    <w:p w:rsidR="0092153D" w:rsidRDefault="0058626A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</w:t>
      </w:r>
      <w:r w:rsid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Ainda em relação as alterações dos</w:t>
      </w:r>
      <w:r w:rsidR="0092153D"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prazos, ainda há que se falar na </w:t>
      </w:r>
      <w:r w:rsid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inclusão</w:t>
      </w:r>
      <w:r w:rsidR="0092153D"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dos escritórios de prática jurídica das faculdades de Direito e às entidades que </w:t>
      </w:r>
      <w:r w:rsid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prestam serviços jurídicos gratuitos em parceria com a OAB e Defensorias Públicas</w:t>
      </w:r>
      <w:r w:rsidR="0092153D"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que também gozarão de prazo em dobro para todas as suas </w:t>
      </w:r>
      <w:r w:rsid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demandas</w:t>
      </w:r>
      <w:r w:rsidR="0092153D"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processuais.</w:t>
      </w:r>
    </w:p>
    <w:p w:rsidR="0092153D" w:rsidRDefault="0092153D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</w:t>
      </w:r>
      <w:r w:rsidR="00A723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Tais alterações são de suma importância, visto que essas entidades contribuem significativamente com a sociedade</w:t>
      </w:r>
      <w:r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  <w:r w:rsidR="00A723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Entre tanto</w:t>
      </w:r>
      <w:r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A723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temos que considerar que , no Brasil, já temos muitos feriados e a contagem dos prazos apenas em dias úteis pode tornar-se retrograda por esse fato</w:t>
      </w:r>
      <w:r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  <w:r w:rsidR="00A723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Além disso,</w:t>
      </w:r>
      <w:r w:rsidRPr="0092153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já tem as férias de 20 de dezembro a 20 de janeiro. </w:t>
      </w:r>
      <w:r w:rsidR="00A723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Esse fato, nos leva a repensar se tais alterações não contratam com o próprio ideal de celeridade do novo CPC.</w:t>
      </w:r>
    </w:p>
    <w:p w:rsidR="00A7230B" w:rsidRDefault="00A7230B" w:rsidP="00A7230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</w:t>
      </w:r>
    </w:p>
    <w:p w:rsidR="00965E87" w:rsidRDefault="00965E87" w:rsidP="00A7230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3.1 Cronologia Processual</w:t>
      </w:r>
    </w:p>
    <w:p w:rsidR="00965E87" w:rsidRDefault="00965E87" w:rsidP="00A7230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401AD" w:rsidRPr="005401AD" w:rsidRDefault="005401AD" w:rsidP="004E2FB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spacing w:val="2"/>
          <w:lang w:val="pt-BR"/>
        </w:rPr>
      </w:pPr>
      <w:r>
        <w:rPr>
          <w:rFonts w:ascii="Georgia" w:hAnsi="Georgia"/>
          <w:spacing w:val="2"/>
          <w:sz w:val="27"/>
          <w:szCs w:val="27"/>
          <w:lang w:val="pt-BR"/>
        </w:rPr>
        <w:t xml:space="preserve">                  </w:t>
      </w:r>
      <w:r>
        <w:rPr>
          <w:spacing w:val="2"/>
          <w:lang w:val="pt-BR"/>
        </w:rPr>
        <w:t>Em relação ao artigo 12, verifica-se taxação de tempo para proferimento de sentença ou acórdão</w:t>
      </w:r>
      <w:r w:rsidRPr="005401AD">
        <w:rPr>
          <w:spacing w:val="2"/>
          <w:lang w:val="pt-BR"/>
        </w:rPr>
        <w:t xml:space="preserve">. </w:t>
      </w:r>
      <w:r>
        <w:rPr>
          <w:spacing w:val="2"/>
          <w:lang w:val="pt-BR"/>
        </w:rPr>
        <w:t xml:space="preserve">Tal procedimento para sentencicar é controverso,pois </w:t>
      </w:r>
      <w:r w:rsidRPr="005401AD">
        <w:rPr>
          <w:spacing w:val="2"/>
          <w:lang w:val="pt-BR"/>
        </w:rPr>
        <w:t>de um lado pretende proteger a isonomia processual e do outro pode acabar por comprometer a eficiência e a celeridade</w:t>
      </w:r>
      <w:r>
        <w:rPr>
          <w:spacing w:val="2"/>
          <w:lang w:val="pt-BR"/>
        </w:rPr>
        <w:t xml:space="preserve"> processual tanto almejada</w:t>
      </w:r>
      <w:r w:rsidRPr="005401AD">
        <w:rPr>
          <w:spacing w:val="2"/>
          <w:lang w:val="pt-BR"/>
        </w:rPr>
        <w:t>. Obviamente, a medida tem como objetivo evitar que interesses externos influenciem a ordem dos julgamentos, tratan</w:t>
      </w:r>
      <w:r>
        <w:rPr>
          <w:spacing w:val="2"/>
          <w:lang w:val="pt-BR"/>
        </w:rPr>
        <w:t xml:space="preserve">do-se de disposição que tende enfatizar </w:t>
      </w:r>
      <w:r w:rsidRPr="005401AD">
        <w:rPr>
          <w:spacing w:val="2"/>
          <w:lang w:val="pt-BR"/>
        </w:rPr>
        <w:t xml:space="preserve">a isonomia processual e a </w:t>
      </w:r>
      <w:r>
        <w:rPr>
          <w:spacing w:val="2"/>
          <w:lang w:val="pt-BR"/>
        </w:rPr>
        <w:t>caracterização</w:t>
      </w:r>
      <w:r w:rsidRPr="005401AD">
        <w:rPr>
          <w:spacing w:val="2"/>
          <w:lang w:val="pt-BR"/>
        </w:rPr>
        <w:t xml:space="preserve"> do</w:t>
      </w:r>
      <w:r w:rsidRPr="005401AD">
        <w:rPr>
          <w:rStyle w:val="apple-converted-space"/>
          <w:spacing w:val="2"/>
          <w:lang w:val="pt-BR"/>
        </w:rPr>
        <w:t> </w:t>
      </w:r>
      <w:r w:rsidRPr="005401AD">
        <w:rPr>
          <w:bCs/>
          <w:spacing w:val="2"/>
          <w:lang w:val="pt-BR"/>
        </w:rPr>
        <w:t>Princípio da Impessoalidade</w:t>
      </w:r>
      <w:r w:rsidRPr="005401AD">
        <w:rPr>
          <w:b/>
          <w:bCs/>
          <w:spacing w:val="2"/>
          <w:lang w:val="pt-BR"/>
        </w:rPr>
        <w:t>.</w:t>
      </w:r>
    </w:p>
    <w:p w:rsidR="005401AD" w:rsidRPr="005401AD" w:rsidRDefault="005401AD" w:rsidP="004E2FB8">
      <w:pPr>
        <w:pStyle w:val="NormalWeb"/>
        <w:shd w:val="clear" w:color="auto" w:fill="FFFFFF"/>
        <w:tabs>
          <w:tab w:val="left" w:pos="1134"/>
        </w:tabs>
        <w:spacing w:before="0" w:beforeAutospacing="0" w:after="120" w:afterAutospacing="0" w:line="390" w:lineRule="atLeast"/>
        <w:jc w:val="both"/>
        <w:rPr>
          <w:spacing w:val="2"/>
          <w:lang w:val="pt-BR"/>
        </w:rPr>
      </w:pPr>
      <w:r>
        <w:rPr>
          <w:rFonts w:ascii="Georgia" w:hAnsi="Georgia"/>
          <w:spacing w:val="2"/>
          <w:sz w:val="27"/>
          <w:szCs w:val="27"/>
          <w:lang w:val="pt-BR"/>
        </w:rPr>
        <w:t xml:space="preserve">                  </w:t>
      </w:r>
      <w:r>
        <w:rPr>
          <w:spacing w:val="2"/>
          <w:lang w:val="pt-BR"/>
        </w:rPr>
        <w:t>A desobediência da referida ordem processual</w:t>
      </w:r>
      <w:r w:rsidRPr="005401AD">
        <w:rPr>
          <w:spacing w:val="2"/>
          <w:lang w:val="pt-BR"/>
        </w:rPr>
        <w:t xml:space="preserve">, por sua vez, não apresenta consequências trazidas pelo Código, mas Didier Jr. Já declarou que pode ensejar uma representação administrativa e com a possibilidade de o magistrado ser indiciado como suspeito; situação em que, caso ocorra, </w:t>
      </w:r>
      <w:r w:rsidR="0063526B">
        <w:rPr>
          <w:spacing w:val="2"/>
          <w:lang w:val="pt-BR"/>
        </w:rPr>
        <w:t>tornaria a decisão nula</w:t>
      </w:r>
      <w:r w:rsidRPr="005401AD">
        <w:rPr>
          <w:spacing w:val="2"/>
          <w:lang w:val="pt-BR"/>
        </w:rPr>
        <w:t>.</w:t>
      </w:r>
    </w:p>
    <w:p w:rsidR="004E2FB8" w:rsidRPr="005401AD" w:rsidRDefault="005401AD" w:rsidP="004E2FB8">
      <w:pPr>
        <w:pStyle w:val="NormalWeb"/>
        <w:shd w:val="clear" w:color="auto" w:fill="FFFFFF"/>
        <w:spacing w:before="0" w:beforeAutospacing="0" w:after="120" w:afterAutospacing="0" w:line="390" w:lineRule="atLeast"/>
        <w:jc w:val="both"/>
        <w:rPr>
          <w:spacing w:val="2"/>
          <w:lang w:val="pt-BR"/>
        </w:rPr>
      </w:pPr>
      <w:r w:rsidRPr="005401AD">
        <w:rPr>
          <w:spacing w:val="2"/>
          <w:lang w:val="pt-BR"/>
        </w:rPr>
        <w:lastRenderedPageBreak/>
        <w:t xml:space="preserve">              </w:t>
      </w:r>
      <w:r>
        <w:rPr>
          <w:spacing w:val="2"/>
          <w:lang w:val="pt-BR"/>
        </w:rPr>
        <w:t xml:space="preserve">  </w:t>
      </w:r>
      <w:r w:rsidRPr="005401AD">
        <w:rPr>
          <w:spacing w:val="2"/>
          <w:lang w:val="pt-BR"/>
        </w:rPr>
        <w:t xml:space="preserve">  </w:t>
      </w:r>
      <w:r w:rsidR="0063526B">
        <w:rPr>
          <w:spacing w:val="2"/>
          <w:lang w:val="pt-BR"/>
        </w:rPr>
        <w:t xml:space="preserve"> Acontece que essa obsoleta igualdade pode contribuir para a morosidade processual e conseqüente debate de competências.</w:t>
      </w:r>
      <w:r w:rsidRPr="005401AD">
        <w:rPr>
          <w:spacing w:val="2"/>
          <w:lang w:val="pt-BR"/>
        </w:rPr>
        <w:t xml:space="preserve"> Em </w:t>
      </w:r>
      <w:r w:rsidR="0063526B">
        <w:rPr>
          <w:spacing w:val="2"/>
          <w:lang w:val="pt-BR"/>
        </w:rPr>
        <w:t>relação</w:t>
      </w:r>
      <w:r w:rsidRPr="005401AD">
        <w:rPr>
          <w:spacing w:val="2"/>
          <w:lang w:val="pt-BR"/>
        </w:rPr>
        <w:t xml:space="preserve"> </w:t>
      </w:r>
      <w:r w:rsidR="0063526B">
        <w:rPr>
          <w:spacing w:val="2"/>
          <w:lang w:val="pt-BR"/>
        </w:rPr>
        <w:t>a</w:t>
      </w:r>
      <w:r w:rsidRPr="005401AD">
        <w:rPr>
          <w:spacing w:val="2"/>
          <w:lang w:val="pt-BR"/>
        </w:rPr>
        <w:t xml:space="preserve">o art. 12 em seu § 2º apresentar exceções, não se fazem suficientes para contornar, já que </w:t>
      </w:r>
      <w:r w:rsidR="0063526B">
        <w:rPr>
          <w:spacing w:val="2"/>
          <w:lang w:val="pt-BR"/>
        </w:rPr>
        <w:t>o silogismo</w:t>
      </w:r>
      <w:r w:rsidRPr="005401AD">
        <w:rPr>
          <w:spacing w:val="2"/>
          <w:lang w:val="pt-BR"/>
        </w:rPr>
        <w:t xml:space="preserve"> para julgamento de causas mais complexas impede o julgamento de questões mais simples cuja rápida solução é </w:t>
      </w:r>
      <w:r w:rsidR="0063526B">
        <w:rPr>
          <w:spacing w:val="2"/>
          <w:lang w:val="pt-BR"/>
        </w:rPr>
        <w:t>de notável interesse social</w:t>
      </w:r>
      <w:r w:rsidRPr="005401AD">
        <w:rPr>
          <w:spacing w:val="2"/>
          <w:lang w:val="pt-BR"/>
        </w:rPr>
        <w:t>; de modo que processos considerados simples terão que aguardar a definição de casos que demandam mais prazo pelo grau de dificuldade. Além disso, a medida ainda derruba por terra a gestão de gabinete, não se tendo mais como separar as ações por matérias.</w:t>
      </w:r>
    </w:p>
    <w:p w:rsidR="00965E87" w:rsidRDefault="0063526B" w:rsidP="004E2FB8">
      <w:pPr>
        <w:pStyle w:val="NormalWeb"/>
        <w:shd w:val="clear" w:color="auto" w:fill="FFFFFF"/>
        <w:tabs>
          <w:tab w:val="left" w:pos="1134"/>
        </w:tabs>
        <w:spacing w:before="0" w:beforeAutospacing="0" w:after="120" w:afterAutospacing="0" w:line="360" w:lineRule="auto"/>
        <w:jc w:val="both"/>
        <w:rPr>
          <w:spacing w:val="2"/>
          <w:lang w:val="pt-BR"/>
        </w:rPr>
      </w:pPr>
      <w:r>
        <w:rPr>
          <w:spacing w:val="2"/>
          <w:lang w:val="pt-BR"/>
        </w:rPr>
        <w:t xml:space="preserve">                  Em suma</w:t>
      </w:r>
      <w:r w:rsidR="005401AD" w:rsidRPr="005401AD">
        <w:rPr>
          <w:spacing w:val="2"/>
          <w:lang w:val="pt-BR"/>
        </w:rPr>
        <w:t xml:space="preserve">, fica claro o objetivo do tratamento puramente </w:t>
      </w:r>
      <w:r>
        <w:rPr>
          <w:spacing w:val="2"/>
          <w:lang w:val="pt-BR"/>
        </w:rPr>
        <w:t>democrático</w:t>
      </w:r>
      <w:r w:rsidR="005401AD" w:rsidRPr="005401AD">
        <w:rPr>
          <w:spacing w:val="2"/>
          <w:lang w:val="pt-BR"/>
        </w:rPr>
        <w:t xml:space="preserve"> aos processos, porém, </w:t>
      </w:r>
      <w:r>
        <w:rPr>
          <w:spacing w:val="2"/>
          <w:lang w:val="pt-BR"/>
        </w:rPr>
        <w:t>inversamente ao que se propõe</w:t>
      </w:r>
      <w:r w:rsidR="005401AD" w:rsidRPr="005401AD">
        <w:rPr>
          <w:spacing w:val="2"/>
          <w:lang w:val="pt-BR"/>
        </w:rPr>
        <w:t xml:space="preserve">, o novo dispositivo acaba por violar o </w:t>
      </w:r>
      <w:r w:rsidR="004E2FB8">
        <w:rPr>
          <w:spacing w:val="2"/>
          <w:lang w:val="pt-BR"/>
        </w:rPr>
        <w:t xml:space="preserve"> </w:t>
      </w:r>
      <w:r w:rsidR="005401AD" w:rsidRPr="005401AD">
        <w:rPr>
          <w:spacing w:val="2"/>
          <w:lang w:val="pt-BR"/>
        </w:rPr>
        <w:t xml:space="preserve">Princípio da Isonomia </w:t>
      </w:r>
      <w:r>
        <w:rPr>
          <w:spacing w:val="2"/>
          <w:lang w:val="pt-BR"/>
        </w:rPr>
        <w:t>ao conceder tratamento de isonomia</w:t>
      </w:r>
      <w:r w:rsidR="005401AD" w:rsidRPr="005401AD">
        <w:rPr>
          <w:spacing w:val="2"/>
          <w:lang w:val="pt-BR"/>
        </w:rPr>
        <w:t xml:space="preserve"> até mesmo aos que apresentam-se em situações distintas. Podendo comprometer ainda o ideal de celeridade ao </w:t>
      </w:r>
      <w:r>
        <w:rPr>
          <w:spacing w:val="2"/>
          <w:lang w:val="pt-BR"/>
        </w:rPr>
        <w:t>dificultar a resolução de casos mais simples,por não estarem de acordo com a ordem cronológica estabelecida.</w:t>
      </w:r>
    </w:p>
    <w:p w:rsidR="0063526B" w:rsidRDefault="0063526B" w:rsidP="0063526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pacing w:val="2"/>
          <w:lang w:val="pt-BR"/>
        </w:rPr>
      </w:pPr>
    </w:p>
    <w:p w:rsidR="0063526B" w:rsidRDefault="0063526B" w:rsidP="0063526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b/>
          <w:spacing w:val="2"/>
          <w:lang w:val="pt-BR"/>
        </w:rPr>
      </w:pPr>
      <w:r w:rsidRPr="0063526B">
        <w:rPr>
          <w:b/>
          <w:spacing w:val="2"/>
          <w:lang w:val="pt-BR"/>
        </w:rPr>
        <w:t xml:space="preserve">4.0 MEIOS ELETRONICOS </w:t>
      </w:r>
    </w:p>
    <w:p w:rsidR="0063526B" w:rsidRDefault="0063526B" w:rsidP="0063526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b/>
          <w:spacing w:val="2"/>
          <w:lang w:val="pt-BR"/>
        </w:rPr>
      </w:pPr>
    </w:p>
    <w:p w:rsidR="00535D5D" w:rsidRPr="00535D5D" w:rsidRDefault="00535D5D" w:rsidP="00535D5D">
      <w:pPr>
        <w:pStyle w:val="NormalWeb"/>
        <w:shd w:val="clear" w:color="auto" w:fill="FFFFFF"/>
        <w:tabs>
          <w:tab w:val="left" w:pos="1134"/>
        </w:tabs>
        <w:spacing w:before="120" w:beforeAutospacing="0" w:after="0" w:afterAutospacing="0" w:line="390" w:lineRule="atLeast"/>
        <w:jc w:val="both"/>
        <w:rPr>
          <w:spacing w:val="2"/>
          <w:lang w:val="pt-BR"/>
        </w:rPr>
      </w:pPr>
      <w:r>
        <w:rPr>
          <w:spacing w:val="2"/>
          <w:lang w:val="pt-BR"/>
        </w:rPr>
        <w:t xml:space="preserve">                  No que tange o uso de meios eletrônicos como mecanismo para estabelecimento da celeridade e simplificação processual, compete considerar o importante papel do novo CPC</w:t>
      </w:r>
      <w:r w:rsidRPr="00535D5D">
        <w:rPr>
          <w:spacing w:val="2"/>
          <w:lang w:val="pt-BR"/>
        </w:rPr>
        <w:t xml:space="preserve">. O artigo 151 em seu § 3º trata de inovações no tocante ao processo eletrônico e o § 4º estabelece sua sistemática </w:t>
      </w:r>
      <w:r>
        <w:rPr>
          <w:spacing w:val="2"/>
          <w:lang w:val="pt-BR"/>
        </w:rPr>
        <w:t>de unificação</w:t>
      </w:r>
      <w:r w:rsidRPr="00535D5D">
        <w:rPr>
          <w:spacing w:val="2"/>
          <w:lang w:val="pt-BR"/>
        </w:rPr>
        <w:t xml:space="preserve"> em todos os tribunais, cumprindo ao Conselho Nacional de Justiça a edição de ato que incorpore e regulamente os avanços tecnológicos.</w:t>
      </w:r>
      <w:r>
        <w:rPr>
          <w:spacing w:val="2"/>
          <w:lang w:val="pt-BR"/>
        </w:rPr>
        <w:t xml:space="preserve"> Não obstante, incentive o uso de meios eletrônicos que flexibilizem o uso e manejo do processo.</w:t>
      </w:r>
    </w:p>
    <w:p w:rsidR="00535D5D" w:rsidRDefault="00535D5D" w:rsidP="00535D5D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90" w:lineRule="atLeast"/>
        <w:jc w:val="both"/>
        <w:rPr>
          <w:spacing w:val="2"/>
          <w:lang w:val="pt-BR"/>
        </w:rPr>
      </w:pPr>
      <w:r w:rsidRPr="00535D5D">
        <w:rPr>
          <w:spacing w:val="2"/>
          <w:lang w:val="pt-BR"/>
        </w:rPr>
        <w:t xml:space="preserve">               </w:t>
      </w:r>
      <w:r>
        <w:rPr>
          <w:spacing w:val="2"/>
          <w:lang w:val="pt-BR"/>
        </w:rPr>
        <w:t xml:space="preserve"> </w:t>
      </w:r>
      <w:r w:rsidRPr="00535D5D">
        <w:rPr>
          <w:spacing w:val="2"/>
          <w:lang w:val="pt-BR"/>
        </w:rPr>
        <w:t xml:space="preserve">  </w:t>
      </w:r>
      <w:r>
        <w:rPr>
          <w:spacing w:val="2"/>
          <w:lang w:val="pt-BR"/>
        </w:rPr>
        <w:t>É importante</w:t>
      </w:r>
      <w:r w:rsidRPr="00535D5D">
        <w:rPr>
          <w:spacing w:val="2"/>
          <w:lang w:val="pt-BR"/>
        </w:rPr>
        <w:t xml:space="preserve">, contudo, uma reflexão em segundo momento, uma vez que os sistemas eletrônicos que já se fazem presentes como ferramentas jurídicas não estão isentos de falhas. Ademais, </w:t>
      </w:r>
      <w:r>
        <w:rPr>
          <w:spacing w:val="2"/>
          <w:lang w:val="pt-BR"/>
        </w:rPr>
        <w:t>é importante o treinamento e aperfeiçoamento de todo o corpo técnico do poder judiário</w:t>
      </w:r>
      <w:r w:rsidRPr="00535D5D">
        <w:rPr>
          <w:spacing w:val="2"/>
          <w:lang w:val="pt-BR"/>
        </w:rPr>
        <w:t>, para garantir assim que esse acesso seja indiscriminatório a todos que lidam com a máquina judiciária.</w:t>
      </w:r>
    </w:p>
    <w:p w:rsidR="00535D5D" w:rsidRDefault="00535D5D" w:rsidP="00173064">
      <w:pPr>
        <w:pStyle w:val="NormalWeb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390" w:lineRule="atLeast"/>
        <w:jc w:val="both"/>
        <w:rPr>
          <w:spacing w:val="2"/>
          <w:lang w:val="pt-BR"/>
        </w:rPr>
      </w:pPr>
      <w:r>
        <w:rPr>
          <w:spacing w:val="2"/>
          <w:lang w:val="pt-BR"/>
        </w:rPr>
        <w:t xml:space="preserve">                </w:t>
      </w:r>
      <w:r w:rsidR="00173064">
        <w:rPr>
          <w:spacing w:val="2"/>
          <w:lang w:val="pt-BR"/>
        </w:rPr>
        <w:t xml:space="preserve"> </w:t>
      </w:r>
      <w:r>
        <w:rPr>
          <w:spacing w:val="2"/>
          <w:lang w:val="pt-BR"/>
        </w:rPr>
        <w:t xml:space="preserve"> Acerca de tais considerações, fica impossível imaginarmos a maquina judiciário desenvolvendo-se de forma célere sem o efetivo funcionamento da tecnologia em prol da boa administração processual. Conforme também já estabelecido, para que os processos sejam flexibilizados e haja consequente celeridade da justiça em todos os âmbitos, faz-se necessário não apenas o aparelhamento tecnológico n</w:t>
      </w:r>
      <w:r w:rsidR="00173064">
        <w:rPr>
          <w:spacing w:val="2"/>
          <w:lang w:val="pt-BR"/>
        </w:rPr>
        <w:t xml:space="preserve">o âmbito dos tribunais e comarcas, </w:t>
      </w:r>
      <w:r w:rsidR="00173064">
        <w:rPr>
          <w:spacing w:val="2"/>
          <w:lang w:val="pt-BR"/>
        </w:rPr>
        <w:lastRenderedPageBreak/>
        <w:t>mas também é necessário que o corpo técnico esteja apto a manusear as novas ferramentas que visam, sobre tudo, a simplificação e desburocratização da maquina judiciária como um todo.</w:t>
      </w:r>
    </w:p>
    <w:p w:rsidR="00173064" w:rsidRPr="00535D5D" w:rsidRDefault="00173064" w:rsidP="00173064">
      <w:pPr>
        <w:pStyle w:val="NormalWeb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390" w:lineRule="atLeast"/>
        <w:jc w:val="both"/>
        <w:rPr>
          <w:spacing w:val="2"/>
          <w:lang w:val="pt-BR"/>
        </w:rPr>
      </w:pPr>
      <w:r>
        <w:rPr>
          <w:spacing w:val="2"/>
          <w:lang w:val="pt-BR"/>
        </w:rPr>
        <w:t xml:space="preserve">                 Em suma, a contagem de prazos bem como a cronologia das decisões proferidas tornam-se muito mais célere quando todos os operadores do direito, independente do grau de participação nas demandas judiciais, estejam voltado e comprometidos para o racional andamento do processo. Ferramentas tecnológicas, como petições on-li e projud só tem a contribuir para a tão desejada e idealizada celeridade preconizada pelo novo código de processo civil. Não obstante, a implementação de meios de manuseios para que se evitem os contra tempos processuais e consequente atrasos nas prestações juridicionais.         </w:t>
      </w:r>
    </w:p>
    <w:p w:rsidR="00173064" w:rsidRPr="0058626A" w:rsidRDefault="00535D5D" w:rsidP="0058626A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b/>
          <w:spacing w:val="2"/>
          <w:shd w:val="clear" w:color="auto" w:fill="FFFFFF"/>
          <w:lang w:val="pt-BR"/>
        </w:rPr>
      </w:pPr>
      <w:r>
        <w:rPr>
          <w:b/>
          <w:spacing w:val="2"/>
          <w:shd w:val="clear" w:color="auto" w:fill="FFFFFF"/>
          <w:lang w:val="pt-BR"/>
        </w:rPr>
        <w:t xml:space="preserve">    </w:t>
      </w:r>
    </w:p>
    <w:p w:rsidR="00173064" w:rsidRDefault="00173064" w:rsidP="0092153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173064" w:rsidRDefault="00173064" w:rsidP="0092153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173064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5.0 CONCLUSÃO</w:t>
      </w:r>
    </w:p>
    <w:p w:rsidR="00F32A0B" w:rsidRDefault="00F32A0B" w:rsidP="0092153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6D694C" w:rsidRDefault="006D694C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Em suma, percebe-se claramente, que o novo CPC ao instituir tal formalismo quer, na verdade, fazer uma conciliação de pressupostos e princípios constitucionais no entrance do processo. Por tanto, busca-se com novo ideal atingir a celeridade processual através do princípio da razoável duração do processo, evitando-se contra-tempos na resolução de demandas através de meios e mecanismos eficazes na consolidação de tal principio.</w:t>
      </w:r>
    </w:p>
    <w:p w:rsidR="00F32A0B" w:rsidRDefault="006D694C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</w:t>
      </w:r>
      <w:r w:rsid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Entre tanto, no que pese as alterações que visam estabelecer a celeridade e simplificação, estas são duvidosas, pois na prática não se sabe os possíveis efeitos de algumas modificações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</w:t>
      </w:r>
      <w:r w:rsidRPr="006D694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é o caso da alteração de prazos processuais e ainda da inserção de ordem cronológica para julgamento. Ambas inovações podem acarretar em efeito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nocivos no âmbito processual</w:t>
      </w:r>
      <w:r w:rsidRPr="006D694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  </w:t>
      </w:r>
    </w:p>
    <w:p w:rsidR="00F32A0B" w:rsidRDefault="00F32A0B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</w:t>
      </w:r>
      <w:r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Não obstante a ideia de flexibilização processual ser uma tendência mundial, devendo </w:t>
      </w:r>
      <w:r w:rsidR="006C249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ser objeto de inserção imediata na nossa</w:t>
      </w:r>
      <w:r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jurisdição, </w:t>
      </w:r>
      <w:r w:rsidR="006C249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vez que cabe as partes protagonizarem de forma plena aquilo que lhes compete</w:t>
      </w:r>
      <w:r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 faz-se fundamental que ocorra de forma coerente em todos os seus aspectos. Ora, é válida a premissa de que o juiz deve ouvir as partes antes de tomar decisões, mas estender esse alcance a todo e qualquer ato processual pode significar um exagero e acarretar em morosidade.</w:t>
      </w:r>
    </w:p>
    <w:p w:rsidR="00F32A0B" w:rsidRDefault="00F32A0B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</w:t>
      </w:r>
      <w:r w:rsidR="006C249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Por fim, </w:t>
      </w:r>
      <w:r w:rsidR="006C249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é notório que a ideologia que o novo CPC incorporou </w:t>
      </w:r>
      <w:r w:rsidR="0058626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no sitema é processual busca a efetivação de uma prestação jurisdicional mais célere e simplificada ao </w:t>
      </w:r>
      <w:r w:rsidR="0058626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mesmo passo que efetiva de forma sistemática </w:t>
      </w:r>
      <w:r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 tutela do direito. Contudo, há de se fazer uma ressalva no tocante à execução processual, parte fundamental ao alcance do direito e que pouco recebeu atenção/</w:t>
      </w:r>
      <w:r w:rsidR="0058626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modificação nesse novo diploma </w:t>
      </w:r>
      <w:r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 exemplo do rol de impenhorabil</w:t>
      </w:r>
      <w:r w:rsidR="006C249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idade que permanece tão extenso</w:t>
      </w:r>
      <w:r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58626A" w:rsidRDefault="006C2490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</w:t>
      </w:r>
      <w:r w:rsidR="0058626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Por tudo isso</w:t>
      </w:r>
      <w:r w:rsidR="00F32A0B"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as expectativas para as consequências práticas das inovações apresentadas pelo</w:t>
      </w:r>
      <w:r w:rsidR="00F32A0B" w:rsidRPr="00F32A0B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13" w:tooltip="LEI Nº 13.105, DE 16 DE MARÇO DE 2015." w:history="1">
        <w:r w:rsidR="00F32A0B" w:rsidRPr="00F32A0B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novo CPC</w:t>
        </w:r>
      </w:hyperlink>
      <w:r w:rsidR="00F32A0B" w:rsidRPr="00F32A0B">
        <w:rPr>
          <w:rStyle w:val="apple-converted-space"/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 </w:t>
      </w:r>
      <w:r w:rsidR="00F32A0B"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são um tanto quanto duvidosas.</w:t>
      </w:r>
      <w:r w:rsidR="0058626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Pois ao mesmo tempo que se buscam ideiais de economia e razoabilidade processual, também são notados possíveis retrocessos no que concerne a contagem de prazos e a cronologia.</w:t>
      </w:r>
      <w:r w:rsidR="00F32A0B"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6D694C" w:rsidRDefault="0058626A" w:rsidP="004E2FB8">
      <w:pPr>
        <w:tabs>
          <w:tab w:val="left" w:pos="1134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Espera-se com otimismo, por tanto, para</w:t>
      </w:r>
      <w:r w:rsidR="00AA72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32A0B"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 bom funcionamento do nosso Judiciário que mesmo ante a alguns tropeços legislativos, os ideais de celeridade, simplificação e eficácia sejam, de fato, atendidos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; que não apenas a comunidade jurídica e jurisdicional ganhe com tais benefícios, mas que todos os litigantes saiam satisfeitos com a célere prestação jurisdicional condicionada pelas plausíveis alterações trazidas pelo novo CPC. </w:t>
      </w:r>
      <w:r w:rsidR="006D694C" w:rsidRPr="00F32A0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</w:t>
      </w:r>
      <w:r w:rsidR="006D694C" w:rsidRPr="00F32A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Default="00E81DB2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B2" w:rsidRPr="00AA7220" w:rsidRDefault="00AA7220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AA722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REFERENCIAS</w:t>
      </w:r>
    </w:p>
    <w:p w:rsidR="00AA7220" w:rsidRDefault="00AA7220" w:rsidP="00E81DB2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AA7220" w:rsidRPr="00E81DB2" w:rsidRDefault="00AA7220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BRASIL. Congresso. Senado. Lei nº</w:t>
      </w:r>
      <w:r w:rsidRPr="00E81DB2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14" w:tooltip="LEI Nº 13.105, DE 16 DE MARÇO DE 2015." w:history="1">
        <w:r w:rsidRPr="00E81DB2">
          <w:rPr>
            <w:rStyle w:val="Hyperlink"/>
            <w:rFonts w:ascii="Times New Roman" w:hAnsi="Times New Roman" w:cs="Times New Roman"/>
            <w:color w:val="007000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13.105</w:t>
        </w:r>
      </w:hyperlink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de 2015. Disponível em: &lt;</w:t>
      </w:r>
      <w:hyperlink r:id="rId15" w:tgtFrame="_blank" w:history="1">
        <w:r w:rsidRPr="00E81DB2">
          <w:rPr>
            <w:rStyle w:val="Hyperlink"/>
            <w:rFonts w:ascii="Times New Roman" w:hAnsi="Times New Roman" w:cs="Times New Roman"/>
            <w:color w:val="003D00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http://www.planalto.gov.br/ccivil_03/_Ato2015-2018/2015/Lei/L13105.htm</w:t>
        </w:r>
      </w:hyperlink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&gt;. Acesso em: 15 maio. 2016.</w:t>
      </w:r>
    </w:p>
    <w:p w:rsidR="00AA7220" w:rsidRDefault="00AA7220" w:rsidP="00E81DB2">
      <w:pPr>
        <w:tabs>
          <w:tab w:val="left" w:pos="1134"/>
        </w:tabs>
        <w:spacing w:after="0" w:line="360" w:lineRule="auto"/>
        <w:rPr>
          <w:rFonts w:ascii="Georgia" w:hAnsi="Georgia"/>
          <w:spacing w:val="2"/>
          <w:sz w:val="27"/>
          <w:szCs w:val="27"/>
          <w:shd w:val="clear" w:color="auto" w:fill="FFFFFF"/>
        </w:rPr>
      </w:pPr>
    </w:p>
    <w:p w:rsidR="00AA7220" w:rsidRPr="00E81DB2" w:rsidRDefault="00AA7220" w:rsidP="00E81DB2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Georgia" w:hAnsi="Georgia"/>
          <w:spacing w:val="2"/>
          <w:sz w:val="27"/>
          <w:szCs w:val="27"/>
          <w:shd w:val="clear" w:color="auto" w:fill="FFFFFF"/>
        </w:rPr>
        <w:t>CURIA, Luiz Roberto.</w:t>
      </w:r>
      <w:r>
        <w:rPr>
          <w:rStyle w:val="apple-converted-space"/>
          <w:rFonts w:ascii="Georgia" w:hAnsi="Georgia"/>
          <w:spacing w:val="2"/>
          <w:sz w:val="27"/>
          <w:szCs w:val="27"/>
          <w:shd w:val="clear" w:color="auto" w:fill="FFFFFF"/>
        </w:rPr>
        <w:t> </w:t>
      </w:r>
      <w:hyperlink r:id="rId16" w:tooltip="LEI Nº 13.105, DE 16 DE MARÇO DE 2015." w:history="1">
        <w:r w:rsidRPr="00AA7220">
          <w:rPr>
            <w:rStyle w:val="Hyperlink"/>
            <w:rFonts w:ascii="Georgia" w:hAnsi="Georgia"/>
            <w:color w:val="000000" w:themeColor="text1"/>
            <w:spacing w:val="2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Novo CPC</w:t>
        </w:r>
      </w:hyperlink>
      <w:r>
        <w:rPr>
          <w:rFonts w:ascii="Georgia" w:hAnsi="Georgia"/>
          <w:spacing w:val="2"/>
          <w:sz w:val="27"/>
          <w:szCs w:val="27"/>
          <w:shd w:val="clear" w:color="auto" w:fill="FFFFFF"/>
        </w:rPr>
        <w:t>. São Paulo: Saraiva, 2015.</w:t>
      </w:r>
    </w:p>
    <w:p w:rsidR="00AA7220" w:rsidRDefault="00AA7220" w:rsidP="00E81DB2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AA7220" w:rsidRDefault="00AA7220" w:rsidP="00E81DB2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DIDIER JR.,Fredie. Artigos. Disponível e</w:t>
      </w:r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&lt;http://www.frediedidier.com.br/artigos/page/2/&gt;. Acesso em: 10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Maio. 2016</w:t>
      </w:r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AA7220" w:rsidRDefault="00AA7220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AA7220" w:rsidRPr="00E81DB2" w:rsidRDefault="00AA7220" w:rsidP="005862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INSTITUTO BRASILEIRO DE DIREITO PÚBLICO. Aula</w:t>
      </w:r>
      <w:r w:rsidRPr="00E81DB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r w:rsidRPr="00E81DB2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Novo Código do Processo</w:t>
      </w:r>
      <w:r w:rsidRPr="00E81DB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</w:t>
      </w:r>
      <w:r w:rsidRPr="00E81DB2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Civil com o Ministro Luiz Fux</w:t>
      </w:r>
      <w:r w:rsidRPr="00E81DB2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</w:p>
    <w:p w:rsidR="00AA7220" w:rsidRDefault="00AA7220" w:rsidP="00E81DB2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AA7220" w:rsidRDefault="00AA7220" w:rsidP="00E81DB2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WAMBIER, Luiz Rodrigues. A flexibilidade procedimental como instrumento aliado da celeridade e da efetividade do processo. Disponível em: &lt;</w:t>
      </w:r>
      <w:hyperlink r:id="rId17" w:tgtFrame="_blank" w:history="1">
        <w:r w:rsidRPr="00E81DB2">
          <w:rPr>
            <w:rStyle w:val="Hyperlink"/>
            <w:rFonts w:ascii="Times New Roman" w:hAnsi="Times New Roman" w:cs="Times New Roman"/>
            <w:color w:val="007000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http://www.migalhas.com.br/dePeso/16,MI184713,21048-A+flexibilidade+procedimental+como+instrumento+aliado+da+celeridade+e</w:t>
        </w:r>
      </w:hyperlink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&gt;. Acesso em: 10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maio. 2016</w:t>
      </w:r>
      <w:r w:rsidRPr="00E81D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sectPr w:rsidR="00AA7220" w:rsidSect="00D5025D">
      <w:headerReference w:type="default" r:id="rId1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FF" w:rsidRDefault="00EB13FF" w:rsidP="00D311D7">
      <w:pPr>
        <w:spacing w:after="0" w:line="240" w:lineRule="auto"/>
      </w:pPr>
      <w:r>
        <w:separator/>
      </w:r>
    </w:p>
  </w:endnote>
  <w:endnote w:type="continuationSeparator" w:id="1">
    <w:p w:rsidR="00EB13FF" w:rsidRDefault="00EB13FF" w:rsidP="00D3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FF" w:rsidRDefault="00EB13FF" w:rsidP="00D311D7">
      <w:pPr>
        <w:spacing w:after="0" w:line="240" w:lineRule="auto"/>
      </w:pPr>
      <w:r>
        <w:separator/>
      </w:r>
    </w:p>
  </w:footnote>
  <w:footnote w:type="continuationSeparator" w:id="1">
    <w:p w:rsidR="00EB13FF" w:rsidRDefault="00EB13FF" w:rsidP="00D311D7">
      <w:pPr>
        <w:spacing w:after="0" w:line="240" w:lineRule="auto"/>
      </w:pPr>
      <w:r>
        <w:continuationSeparator/>
      </w:r>
    </w:p>
  </w:footnote>
  <w:footnote w:id="2">
    <w:p w:rsidR="00D311D7" w:rsidRPr="00107E59" w:rsidRDefault="00D311D7" w:rsidP="00D311D7">
      <w:pPr>
        <w:pStyle w:val="Textodenotaderodap"/>
        <w:jc w:val="both"/>
        <w:rPr>
          <w:rFonts w:ascii="Times New Roman" w:hAnsi="Times New Roman" w:cs="Times New Roman"/>
        </w:rPr>
      </w:pPr>
      <w:r w:rsidRPr="00107E59">
        <w:rPr>
          <w:rStyle w:val="Refdenotaderodap"/>
          <w:rFonts w:ascii="Times New Roman" w:hAnsi="Times New Roman" w:cs="Times New Roman"/>
        </w:rPr>
        <w:footnoteRef/>
      </w:r>
      <w:r w:rsidRPr="00107E59">
        <w:rPr>
          <w:rFonts w:ascii="Times New Roman" w:hAnsi="Times New Roman" w:cs="Times New Roman"/>
        </w:rPr>
        <w:t xml:space="preserve"> Paper apresentado à Disciplina de </w:t>
      </w:r>
      <w:r w:rsidR="0001759C">
        <w:rPr>
          <w:rFonts w:ascii="Times New Roman" w:hAnsi="Times New Roman" w:cs="Times New Roman"/>
        </w:rPr>
        <w:t>Recursos no processo civil</w:t>
      </w:r>
      <w:r w:rsidRPr="00107E59">
        <w:rPr>
          <w:rFonts w:ascii="Times New Roman" w:hAnsi="Times New Roman" w:cs="Times New Roman"/>
        </w:rPr>
        <w:t>, da Unidade de Ensino Superior Dom Bosco- UNDB.</w:t>
      </w:r>
    </w:p>
  </w:footnote>
  <w:footnote w:id="3">
    <w:p w:rsidR="00CD5BF5" w:rsidRPr="00CD5BF5" w:rsidRDefault="00CD5BF5" w:rsidP="00CD5BF5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107E59">
        <w:rPr>
          <w:rFonts w:ascii="Times New Roman" w:hAnsi="Times New Roman" w:cs="Times New Roman"/>
        </w:rPr>
        <w:t>Alun</w:t>
      </w:r>
      <w:r>
        <w:rPr>
          <w:rFonts w:ascii="Times New Roman" w:hAnsi="Times New Roman" w:cs="Times New Roman"/>
        </w:rPr>
        <w:t>o</w:t>
      </w:r>
      <w:r w:rsidRPr="00107E59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6</w:t>
      </w:r>
      <w:r w:rsidRPr="00107E59">
        <w:rPr>
          <w:rFonts w:ascii="Times New Roman" w:hAnsi="Times New Roman" w:cs="Times New Roman"/>
        </w:rPr>
        <w:t>° Período, do Curso de Direito, da UNDB.</w:t>
      </w:r>
    </w:p>
  </w:footnote>
  <w:footnote w:id="4">
    <w:p w:rsidR="00D311D7" w:rsidRPr="00107E59" w:rsidRDefault="00D311D7" w:rsidP="00D311D7">
      <w:pPr>
        <w:pStyle w:val="Textodenotaderodap"/>
        <w:jc w:val="both"/>
        <w:rPr>
          <w:rFonts w:ascii="Times New Roman" w:hAnsi="Times New Roman" w:cs="Times New Roman"/>
        </w:rPr>
      </w:pPr>
      <w:r w:rsidRPr="00107E59">
        <w:rPr>
          <w:rStyle w:val="Refdenotaderodap"/>
          <w:rFonts w:ascii="Times New Roman" w:hAnsi="Times New Roman" w:cs="Times New Roman"/>
        </w:rPr>
        <w:footnoteRef/>
      </w:r>
      <w:r w:rsidRPr="00107E59">
        <w:rPr>
          <w:rFonts w:ascii="Times New Roman" w:hAnsi="Times New Roman" w:cs="Times New Roman"/>
        </w:rPr>
        <w:t xml:space="preserve"> Prof</w:t>
      </w:r>
      <w:r w:rsidR="0001759C">
        <w:rPr>
          <w:rFonts w:ascii="Times New Roman" w:hAnsi="Times New Roman" w:cs="Times New Roman"/>
        </w:rPr>
        <w:t>ª</w:t>
      </w:r>
      <w:r w:rsidRPr="00107E59">
        <w:rPr>
          <w:rFonts w:ascii="Times New Roman" w:hAnsi="Times New Roman" w:cs="Times New Roman"/>
        </w:rPr>
        <w:t>. Orientador</w:t>
      </w:r>
      <w:r w:rsidR="0001759C">
        <w:rPr>
          <w:rFonts w:ascii="Times New Roman" w:hAnsi="Times New Roman" w:cs="Times New Roman"/>
        </w:rPr>
        <w:t>a</w:t>
      </w:r>
      <w:r w:rsidRPr="00107E5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5D" w:rsidRDefault="00D5025D">
    <w:pPr>
      <w:pStyle w:val="Cabealho"/>
    </w:pPr>
    <w:r w:rsidRPr="00615F1C">
      <w:object w:dxaOrig="9869" w:dyaOrig="1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3pt;height:30pt" o:ole="" fillcolor="window">
          <v:imagedata r:id="rId1" o:title=""/>
        </v:shape>
        <o:OLEObject Type="Embed" ProgID="CorelDraw.Graphic.10" ShapeID="_x0000_i1025" DrawAspect="Content" ObjectID="_1525605981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311D7"/>
    <w:rsid w:val="00002D4C"/>
    <w:rsid w:val="0001759C"/>
    <w:rsid w:val="00094426"/>
    <w:rsid w:val="000E5D1C"/>
    <w:rsid w:val="00173064"/>
    <w:rsid w:val="00183C78"/>
    <w:rsid w:val="00281F3F"/>
    <w:rsid w:val="00293C3E"/>
    <w:rsid w:val="002F77F5"/>
    <w:rsid w:val="0031136F"/>
    <w:rsid w:val="003231EF"/>
    <w:rsid w:val="00387C16"/>
    <w:rsid w:val="0039268E"/>
    <w:rsid w:val="003C6D29"/>
    <w:rsid w:val="003E4AD7"/>
    <w:rsid w:val="00447D32"/>
    <w:rsid w:val="00493BC0"/>
    <w:rsid w:val="004A4D29"/>
    <w:rsid w:val="004C1F21"/>
    <w:rsid w:val="004E2FB8"/>
    <w:rsid w:val="00500702"/>
    <w:rsid w:val="00535D5D"/>
    <w:rsid w:val="00536836"/>
    <w:rsid w:val="005401AD"/>
    <w:rsid w:val="0058626A"/>
    <w:rsid w:val="005942F8"/>
    <w:rsid w:val="005C01C9"/>
    <w:rsid w:val="005E1AD8"/>
    <w:rsid w:val="0063526B"/>
    <w:rsid w:val="00656E80"/>
    <w:rsid w:val="006C176F"/>
    <w:rsid w:val="006C2490"/>
    <w:rsid w:val="006D694C"/>
    <w:rsid w:val="006F2303"/>
    <w:rsid w:val="00701478"/>
    <w:rsid w:val="00724041"/>
    <w:rsid w:val="007414BD"/>
    <w:rsid w:val="007815F3"/>
    <w:rsid w:val="007A1F2F"/>
    <w:rsid w:val="007B705A"/>
    <w:rsid w:val="008031E7"/>
    <w:rsid w:val="00830837"/>
    <w:rsid w:val="0089096C"/>
    <w:rsid w:val="008D58F2"/>
    <w:rsid w:val="00910D96"/>
    <w:rsid w:val="0092153D"/>
    <w:rsid w:val="00933210"/>
    <w:rsid w:val="00965E87"/>
    <w:rsid w:val="00993235"/>
    <w:rsid w:val="00995076"/>
    <w:rsid w:val="009A3320"/>
    <w:rsid w:val="009A64ED"/>
    <w:rsid w:val="009A7F27"/>
    <w:rsid w:val="009C7328"/>
    <w:rsid w:val="00A4035A"/>
    <w:rsid w:val="00A6039F"/>
    <w:rsid w:val="00A702F4"/>
    <w:rsid w:val="00A7230B"/>
    <w:rsid w:val="00A73D9C"/>
    <w:rsid w:val="00A761E3"/>
    <w:rsid w:val="00AA7220"/>
    <w:rsid w:val="00B2303E"/>
    <w:rsid w:val="00BA5089"/>
    <w:rsid w:val="00BB02A7"/>
    <w:rsid w:val="00BB0D1C"/>
    <w:rsid w:val="00BE3C00"/>
    <w:rsid w:val="00C37F4E"/>
    <w:rsid w:val="00C53687"/>
    <w:rsid w:val="00C72960"/>
    <w:rsid w:val="00C87FAD"/>
    <w:rsid w:val="00C91D3C"/>
    <w:rsid w:val="00CD5BF5"/>
    <w:rsid w:val="00CE6C24"/>
    <w:rsid w:val="00CF6AEB"/>
    <w:rsid w:val="00D101C0"/>
    <w:rsid w:val="00D117C8"/>
    <w:rsid w:val="00D156E3"/>
    <w:rsid w:val="00D15855"/>
    <w:rsid w:val="00D210F7"/>
    <w:rsid w:val="00D311D7"/>
    <w:rsid w:val="00D5025D"/>
    <w:rsid w:val="00D55628"/>
    <w:rsid w:val="00D6432E"/>
    <w:rsid w:val="00D96834"/>
    <w:rsid w:val="00DA4293"/>
    <w:rsid w:val="00DB566C"/>
    <w:rsid w:val="00E019C0"/>
    <w:rsid w:val="00E42130"/>
    <w:rsid w:val="00E575B7"/>
    <w:rsid w:val="00E81DB2"/>
    <w:rsid w:val="00E853F4"/>
    <w:rsid w:val="00EB13FF"/>
    <w:rsid w:val="00EC7868"/>
    <w:rsid w:val="00F32A0B"/>
    <w:rsid w:val="00F3707D"/>
    <w:rsid w:val="00F51079"/>
    <w:rsid w:val="00FA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11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11D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11D7"/>
    <w:rPr>
      <w:vertAlign w:val="superscript"/>
    </w:rPr>
  </w:style>
  <w:style w:type="paragraph" w:customStyle="1" w:styleId="Default">
    <w:name w:val="Default"/>
    <w:rsid w:val="00D31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1D7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25D"/>
  </w:style>
  <w:style w:type="paragraph" w:styleId="Rodap">
    <w:name w:val="footer"/>
    <w:basedOn w:val="Normal"/>
    <w:link w:val="RodapChar"/>
    <w:uiPriority w:val="99"/>
    <w:unhideWhenUsed/>
    <w:rsid w:val="00D5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25D"/>
  </w:style>
  <w:style w:type="table" w:styleId="Tabelacomgrade">
    <w:name w:val="Table Grid"/>
    <w:basedOn w:val="Tabelanormal"/>
    <w:uiPriority w:val="39"/>
    <w:rsid w:val="001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1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A6039F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6039F"/>
  </w:style>
  <w:style w:type="character" w:styleId="Forte">
    <w:name w:val="Strong"/>
    <w:basedOn w:val="Fontepargpadro"/>
    <w:uiPriority w:val="22"/>
    <w:qFormat/>
    <w:rsid w:val="00A6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621">
          <w:marLeft w:val="-525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161">
              <w:marLeft w:val="0"/>
              <w:marRight w:val="0"/>
              <w:marTop w:val="0"/>
              <w:marBottom w:val="0"/>
              <w:divBdr>
                <w:top w:val="single" w:sz="6" w:space="2" w:color="E6E6E6"/>
                <w:left w:val="single" w:sz="6" w:space="2" w:color="E6E6E6"/>
                <w:bottom w:val="single" w:sz="6" w:space="2" w:color="E6E6E6"/>
                <w:right w:val="single" w:sz="6" w:space="2" w:color="E6E6E6"/>
              </w:divBdr>
              <w:divsChild>
                <w:div w:id="6721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67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312">
          <w:marLeft w:val="-525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3853">
              <w:marLeft w:val="0"/>
              <w:marRight w:val="0"/>
              <w:marTop w:val="0"/>
              <w:marBottom w:val="0"/>
              <w:divBdr>
                <w:top w:val="single" w:sz="6" w:space="2" w:color="E6E6E6"/>
                <w:left w:val="single" w:sz="6" w:space="2" w:color="E6E6E6"/>
                <w:bottom w:val="single" w:sz="6" w:space="2" w:color="E6E6E6"/>
                <w:right w:val="single" w:sz="6" w:space="2" w:color="E6E6E6"/>
              </w:divBdr>
              <w:divsChild>
                <w:div w:id="3826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83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61">
          <w:marLeft w:val="-525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6554">
              <w:marLeft w:val="0"/>
              <w:marRight w:val="0"/>
              <w:marTop w:val="0"/>
              <w:marBottom w:val="0"/>
              <w:divBdr>
                <w:top w:val="single" w:sz="6" w:space="2" w:color="E6E6E6"/>
                <w:left w:val="single" w:sz="6" w:space="2" w:color="E6E6E6"/>
                <w:bottom w:val="single" w:sz="6" w:space="2" w:color="E6E6E6"/>
                <w:right w:val="single" w:sz="6" w:space="2" w:color="E6E6E6"/>
              </w:divBdr>
              <w:divsChild>
                <w:div w:id="489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46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AAA68D"/>
            <w:right w:val="none" w:sz="0" w:space="0" w:color="auto"/>
          </w:divBdr>
        </w:div>
      </w:divsChild>
    </w:div>
    <w:div w:id="1373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74276278/lei-13105-15" TargetMode="External"/><Relationship Id="rId13" Type="http://schemas.openxmlformats.org/officeDocument/2006/relationships/hyperlink" Target="http://www.jusbrasil.com.br/legislacao/174276278/lei-13105-1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legislacao/91735/c%C3%B3digo-processo-civil-lei-5869-73" TargetMode="External"/><Relationship Id="rId12" Type="http://schemas.openxmlformats.org/officeDocument/2006/relationships/hyperlink" Target="http://www.jusbrasil.com.br/legislacao/91735/c%C3%B3digo-processo-civil-lei-5869-73" TargetMode="External"/><Relationship Id="rId17" Type="http://schemas.openxmlformats.org/officeDocument/2006/relationships/hyperlink" Target="http://www.migalhas.com.br/dePeso/16,MI184713,21048-A+flexibilidade+procedimental+como+instrumento+aliado+da+celeridade+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.br/legislacao/174276278/lei-13105-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jusbrasil.com.br/topicos/10737658/artigo-13-da-lei-n-5869-de-11-de-janeiro-de-19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5-2018/2015/Lei/L13105.htm" TargetMode="External"/><Relationship Id="rId10" Type="http://schemas.openxmlformats.org/officeDocument/2006/relationships/hyperlink" Target="http://www.jusbrasil.com.br/topicos/10738829/artigo-6-da-lei-n-5869-de-11-de-janeiro-de-19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legislacao/91735/c%C3%B3digo-processo-civil-lei-5869-73" TargetMode="External"/><Relationship Id="rId14" Type="http://schemas.openxmlformats.org/officeDocument/2006/relationships/hyperlink" Target="http://www.jusbrasil.com.br/legislacao/174276278/lei-13105-1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F19D-6821-4730-8BA6-8B0E4333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2847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aluno.undb</cp:lastModifiedBy>
  <cp:revision>19</cp:revision>
  <dcterms:created xsi:type="dcterms:W3CDTF">2016-04-29T20:27:00Z</dcterms:created>
  <dcterms:modified xsi:type="dcterms:W3CDTF">2016-05-24T17:40:00Z</dcterms:modified>
</cp:coreProperties>
</file>