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EDC" w:rsidRPr="00A16F39" w:rsidRDefault="00A11EDC" w:rsidP="00A16F39">
      <w:pPr>
        <w:jc w:val="center"/>
        <w:rPr>
          <w:b/>
        </w:rPr>
      </w:pPr>
      <w:r w:rsidRPr="00A16F39">
        <w:rPr>
          <w:b/>
        </w:rPr>
        <w:t>RESUMO HOLANDA + ENCARGOS COM PLANOS E BENEFÍCIOS</w:t>
      </w:r>
    </w:p>
    <w:p w:rsidR="00A11EDC" w:rsidRPr="00A11EDC" w:rsidRDefault="00A11EDC" w:rsidP="00EC1174">
      <w:pPr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64F93" w:rsidRDefault="00864F93" w:rsidP="00441749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C1174">
        <w:rPr>
          <w:rFonts w:ascii="Times New Roman" w:hAnsi="Times New Roman" w:cs="Times New Roman"/>
          <w:sz w:val="24"/>
          <w:szCs w:val="24"/>
        </w:rPr>
        <w:t xml:space="preserve"> contabilidade é essencial para todas as empresas, é através dela que é medida a situação financeira de cada entidade. Porém ela é constantemente influenciada de acordo com o local onde ela é aplicada. Segundo o autor a contabilidade é considerada uma linguagem dos negócios porém “não é homogênea em termos internacionais, pois cada país tem suas características contábeis próprias, significando dizer que o lucro de cada empresa brasileira não seria o mesmo se adotadas práticas contábeis de outros países, dificultando sua compreensão devido à falta de uniformidade”.(</w:t>
      </w:r>
      <w:r w:rsidRPr="00A11E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11EDC">
        <w:rPr>
          <w:rFonts w:ascii="Times New Roman" w:hAnsi="Times New Roman" w:cs="Times New Roman"/>
          <w:sz w:val="24"/>
          <w:szCs w:val="24"/>
        </w:rPr>
        <w:t>iyama, 2010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4F93">
        <w:rPr>
          <w:rFonts w:ascii="Times New Roman" w:hAnsi="Times New Roman" w:cs="Times New Roman"/>
          <w:sz w:val="24"/>
          <w:szCs w:val="24"/>
        </w:rPr>
        <w:t xml:space="preserve"> </w:t>
      </w:r>
      <w:r w:rsidRPr="00EC117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1174">
        <w:rPr>
          <w:rFonts w:ascii="Times New Roman" w:hAnsi="Times New Roman" w:cs="Times New Roman"/>
          <w:sz w:val="24"/>
          <w:szCs w:val="24"/>
        </w:rPr>
        <w:t xml:space="preserve">15) </w:t>
      </w:r>
    </w:p>
    <w:p w:rsidR="00441749" w:rsidRDefault="00441749" w:rsidP="00441749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441749" w:rsidRDefault="00441749" w:rsidP="0044174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C1174">
        <w:rPr>
          <w:rFonts w:ascii="Times New Roman" w:hAnsi="Times New Roman" w:cs="Times New Roman"/>
          <w:sz w:val="24"/>
          <w:szCs w:val="24"/>
        </w:rPr>
        <w:t xml:space="preserve">   A Holanda é um país pequeno, em extensão territorial, e com suas próprias características econômicas, como o forte comércio  marítimo, empresas locais e multinacionais, além de negociações com clientes estrangeiros. Sua contabilidade tem forte influência norte americana e da única europeia. Companhias abertas e fechadas são a classificação das empresas na Holanda, e são divididas entre grande, médio e pequeno porte, “outras formas jurídicas contábeis previstas são as cooperativas, sociedades limitadas, sociedades civis, firmas individuais, entre outros” (</w:t>
      </w:r>
      <w:r w:rsidRPr="00A11E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11EDC">
        <w:rPr>
          <w:rFonts w:ascii="Times New Roman" w:hAnsi="Times New Roman" w:cs="Times New Roman"/>
          <w:sz w:val="24"/>
          <w:szCs w:val="24"/>
        </w:rPr>
        <w:t>iyama, 2010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4F93">
        <w:rPr>
          <w:rFonts w:ascii="Times New Roman" w:hAnsi="Times New Roman" w:cs="Times New Roman"/>
          <w:sz w:val="24"/>
          <w:szCs w:val="24"/>
        </w:rPr>
        <w:t xml:space="preserve"> </w:t>
      </w:r>
      <w:r w:rsidRPr="00EC117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117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EC11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1749" w:rsidRPr="00EC1174" w:rsidRDefault="00441749" w:rsidP="0044174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749" w:rsidRDefault="00441749" w:rsidP="00441749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Alem disso, três variáveis</w:t>
      </w:r>
      <w:r w:rsidRPr="00EC1174">
        <w:rPr>
          <w:rFonts w:ascii="Times New Roman" w:hAnsi="Times New Roman" w:cs="Times New Roman"/>
          <w:sz w:val="24"/>
          <w:szCs w:val="24"/>
        </w:rPr>
        <w:t xml:space="preserve"> referentes às classificações das companhias, devem ser levadas em consideração, são elas: montante de vendas, ativo total e quantidade média de empregados.</w:t>
      </w:r>
      <w:bookmarkStart w:id="0" w:name="_GoBack"/>
      <w:bookmarkEnd w:id="0"/>
    </w:p>
    <w:p w:rsidR="00441749" w:rsidRDefault="00441749" w:rsidP="00441749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DF341F" w:rsidRDefault="004554E7" w:rsidP="00864F93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11EDC">
        <w:rPr>
          <w:rFonts w:ascii="Times New Roman" w:hAnsi="Times New Roman" w:cs="Times New Roman"/>
          <w:sz w:val="24"/>
          <w:szCs w:val="24"/>
        </w:rPr>
        <w:t>A contabilidade é influenciada</w:t>
      </w:r>
      <w:r w:rsidR="009B54EE" w:rsidRPr="00A11EDC">
        <w:rPr>
          <w:rFonts w:ascii="Times New Roman" w:hAnsi="Times New Roman" w:cs="Times New Roman"/>
          <w:sz w:val="24"/>
          <w:szCs w:val="24"/>
        </w:rPr>
        <w:t xml:space="preserve"> pelo</w:t>
      </w:r>
      <w:r w:rsidR="00A42D3B" w:rsidRPr="00A11EDC">
        <w:rPr>
          <w:rFonts w:ascii="Times New Roman" w:hAnsi="Times New Roman" w:cs="Times New Roman"/>
          <w:sz w:val="24"/>
          <w:szCs w:val="24"/>
        </w:rPr>
        <w:t xml:space="preserve"> meio em que</w:t>
      </w:r>
      <w:r w:rsidR="00CE2D6B" w:rsidRPr="00A11EDC">
        <w:rPr>
          <w:rFonts w:ascii="Times New Roman" w:hAnsi="Times New Roman" w:cs="Times New Roman"/>
          <w:sz w:val="24"/>
          <w:szCs w:val="24"/>
        </w:rPr>
        <w:t xml:space="preserve"> </w:t>
      </w:r>
      <w:r w:rsidRPr="00A11EDC">
        <w:rPr>
          <w:rFonts w:ascii="Times New Roman" w:hAnsi="Times New Roman" w:cs="Times New Roman"/>
          <w:sz w:val="24"/>
          <w:szCs w:val="24"/>
        </w:rPr>
        <w:t>es</w:t>
      </w:r>
      <w:r w:rsidR="008B56E6" w:rsidRPr="00A11EDC">
        <w:rPr>
          <w:rFonts w:ascii="Times New Roman" w:hAnsi="Times New Roman" w:cs="Times New Roman"/>
          <w:sz w:val="24"/>
          <w:szCs w:val="24"/>
        </w:rPr>
        <w:t>tá estabelecida</w:t>
      </w:r>
      <w:r w:rsidR="007E7156" w:rsidRPr="00A11EDC">
        <w:rPr>
          <w:rFonts w:ascii="Times New Roman" w:hAnsi="Times New Roman" w:cs="Times New Roman"/>
          <w:sz w:val="24"/>
          <w:szCs w:val="24"/>
        </w:rPr>
        <w:t xml:space="preserve"> </w:t>
      </w:r>
      <w:r w:rsidR="003834B1" w:rsidRPr="00A11EDC">
        <w:rPr>
          <w:rFonts w:ascii="Times New Roman" w:hAnsi="Times New Roman" w:cs="Times New Roman"/>
          <w:sz w:val="24"/>
          <w:szCs w:val="24"/>
        </w:rPr>
        <w:t>variando</w:t>
      </w:r>
      <w:r w:rsidRPr="00A11EDC">
        <w:rPr>
          <w:rFonts w:ascii="Times New Roman" w:hAnsi="Times New Roman" w:cs="Times New Roman"/>
          <w:sz w:val="24"/>
          <w:szCs w:val="24"/>
        </w:rPr>
        <w:t xml:space="preserve"> de acordo com o país</w:t>
      </w:r>
      <w:r w:rsidR="008B56E6" w:rsidRPr="00A11EDC">
        <w:rPr>
          <w:rFonts w:ascii="Times New Roman" w:hAnsi="Times New Roman" w:cs="Times New Roman"/>
          <w:sz w:val="24"/>
          <w:szCs w:val="24"/>
        </w:rPr>
        <w:t>,</w:t>
      </w:r>
      <w:r w:rsidR="00134435" w:rsidRPr="00A11EDC">
        <w:rPr>
          <w:rFonts w:ascii="Times New Roman" w:hAnsi="Times New Roman" w:cs="Times New Roman"/>
          <w:sz w:val="24"/>
          <w:szCs w:val="24"/>
        </w:rPr>
        <w:t xml:space="preserve"> </w:t>
      </w:r>
      <w:r w:rsidR="008B56E6" w:rsidRPr="00A11EDC">
        <w:rPr>
          <w:rFonts w:ascii="Times New Roman" w:hAnsi="Times New Roman" w:cs="Times New Roman"/>
          <w:sz w:val="24"/>
          <w:szCs w:val="24"/>
        </w:rPr>
        <w:t>n</w:t>
      </w:r>
      <w:r w:rsidR="009D2744" w:rsidRPr="00A11EDC">
        <w:rPr>
          <w:rFonts w:ascii="Times New Roman" w:hAnsi="Times New Roman" w:cs="Times New Roman"/>
          <w:sz w:val="24"/>
          <w:szCs w:val="24"/>
        </w:rPr>
        <w:t xml:space="preserve">o intuito </w:t>
      </w:r>
      <w:r w:rsidR="00134435" w:rsidRPr="00A11EDC">
        <w:rPr>
          <w:rFonts w:ascii="Times New Roman" w:hAnsi="Times New Roman" w:cs="Times New Roman"/>
          <w:sz w:val="24"/>
          <w:szCs w:val="24"/>
        </w:rPr>
        <w:t>de que</w:t>
      </w:r>
      <w:r w:rsidR="00CE2D6B" w:rsidRPr="00A11EDC">
        <w:rPr>
          <w:rFonts w:ascii="Times New Roman" w:hAnsi="Times New Roman" w:cs="Times New Roman"/>
          <w:sz w:val="24"/>
          <w:szCs w:val="24"/>
        </w:rPr>
        <w:t xml:space="preserve"> existam </w:t>
      </w:r>
      <w:r w:rsidR="00856913" w:rsidRPr="00A11EDC">
        <w:rPr>
          <w:rFonts w:ascii="Times New Roman" w:hAnsi="Times New Roman" w:cs="Times New Roman"/>
          <w:sz w:val="24"/>
          <w:szCs w:val="24"/>
        </w:rPr>
        <w:t>conformidades</w:t>
      </w:r>
      <w:r w:rsidR="00A90EA0" w:rsidRPr="00A11EDC">
        <w:rPr>
          <w:rFonts w:ascii="Times New Roman" w:hAnsi="Times New Roman" w:cs="Times New Roman"/>
          <w:sz w:val="24"/>
          <w:szCs w:val="24"/>
        </w:rPr>
        <w:t xml:space="preserve"> entre</w:t>
      </w:r>
      <w:r w:rsidR="00FD5211" w:rsidRPr="00A11EDC">
        <w:rPr>
          <w:rFonts w:ascii="Times New Roman" w:hAnsi="Times New Roman" w:cs="Times New Roman"/>
          <w:sz w:val="24"/>
          <w:szCs w:val="24"/>
        </w:rPr>
        <w:t xml:space="preserve"> as informações apresentadas</w:t>
      </w:r>
      <w:r w:rsidR="004E71F0" w:rsidRPr="00A11EDC">
        <w:rPr>
          <w:rFonts w:ascii="Times New Roman" w:hAnsi="Times New Roman" w:cs="Times New Roman"/>
          <w:sz w:val="24"/>
          <w:szCs w:val="24"/>
        </w:rPr>
        <w:t xml:space="preserve"> em diferentes países</w:t>
      </w:r>
      <w:r w:rsidR="00863815" w:rsidRPr="00A11EDC">
        <w:rPr>
          <w:rFonts w:ascii="Times New Roman" w:hAnsi="Times New Roman" w:cs="Times New Roman"/>
          <w:sz w:val="24"/>
          <w:szCs w:val="24"/>
        </w:rPr>
        <w:t xml:space="preserve"> surge</w:t>
      </w:r>
      <w:r w:rsidR="00435BA6" w:rsidRPr="00A11EDC">
        <w:rPr>
          <w:rFonts w:ascii="Times New Roman" w:hAnsi="Times New Roman" w:cs="Times New Roman"/>
          <w:sz w:val="24"/>
          <w:szCs w:val="24"/>
        </w:rPr>
        <w:t xml:space="preserve"> a Contabilidade Internacional. Desta forma, a padronização internacional das</w:t>
      </w:r>
      <w:r w:rsidR="00BD522F" w:rsidRPr="00A11EDC">
        <w:rPr>
          <w:rFonts w:ascii="Times New Roman" w:hAnsi="Times New Roman" w:cs="Times New Roman"/>
          <w:sz w:val="24"/>
          <w:szCs w:val="24"/>
        </w:rPr>
        <w:t xml:space="preserve"> normas contábeis permite o</w:t>
      </w:r>
      <w:r w:rsidR="00435BA6" w:rsidRPr="00A11EDC">
        <w:rPr>
          <w:rFonts w:ascii="Times New Roman" w:hAnsi="Times New Roman" w:cs="Times New Roman"/>
          <w:sz w:val="24"/>
          <w:szCs w:val="24"/>
        </w:rPr>
        <w:t xml:space="preserve"> desenvolvimento econômico,</w:t>
      </w:r>
      <w:r w:rsidR="00255BD0" w:rsidRPr="00A11EDC">
        <w:rPr>
          <w:rFonts w:ascii="Times New Roman" w:hAnsi="Times New Roman" w:cs="Times New Roman"/>
          <w:sz w:val="24"/>
          <w:szCs w:val="24"/>
        </w:rPr>
        <w:t xml:space="preserve"> já que facilita a interpretação de relatórios, criando</w:t>
      </w:r>
      <w:r w:rsidR="006B1D2C" w:rsidRPr="00A11EDC">
        <w:rPr>
          <w:rFonts w:ascii="Times New Roman" w:hAnsi="Times New Roman" w:cs="Times New Roman"/>
          <w:sz w:val="24"/>
          <w:szCs w:val="24"/>
        </w:rPr>
        <w:t xml:space="preserve"> uma conexão</w:t>
      </w:r>
      <w:r w:rsidR="0012711A" w:rsidRPr="00A11EDC">
        <w:rPr>
          <w:rFonts w:ascii="Times New Roman" w:hAnsi="Times New Roman" w:cs="Times New Roman"/>
          <w:sz w:val="24"/>
          <w:szCs w:val="24"/>
        </w:rPr>
        <w:t xml:space="preserve"> direta</w:t>
      </w:r>
      <w:r w:rsidR="006B1D2C" w:rsidRPr="00A11EDC">
        <w:rPr>
          <w:rFonts w:ascii="Times New Roman" w:hAnsi="Times New Roman" w:cs="Times New Roman"/>
          <w:sz w:val="24"/>
          <w:szCs w:val="24"/>
        </w:rPr>
        <w:t xml:space="preserve"> entre </w:t>
      </w:r>
      <w:r w:rsidR="00DB33C9" w:rsidRPr="00A11EDC">
        <w:rPr>
          <w:rFonts w:ascii="Times New Roman" w:hAnsi="Times New Roman" w:cs="Times New Roman"/>
          <w:sz w:val="24"/>
          <w:szCs w:val="24"/>
        </w:rPr>
        <w:t xml:space="preserve">o empreendedor e o investidor </w:t>
      </w:r>
      <w:r w:rsidR="00441749" w:rsidRPr="00A11EDC">
        <w:rPr>
          <w:rFonts w:ascii="Times New Roman" w:hAnsi="Times New Roman" w:cs="Times New Roman"/>
          <w:sz w:val="24"/>
          <w:szCs w:val="24"/>
        </w:rPr>
        <w:t>(Carvalho; Lemes; Costa, 2012).</w:t>
      </w:r>
      <w:r w:rsidR="00441749">
        <w:rPr>
          <w:rFonts w:ascii="Times New Roman" w:hAnsi="Times New Roman" w:cs="Times New Roman"/>
          <w:sz w:val="24"/>
          <w:szCs w:val="24"/>
        </w:rPr>
        <w:t xml:space="preserve"> </w:t>
      </w:r>
      <w:r w:rsidR="007A6E71" w:rsidRPr="00A11EDC">
        <w:rPr>
          <w:rFonts w:ascii="Times New Roman" w:hAnsi="Times New Roman" w:cs="Times New Roman"/>
          <w:sz w:val="24"/>
          <w:szCs w:val="24"/>
        </w:rPr>
        <w:t>Em países pequenos</w:t>
      </w:r>
      <w:r w:rsidR="00DF341F" w:rsidRPr="00A11EDC">
        <w:rPr>
          <w:rFonts w:ascii="Times New Roman" w:hAnsi="Times New Roman" w:cs="Times New Roman"/>
          <w:sz w:val="24"/>
          <w:szCs w:val="24"/>
        </w:rPr>
        <w:t xml:space="preserve"> ainda que independentes</w:t>
      </w:r>
      <w:r w:rsidR="007A6E71" w:rsidRPr="00A11EDC">
        <w:rPr>
          <w:rFonts w:ascii="Times New Roman" w:hAnsi="Times New Roman" w:cs="Times New Roman"/>
          <w:sz w:val="24"/>
          <w:szCs w:val="24"/>
        </w:rPr>
        <w:t>, como a Holanda, negociações com cl</w:t>
      </w:r>
      <w:r w:rsidR="00DF341F" w:rsidRPr="00A11EDC">
        <w:rPr>
          <w:rFonts w:ascii="Times New Roman" w:hAnsi="Times New Roman" w:cs="Times New Roman"/>
          <w:sz w:val="24"/>
          <w:szCs w:val="24"/>
        </w:rPr>
        <w:t>ientes estrangeiros prevalecem, aumentando a necessidade de o profissional contábil ajustar-se aos padrões de outros países, unindo seus interesses e colaborando com a internacionalização</w:t>
      </w:r>
      <w:r w:rsidR="00F131FB" w:rsidRPr="00A11EDC">
        <w:rPr>
          <w:rFonts w:ascii="Times New Roman" w:hAnsi="Times New Roman" w:cs="Times New Roman"/>
          <w:sz w:val="24"/>
          <w:szCs w:val="24"/>
        </w:rPr>
        <w:t xml:space="preserve"> </w:t>
      </w:r>
      <w:r w:rsidR="00864F93" w:rsidRPr="00EC1174">
        <w:rPr>
          <w:rFonts w:ascii="Times New Roman" w:hAnsi="Times New Roman" w:cs="Times New Roman"/>
          <w:sz w:val="24"/>
          <w:szCs w:val="24"/>
        </w:rPr>
        <w:t>(</w:t>
      </w:r>
      <w:r w:rsidR="00864F93" w:rsidRPr="00A11EDC">
        <w:rPr>
          <w:rFonts w:ascii="Times New Roman" w:hAnsi="Times New Roman" w:cs="Times New Roman"/>
          <w:sz w:val="24"/>
          <w:szCs w:val="24"/>
        </w:rPr>
        <w:t xml:space="preserve"> </w:t>
      </w:r>
      <w:r w:rsidR="00864F93">
        <w:rPr>
          <w:rFonts w:ascii="Times New Roman" w:hAnsi="Times New Roman" w:cs="Times New Roman"/>
          <w:sz w:val="24"/>
          <w:szCs w:val="24"/>
        </w:rPr>
        <w:t>N</w:t>
      </w:r>
      <w:r w:rsidR="00864F93" w:rsidRPr="00A11EDC">
        <w:rPr>
          <w:rFonts w:ascii="Times New Roman" w:hAnsi="Times New Roman" w:cs="Times New Roman"/>
          <w:sz w:val="24"/>
          <w:szCs w:val="24"/>
        </w:rPr>
        <w:t>iyama, 2010</w:t>
      </w:r>
      <w:r w:rsidR="00864F93">
        <w:rPr>
          <w:rFonts w:ascii="Times New Roman" w:hAnsi="Times New Roman" w:cs="Times New Roman"/>
          <w:sz w:val="24"/>
          <w:szCs w:val="24"/>
        </w:rPr>
        <w:t>,</w:t>
      </w:r>
      <w:r w:rsidR="00864F93" w:rsidRPr="00864F93">
        <w:rPr>
          <w:rFonts w:ascii="Times New Roman" w:hAnsi="Times New Roman" w:cs="Times New Roman"/>
          <w:sz w:val="24"/>
          <w:szCs w:val="24"/>
        </w:rPr>
        <w:t xml:space="preserve"> </w:t>
      </w:r>
      <w:r w:rsidR="00864F93" w:rsidRPr="00EC1174">
        <w:rPr>
          <w:rFonts w:ascii="Times New Roman" w:hAnsi="Times New Roman" w:cs="Times New Roman"/>
          <w:sz w:val="24"/>
          <w:szCs w:val="24"/>
        </w:rPr>
        <w:t>p</w:t>
      </w:r>
      <w:r w:rsidR="00864F93">
        <w:rPr>
          <w:rFonts w:ascii="Times New Roman" w:hAnsi="Times New Roman" w:cs="Times New Roman"/>
          <w:sz w:val="24"/>
          <w:szCs w:val="24"/>
        </w:rPr>
        <w:t>.</w:t>
      </w:r>
      <w:r w:rsidR="00864F93" w:rsidRPr="00EC1174">
        <w:rPr>
          <w:rFonts w:ascii="Times New Roman" w:hAnsi="Times New Roman" w:cs="Times New Roman"/>
          <w:sz w:val="24"/>
          <w:szCs w:val="24"/>
        </w:rPr>
        <w:t>1</w:t>
      </w:r>
      <w:r w:rsidR="00864F93">
        <w:rPr>
          <w:rFonts w:ascii="Times New Roman" w:hAnsi="Times New Roman" w:cs="Times New Roman"/>
          <w:sz w:val="24"/>
          <w:szCs w:val="24"/>
        </w:rPr>
        <w:t>12</w:t>
      </w:r>
      <w:r w:rsidR="00864F93" w:rsidRPr="00EC1174">
        <w:rPr>
          <w:rFonts w:ascii="Times New Roman" w:hAnsi="Times New Roman" w:cs="Times New Roman"/>
          <w:sz w:val="24"/>
          <w:szCs w:val="24"/>
        </w:rPr>
        <w:t>)</w:t>
      </w:r>
      <w:r w:rsidR="00864F93">
        <w:rPr>
          <w:rFonts w:ascii="Times New Roman" w:hAnsi="Times New Roman" w:cs="Times New Roman"/>
          <w:sz w:val="24"/>
          <w:szCs w:val="24"/>
        </w:rPr>
        <w:t>.</w:t>
      </w:r>
    </w:p>
    <w:p w:rsidR="00441749" w:rsidRPr="00A11EDC" w:rsidRDefault="00441749" w:rsidP="00864F93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4F2AEB" w:rsidRDefault="002838B1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11EDC">
        <w:rPr>
          <w:rFonts w:ascii="Times New Roman" w:hAnsi="Times New Roman" w:cs="Times New Roman"/>
          <w:sz w:val="24"/>
          <w:szCs w:val="24"/>
        </w:rPr>
        <w:t>A regulamentação contábil holandesa teve inicio em 1837</w:t>
      </w:r>
      <w:r w:rsidR="00F3589F" w:rsidRPr="00A11EDC">
        <w:rPr>
          <w:rFonts w:ascii="Times New Roman" w:hAnsi="Times New Roman" w:cs="Times New Roman"/>
          <w:sz w:val="24"/>
          <w:szCs w:val="24"/>
        </w:rPr>
        <w:t>,</w:t>
      </w:r>
      <w:r w:rsidRPr="00A11EDC">
        <w:rPr>
          <w:rFonts w:ascii="Times New Roman" w:hAnsi="Times New Roman" w:cs="Times New Roman"/>
          <w:sz w:val="24"/>
          <w:szCs w:val="24"/>
        </w:rPr>
        <w:t xml:space="preserve"> </w:t>
      </w:r>
      <w:r w:rsidR="00F3589F" w:rsidRPr="00A11EDC">
        <w:rPr>
          <w:rFonts w:ascii="Times New Roman" w:hAnsi="Times New Roman" w:cs="Times New Roman"/>
          <w:sz w:val="24"/>
          <w:szCs w:val="24"/>
        </w:rPr>
        <w:t>a partir de um documento que propunha</w:t>
      </w:r>
      <w:r w:rsidR="003C393E" w:rsidRPr="00A11EDC">
        <w:rPr>
          <w:rFonts w:ascii="Times New Roman" w:hAnsi="Times New Roman" w:cs="Times New Roman"/>
          <w:sz w:val="24"/>
          <w:szCs w:val="24"/>
        </w:rPr>
        <w:t xml:space="preserve"> regras</w:t>
      </w:r>
      <w:r w:rsidRPr="00A11EDC">
        <w:rPr>
          <w:rFonts w:ascii="Times New Roman" w:hAnsi="Times New Roman" w:cs="Times New Roman"/>
          <w:sz w:val="24"/>
          <w:szCs w:val="24"/>
        </w:rPr>
        <w:t xml:space="preserve"> para</w:t>
      </w:r>
      <w:r w:rsidR="00F3589F" w:rsidRPr="00A11EDC">
        <w:rPr>
          <w:rFonts w:ascii="Times New Roman" w:hAnsi="Times New Roman" w:cs="Times New Roman"/>
          <w:sz w:val="24"/>
          <w:szCs w:val="24"/>
        </w:rPr>
        <w:t xml:space="preserve"> a</w:t>
      </w:r>
      <w:r w:rsidRPr="00A11EDC">
        <w:rPr>
          <w:rFonts w:ascii="Times New Roman" w:hAnsi="Times New Roman" w:cs="Times New Roman"/>
          <w:sz w:val="24"/>
          <w:szCs w:val="24"/>
        </w:rPr>
        <w:t xml:space="preserve"> realização da escrituração </w:t>
      </w:r>
      <w:r w:rsidR="00F3589F" w:rsidRPr="00A11EDC">
        <w:rPr>
          <w:rFonts w:ascii="Times New Roman" w:hAnsi="Times New Roman" w:cs="Times New Roman"/>
          <w:sz w:val="24"/>
          <w:szCs w:val="24"/>
        </w:rPr>
        <w:t xml:space="preserve">e elaboração de balanços para empresas comerciais. </w:t>
      </w:r>
      <w:r w:rsidR="003C393E" w:rsidRPr="00A11EDC">
        <w:rPr>
          <w:rFonts w:ascii="Times New Roman" w:hAnsi="Times New Roman" w:cs="Times New Roman"/>
          <w:sz w:val="24"/>
          <w:szCs w:val="24"/>
        </w:rPr>
        <w:t>A próxima atualização veio a ocorrer</w:t>
      </w:r>
      <w:r w:rsidR="000825AD" w:rsidRPr="00A11EDC">
        <w:rPr>
          <w:rFonts w:ascii="Times New Roman" w:hAnsi="Times New Roman" w:cs="Times New Roman"/>
          <w:sz w:val="24"/>
          <w:szCs w:val="24"/>
        </w:rPr>
        <w:t xml:space="preserve"> apenas</w:t>
      </w:r>
      <w:r w:rsidR="003C393E" w:rsidRPr="00A11EDC">
        <w:rPr>
          <w:rFonts w:ascii="Times New Roman" w:hAnsi="Times New Roman" w:cs="Times New Roman"/>
          <w:sz w:val="24"/>
          <w:szCs w:val="24"/>
        </w:rPr>
        <w:t xml:space="preserve"> na década de 70,</w:t>
      </w:r>
      <w:r w:rsidR="004F2AEB" w:rsidRPr="00A11EDC">
        <w:rPr>
          <w:rFonts w:ascii="Times New Roman" w:hAnsi="Times New Roman" w:cs="Times New Roman"/>
          <w:sz w:val="24"/>
          <w:szCs w:val="24"/>
        </w:rPr>
        <w:t xml:space="preserve"> com o Ato Sobre Contas A</w:t>
      </w:r>
      <w:r w:rsidR="003C393E" w:rsidRPr="00A11EDC">
        <w:rPr>
          <w:rFonts w:ascii="Times New Roman" w:hAnsi="Times New Roman" w:cs="Times New Roman"/>
          <w:sz w:val="24"/>
          <w:szCs w:val="24"/>
        </w:rPr>
        <w:t>nuais (Act on Annual Accounts)</w:t>
      </w:r>
      <w:r w:rsidR="000825AD" w:rsidRPr="00A11EDC">
        <w:rPr>
          <w:rFonts w:ascii="Times New Roman" w:hAnsi="Times New Roman" w:cs="Times New Roman"/>
          <w:sz w:val="24"/>
          <w:szCs w:val="24"/>
        </w:rPr>
        <w:t xml:space="preserve">. </w:t>
      </w:r>
      <w:r w:rsidR="008C55A6" w:rsidRPr="00A11EDC">
        <w:rPr>
          <w:rFonts w:ascii="Times New Roman" w:hAnsi="Times New Roman" w:cs="Times New Roman"/>
          <w:sz w:val="24"/>
          <w:szCs w:val="24"/>
        </w:rPr>
        <w:t>Posteriormente, foram agregados ao Código Civil d</w:t>
      </w:r>
      <w:r w:rsidR="004F2AEB" w:rsidRPr="00A11EDC">
        <w:rPr>
          <w:rFonts w:ascii="Times New Roman" w:hAnsi="Times New Roman" w:cs="Times New Roman"/>
          <w:sz w:val="24"/>
          <w:szCs w:val="24"/>
        </w:rPr>
        <w:t xml:space="preserve">o país, dispositivos que abordavam avaliação de ativos e demonstrativos anuais. </w:t>
      </w:r>
      <w:r w:rsidR="001B009C" w:rsidRPr="00A11EDC">
        <w:rPr>
          <w:rFonts w:ascii="Times New Roman" w:hAnsi="Times New Roman" w:cs="Times New Roman"/>
          <w:sz w:val="24"/>
          <w:szCs w:val="24"/>
        </w:rPr>
        <w:t>A contabilidade holandesa não sofre influencia significativa da legislação fiscal como ocorre no Brasil, mas sim da contabilidade societária</w:t>
      </w:r>
      <w:r w:rsidR="00293BC1" w:rsidRPr="00A11EDC">
        <w:rPr>
          <w:rFonts w:ascii="Times New Roman" w:hAnsi="Times New Roman" w:cs="Times New Roman"/>
          <w:sz w:val="24"/>
          <w:szCs w:val="24"/>
        </w:rPr>
        <w:t xml:space="preserve"> e da profissão contábil</w:t>
      </w:r>
      <w:r w:rsidR="00F131FB" w:rsidRPr="00A11EDC">
        <w:rPr>
          <w:rFonts w:ascii="Times New Roman" w:hAnsi="Times New Roman" w:cs="Times New Roman"/>
          <w:sz w:val="24"/>
          <w:szCs w:val="24"/>
        </w:rPr>
        <w:t xml:space="preserve"> </w:t>
      </w:r>
      <w:r w:rsidR="00864F93" w:rsidRPr="00EC1174">
        <w:rPr>
          <w:rFonts w:ascii="Times New Roman" w:hAnsi="Times New Roman" w:cs="Times New Roman"/>
          <w:sz w:val="24"/>
          <w:szCs w:val="24"/>
        </w:rPr>
        <w:t>(</w:t>
      </w:r>
      <w:r w:rsidR="00864F93" w:rsidRPr="00A11EDC">
        <w:rPr>
          <w:rFonts w:ascii="Times New Roman" w:hAnsi="Times New Roman" w:cs="Times New Roman"/>
          <w:sz w:val="24"/>
          <w:szCs w:val="24"/>
        </w:rPr>
        <w:t xml:space="preserve"> </w:t>
      </w:r>
      <w:r w:rsidR="00864F93">
        <w:rPr>
          <w:rFonts w:ascii="Times New Roman" w:hAnsi="Times New Roman" w:cs="Times New Roman"/>
          <w:sz w:val="24"/>
          <w:szCs w:val="24"/>
        </w:rPr>
        <w:t>N</w:t>
      </w:r>
      <w:r w:rsidR="00864F93" w:rsidRPr="00A11EDC">
        <w:rPr>
          <w:rFonts w:ascii="Times New Roman" w:hAnsi="Times New Roman" w:cs="Times New Roman"/>
          <w:sz w:val="24"/>
          <w:szCs w:val="24"/>
        </w:rPr>
        <w:t>iyama, 2010</w:t>
      </w:r>
      <w:r w:rsidR="00864F93">
        <w:rPr>
          <w:rFonts w:ascii="Times New Roman" w:hAnsi="Times New Roman" w:cs="Times New Roman"/>
          <w:sz w:val="24"/>
          <w:szCs w:val="24"/>
        </w:rPr>
        <w:t>,</w:t>
      </w:r>
      <w:r w:rsidR="00864F93" w:rsidRPr="00864F93">
        <w:rPr>
          <w:rFonts w:ascii="Times New Roman" w:hAnsi="Times New Roman" w:cs="Times New Roman"/>
          <w:sz w:val="24"/>
          <w:szCs w:val="24"/>
        </w:rPr>
        <w:t xml:space="preserve"> </w:t>
      </w:r>
      <w:r w:rsidR="00864F93" w:rsidRPr="00EC1174">
        <w:rPr>
          <w:rFonts w:ascii="Times New Roman" w:hAnsi="Times New Roman" w:cs="Times New Roman"/>
          <w:sz w:val="24"/>
          <w:szCs w:val="24"/>
        </w:rPr>
        <w:t>p</w:t>
      </w:r>
      <w:r w:rsidR="00864F93">
        <w:rPr>
          <w:rFonts w:ascii="Times New Roman" w:hAnsi="Times New Roman" w:cs="Times New Roman"/>
          <w:sz w:val="24"/>
          <w:szCs w:val="24"/>
        </w:rPr>
        <w:t>.</w:t>
      </w:r>
      <w:r w:rsidR="00864F93" w:rsidRPr="00EC1174">
        <w:rPr>
          <w:rFonts w:ascii="Times New Roman" w:hAnsi="Times New Roman" w:cs="Times New Roman"/>
          <w:sz w:val="24"/>
          <w:szCs w:val="24"/>
        </w:rPr>
        <w:t>1</w:t>
      </w:r>
      <w:r w:rsidR="00864F93">
        <w:rPr>
          <w:rFonts w:ascii="Times New Roman" w:hAnsi="Times New Roman" w:cs="Times New Roman"/>
          <w:sz w:val="24"/>
          <w:szCs w:val="24"/>
        </w:rPr>
        <w:t>12</w:t>
      </w:r>
      <w:r w:rsidR="00864F93" w:rsidRPr="00EC1174">
        <w:rPr>
          <w:rFonts w:ascii="Times New Roman" w:hAnsi="Times New Roman" w:cs="Times New Roman"/>
          <w:sz w:val="24"/>
          <w:szCs w:val="24"/>
        </w:rPr>
        <w:t>)</w:t>
      </w:r>
      <w:r w:rsidR="00864F93">
        <w:rPr>
          <w:rFonts w:ascii="Times New Roman" w:hAnsi="Times New Roman" w:cs="Times New Roman"/>
          <w:sz w:val="24"/>
          <w:szCs w:val="24"/>
        </w:rPr>
        <w:t>.</w:t>
      </w:r>
    </w:p>
    <w:p w:rsidR="00441749" w:rsidRPr="00A11EDC" w:rsidRDefault="00441749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C464BF" w:rsidRDefault="00C464BF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11EDC">
        <w:rPr>
          <w:rFonts w:ascii="Times New Roman" w:hAnsi="Times New Roman" w:cs="Times New Roman"/>
          <w:sz w:val="24"/>
          <w:szCs w:val="24"/>
        </w:rPr>
        <w:t xml:space="preserve">Os relatórios financeiros se estabelecem de acordo com o porte da empresa, que na Holanda se classificam em pequenas, médias ou grandes. Para compor a classificação são levados em considerações o montante de vendas, ativo total e a quantidade média de empregados. </w:t>
      </w:r>
      <w:r w:rsidR="00293BC1" w:rsidRPr="00A11EDC">
        <w:rPr>
          <w:rFonts w:ascii="Times New Roman" w:hAnsi="Times New Roman" w:cs="Times New Roman"/>
          <w:sz w:val="24"/>
          <w:szCs w:val="24"/>
        </w:rPr>
        <w:t xml:space="preserve">As grandes empresas </w:t>
      </w:r>
      <w:r w:rsidR="004D31BF" w:rsidRPr="00A11EDC">
        <w:rPr>
          <w:rFonts w:ascii="Times New Roman" w:hAnsi="Times New Roman" w:cs="Times New Roman"/>
          <w:sz w:val="24"/>
          <w:szCs w:val="24"/>
        </w:rPr>
        <w:t>devem ser compostas de diretoria executiva, conselho de supervisão e conselho de trabalhadores, que são encarregados por levar a direção questões pertine</w:t>
      </w:r>
      <w:r w:rsidR="00864F93">
        <w:rPr>
          <w:rFonts w:ascii="Times New Roman" w:hAnsi="Times New Roman" w:cs="Times New Roman"/>
          <w:sz w:val="24"/>
          <w:szCs w:val="24"/>
        </w:rPr>
        <w:t xml:space="preserve">ntes ao quadro de funcionários </w:t>
      </w:r>
      <w:r w:rsidR="00864F93" w:rsidRPr="00EC1174">
        <w:rPr>
          <w:rFonts w:ascii="Times New Roman" w:hAnsi="Times New Roman" w:cs="Times New Roman"/>
          <w:sz w:val="24"/>
          <w:szCs w:val="24"/>
        </w:rPr>
        <w:t>(</w:t>
      </w:r>
      <w:r w:rsidR="00864F93" w:rsidRPr="00A11EDC">
        <w:rPr>
          <w:rFonts w:ascii="Times New Roman" w:hAnsi="Times New Roman" w:cs="Times New Roman"/>
          <w:sz w:val="24"/>
          <w:szCs w:val="24"/>
        </w:rPr>
        <w:t xml:space="preserve"> </w:t>
      </w:r>
      <w:r w:rsidR="00864F93">
        <w:rPr>
          <w:rFonts w:ascii="Times New Roman" w:hAnsi="Times New Roman" w:cs="Times New Roman"/>
          <w:sz w:val="24"/>
          <w:szCs w:val="24"/>
        </w:rPr>
        <w:t>N</w:t>
      </w:r>
      <w:r w:rsidR="00864F93" w:rsidRPr="00A11EDC">
        <w:rPr>
          <w:rFonts w:ascii="Times New Roman" w:hAnsi="Times New Roman" w:cs="Times New Roman"/>
          <w:sz w:val="24"/>
          <w:szCs w:val="24"/>
        </w:rPr>
        <w:t>iyama, 2010</w:t>
      </w:r>
      <w:r w:rsidR="00864F93">
        <w:rPr>
          <w:rFonts w:ascii="Times New Roman" w:hAnsi="Times New Roman" w:cs="Times New Roman"/>
          <w:sz w:val="24"/>
          <w:szCs w:val="24"/>
        </w:rPr>
        <w:t>,</w:t>
      </w:r>
      <w:r w:rsidR="00864F93" w:rsidRPr="00864F93">
        <w:rPr>
          <w:rFonts w:ascii="Times New Roman" w:hAnsi="Times New Roman" w:cs="Times New Roman"/>
          <w:sz w:val="24"/>
          <w:szCs w:val="24"/>
        </w:rPr>
        <w:t xml:space="preserve"> </w:t>
      </w:r>
      <w:r w:rsidR="00864F93" w:rsidRPr="00EC1174">
        <w:rPr>
          <w:rFonts w:ascii="Times New Roman" w:hAnsi="Times New Roman" w:cs="Times New Roman"/>
          <w:sz w:val="24"/>
          <w:szCs w:val="24"/>
        </w:rPr>
        <w:t>p</w:t>
      </w:r>
      <w:r w:rsidR="00864F93">
        <w:rPr>
          <w:rFonts w:ascii="Times New Roman" w:hAnsi="Times New Roman" w:cs="Times New Roman"/>
          <w:sz w:val="24"/>
          <w:szCs w:val="24"/>
        </w:rPr>
        <w:t>.</w:t>
      </w:r>
      <w:r w:rsidR="00864F93" w:rsidRPr="00EC1174">
        <w:rPr>
          <w:rFonts w:ascii="Times New Roman" w:hAnsi="Times New Roman" w:cs="Times New Roman"/>
          <w:sz w:val="24"/>
          <w:szCs w:val="24"/>
        </w:rPr>
        <w:t>1</w:t>
      </w:r>
      <w:r w:rsidR="00864F93">
        <w:rPr>
          <w:rFonts w:ascii="Times New Roman" w:hAnsi="Times New Roman" w:cs="Times New Roman"/>
          <w:sz w:val="24"/>
          <w:szCs w:val="24"/>
        </w:rPr>
        <w:t>13</w:t>
      </w:r>
      <w:r w:rsidR="00864F93" w:rsidRPr="00EC1174">
        <w:rPr>
          <w:rFonts w:ascii="Times New Roman" w:hAnsi="Times New Roman" w:cs="Times New Roman"/>
          <w:sz w:val="24"/>
          <w:szCs w:val="24"/>
        </w:rPr>
        <w:t>)</w:t>
      </w:r>
      <w:r w:rsidR="00864F93">
        <w:rPr>
          <w:rFonts w:ascii="Times New Roman" w:hAnsi="Times New Roman" w:cs="Times New Roman"/>
          <w:sz w:val="24"/>
          <w:szCs w:val="24"/>
        </w:rPr>
        <w:t>.</w:t>
      </w:r>
    </w:p>
    <w:p w:rsidR="00441749" w:rsidRPr="00A11EDC" w:rsidRDefault="00441749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4D31BF" w:rsidRDefault="00D13FB0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11EDC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4D31BF" w:rsidRPr="00A11EDC">
        <w:rPr>
          <w:rFonts w:ascii="Times New Roman" w:hAnsi="Times New Roman" w:cs="Times New Roman"/>
          <w:sz w:val="24"/>
          <w:szCs w:val="24"/>
        </w:rPr>
        <w:t xml:space="preserve"> sistema holandês ainda conta com dois órgãos envolvendo matéria contábil, a </w:t>
      </w:r>
      <w:r w:rsidR="00253B8D" w:rsidRPr="00A11EDC">
        <w:rPr>
          <w:rFonts w:ascii="Times New Roman" w:hAnsi="Times New Roman" w:cs="Times New Roman"/>
          <w:sz w:val="24"/>
          <w:szCs w:val="24"/>
        </w:rPr>
        <w:t>Câmara de E</w:t>
      </w:r>
      <w:r w:rsidR="004D31BF" w:rsidRPr="00A11EDC">
        <w:rPr>
          <w:rFonts w:ascii="Times New Roman" w:hAnsi="Times New Roman" w:cs="Times New Roman"/>
          <w:sz w:val="24"/>
          <w:szCs w:val="24"/>
        </w:rPr>
        <w:t>mpresas v</w:t>
      </w:r>
      <w:r w:rsidR="00253B8D" w:rsidRPr="00A11EDC">
        <w:rPr>
          <w:rFonts w:ascii="Times New Roman" w:hAnsi="Times New Roman" w:cs="Times New Roman"/>
          <w:sz w:val="24"/>
          <w:szCs w:val="24"/>
        </w:rPr>
        <w:t>inculada ao tribunal de justiça e o Conselho para Relatór</w:t>
      </w:r>
      <w:r w:rsidR="00F131FB" w:rsidRPr="00A11EDC">
        <w:rPr>
          <w:rFonts w:ascii="Times New Roman" w:hAnsi="Times New Roman" w:cs="Times New Roman"/>
          <w:sz w:val="24"/>
          <w:szCs w:val="24"/>
        </w:rPr>
        <w:t>ios Anuais</w:t>
      </w:r>
      <w:r w:rsidRPr="00A11EDC">
        <w:rPr>
          <w:rFonts w:ascii="Times New Roman" w:hAnsi="Times New Roman" w:cs="Times New Roman"/>
          <w:sz w:val="24"/>
          <w:szCs w:val="24"/>
        </w:rPr>
        <w:t xml:space="preserve"> </w:t>
      </w:r>
      <w:r w:rsidR="00864F93" w:rsidRPr="00EC1174">
        <w:rPr>
          <w:rFonts w:ascii="Times New Roman" w:hAnsi="Times New Roman" w:cs="Times New Roman"/>
          <w:sz w:val="24"/>
          <w:szCs w:val="24"/>
        </w:rPr>
        <w:t>(</w:t>
      </w:r>
      <w:r w:rsidR="00864F93" w:rsidRPr="00A11EDC">
        <w:rPr>
          <w:rFonts w:ascii="Times New Roman" w:hAnsi="Times New Roman" w:cs="Times New Roman"/>
          <w:sz w:val="24"/>
          <w:szCs w:val="24"/>
        </w:rPr>
        <w:t xml:space="preserve"> </w:t>
      </w:r>
      <w:r w:rsidR="00864F93">
        <w:rPr>
          <w:rFonts w:ascii="Times New Roman" w:hAnsi="Times New Roman" w:cs="Times New Roman"/>
          <w:sz w:val="24"/>
          <w:szCs w:val="24"/>
        </w:rPr>
        <w:t>N</w:t>
      </w:r>
      <w:r w:rsidR="00864F93" w:rsidRPr="00A11EDC">
        <w:rPr>
          <w:rFonts w:ascii="Times New Roman" w:hAnsi="Times New Roman" w:cs="Times New Roman"/>
          <w:sz w:val="24"/>
          <w:szCs w:val="24"/>
        </w:rPr>
        <w:t>iyama, 2010</w:t>
      </w:r>
      <w:r w:rsidR="00864F93">
        <w:rPr>
          <w:rFonts w:ascii="Times New Roman" w:hAnsi="Times New Roman" w:cs="Times New Roman"/>
          <w:sz w:val="24"/>
          <w:szCs w:val="24"/>
        </w:rPr>
        <w:t>,</w:t>
      </w:r>
      <w:r w:rsidR="00864F93" w:rsidRPr="00864F93">
        <w:rPr>
          <w:rFonts w:ascii="Times New Roman" w:hAnsi="Times New Roman" w:cs="Times New Roman"/>
          <w:sz w:val="24"/>
          <w:szCs w:val="24"/>
        </w:rPr>
        <w:t xml:space="preserve"> </w:t>
      </w:r>
      <w:r w:rsidR="00864F93" w:rsidRPr="00EC1174">
        <w:rPr>
          <w:rFonts w:ascii="Times New Roman" w:hAnsi="Times New Roman" w:cs="Times New Roman"/>
          <w:sz w:val="24"/>
          <w:szCs w:val="24"/>
        </w:rPr>
        <w:t>p</w:t>
      </w:r>
      <w:r w:rsidR="00864F93">
        <w:rPr>
          <w:rFonts w:ascii="Times New Roman" w:hAnsi="Times New Roman" w:cs="Times New Roman"/>
          <w:sz w:val="24"/>
          <w:szCs w:val="24"/>
        </w:rPr>
        <w:t>.</w:t>
      </w:r>
      <w:r w:rsidR="00864F93" w:rsidRPr="00EC1174">
        <w:rPr>
          <w:rFonts w:ascii="Times New Roman" w:hAnsi="Times New Roman" w:cs="Times New Roman"/>
          <w:sz w:val="24"/>
          <w:szCs w:val="24"/>
        </w:rPr>
        <w:t>1</w:t>
      </w:r>
      <w:r w:rsidR="00864F93">
        <w:rPr>
          <w:rFonts w:ascii="Times New Roman" w:hAnsi="Times New Roman" w:cs="Times New Roman"/>
          <w:sz w:val="24"/>
          <w:szCs w:val="24"/>
        </w:rPr>
        <w:t>13</w:t>
      </w:r>
      <w:r w:rsidR="00864F93" w:rsidRPr="00EC1174">
        <w:rPr>
          <w:rFonts w:ascii="Times New Roman" w:hAnsi="Times New Roman" w:cs="Times New Roman"/>
          <w:sz w:val="24"/>
          <w:szCs w:val="24"/>
        </w:rPr>
        <w:t>)</w:t>
      </w:r>
      <w:r w:rsidR="00864F93">
        <w:rPr>
          <w:rFonts w:ascii="Times New Roman" w:hAnsi="Times New Roman" w:cs="Times New Roman"/>
          <w:sz w:val="24"/>
          <w:szCs w:val="24"/>
        </w:rPr>
        <w:t>.</w:t>
      </w:r>
    </w:p>
    <w:p w:rsidR="009B2DAC" w:rsidRDefault="009B2DAC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EC1174" w:rsidRPr="00EC1174" w:rsidRDefault="00EC1174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C1174">
        <w:rPr>
          <w:rFonts w:ascii="Times New Roman" w:hAnsi="Times New Roman" w:cs="Times New Roman"/>
          <w:sz w:val="24"/>
          <w:szCs w:val="24"/>
        </w:rPr>
        <w:t>Princípios contábeis na Holanda</w:t>
      </w:r>
    </w:p>
    <w:p w:rsidR="00EC1174" w:rsidRPr="00EC1174" w:rsidRDefault="00EC1174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EC1174" w:rsidRPr="00EC1174" w:rsidRDefault="00EC1174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C1174">
        <w:rPr>
          <w:rFonts w:ascii="Times New Roman" w:hAnsi="Times New Roman" w:cs="Times New Roman"/>
          <w:sz w:val="24"/>
          <w:szCs w:val="24"/>
        </w:rPr>
        <w:t>Em conformidade com o Código Civil holandês, tanto demonstrações individuais como demonstrações consolidadas, devem ser seguidos pelas empresas os seguintes princípios para o seu cumprimento:</w:t>
      </w:r>
    </w:p>
    <w:p w:rsidR="00EC1174" w:rsidRPr="00EC1174" w:rsidRDefault="00EC1174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EC1174" w:rsidRPr="00EC1174" w:rsidRDefault="00EC1174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C1174">
        <w:rPr>
          <w:rFonts w:ascii="Times New Roman" w:hAnsi="Times New Roman" w:cs="Times New Roman"/>
          <w:sz w:val="24"/>
          <w:szCs w:val="24"/>
        </w:rPr>
        <w:t>A. Avaliação Individual (similar à entidade)</w:t>
      </w:r>
    </w:p>
    <w:p w:rsidR="00EC1174" w:rsidRPr="00EC1174" w:rsidRDefault="00EC1174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EC1174" w:rsidRPr="00EC1174" w:rsidRDefault="00EC1174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C1174">
        <w:rPr>
          <w:rFonts w:ascii="Times New Roman" w:hAnsi="Times New Roman" w:cs="Times New Roman"/>
          <w:sz w:val="24"/>
          <w:szCs w:val="24"/>
        </w:rPr>
        <w:t>B. Realização</w:t>
      </w:r>
    </w:p>
    <w:p w:rsidR="00EC1174" w:rsidRPr="00EC1174" w:rsidRDefault="00EC1174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EC1174" w:rsidRPr="00EC1174" w:rsidRDefault="00EC1174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C1174">
        <w:rPr>
          <w:rFonts w:ascii="Times New Roman" w:hAnsi="Times New Roman" w:cs="Times New Roman"/>
          <w:sz w:val="24"/>
          <w:szCs w:val="24"/>
        </w:rPr>
        <w:t>C. Prudência</w:t>
      </w:r>
    </w:p>
    <w:p w:rsidR="00EC1174" w:rsidRPr="00EC1174" w:rsidRDefault="00EC1174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EC1174" w:rsidRPr="00EC1174" w:rsidRDefault="00EC1174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C1174">
        <w:rPr>
          <w:rFonts w:ascii="Times New Roman" w:hAnsi="Times New Roman" w:cs="Times New Roman"/>
          <w:sz w:val="24"/>
          <w:szCs w:val="24"/>
        </w:rPr>
        <w:t>D. Competência</w:t>
      </w:r>
    </w:p>
    <w:p w:rsidR="00EC1174" w:rsidRPr="00EC1174" w:rsidRDefault="00EC1174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EC1174" w:rsidRPr="00EC1174" w:rsidRDefault="00EC1174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C1174">
        <w:rPr>
          <w:rFonts w:ascii="Times New Roman" w:hAnsi="Times New Roman" w:cs="Times New Roman"/>
          <w:sz w:val="24"/>
          <w:szCs w:val="24"/>
        </w:rPr>
        <w:t>Contudo, a predominância da essência sobre a forma não é reconhecida como princípio contábil, ainda que a Holanda siga a linha de capitalizar o bem arrendado como ativo na arrendatária, seguindo tendência internacional.</w:t>
      </w:r>
    </w:p>
    <w:p w:rsidR="00EC1174" w:rsidRPr="00EC1174" w:rsidRDefault="00EC1174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EC1174" w:rsidRDefault="00EC1174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C1174">
        <w:rPr>
          <w:rFonts w:ascii="Times New Roman" w:hAnsi="Times New Roman" w:cs="Times New Roman"/>
          <w:sz w:val="24"/>
          <w:szCs w:val="24"/>
        </w:rPr>
        <w:t>No que se refere a adoção da conceituação de true and fair value, que significa “quadro fiel” da situação da empresa. As empresas devem refletir em suas demonstrações financeiras fiel, clara e consistentemente a sua posição financeira.</w:t>
      </w:r>
    </w:p>
    <w:p w:rsidR="00EC1174" w:rsidRDefault="00EC1174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11EDC" w:rsidRPr="00A11EDC" w:rsidRDefault="00A11EDC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11EDC">
        <w:rPr>
          <w:rFonts w:ascii="Times New Roman" w:hAnsi="Times New Roman" w:cs="Times New Roman"/>
          <w:sz w:val="24"/>
          <w:szCs w:val="24"/>
        </w:rPr>
        <w:t>Demonstrações financeiras</w:t>
      </w:r>
    </w:p>
    <w:p w:rsidR="00A11EDC" w:rsidRPr="00A11EDC" w:rsidRDefault="00A11EDC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11EDC" w:rsidRPr="00A11EDC" w:rsidRDefault="00117B50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Lembrando  que h</w:t>
      </w:r>
      <w:r w:rsidR="00A11EDC" w:rsidRPr="00A11EDC">
        <w:rPr>
          <w:rFonts w:ascii="Times New Roman" w:hAnsi="Times New Roman" w:cs="Times New Roman"/>
          <w:sz w:val="24"/>
          <w:szCs w:val="24"/>
        </w:rPr>
        <w:t>á uma forte influência externa na contabilidade da Holanda ( Estados Unidos e União Europeia), pois é um pais relativamente pequeno onde os padrões contábeis não possuem características muito significativas, ou seja , sem padrões contábeis. Também conhecida como flexível ou liberal por ter um enfoque menos conservador na fixação dos padrões.</w:t>
      </w:r>
    </w:p>
    <w:p w:rsidR="00A11EDC" w:rsidRPr="00A11EDC" w:rsidRDefault="00A11EDC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11EDC" w:rsidRPr="00A11EDC" w:rsidRDefault="00A11EDC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11EDC">
        <w:rPr>
          <w:rFonts w:ascii="Times New Roman" w:hAnsi="Times New Roman" w:cs="Times New Roman"/>
          <w:sz w:val="24"/>
          <w:szCs w:val="24"/>
        </w:rPr>
        <w:t>Os recursos são captados por via de mercado de capitais, como o de crédito bancário, revelando que não é muito significativo a influência das bolsas e investidores.</w:t>
      </w:r>
    </w:p>
    <w:p w:rsidR="00A11EDC" w:rsidRPr="00A11EDC" w:rsidRDefault="00A11EDC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11EDC" w:rsidRPr="00A11EDC" w:rsidRDefault="00A11EDC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11EDC">
        <w:rPr>
          <w:rFonts w:ascii="Times New Roman" w:hAnsi="Times New Roman" w:cs="Times New Roman"/>
          <w:sz w:val="24"/>
          <w:szCs w:val="24"/>
        </w:rPr>
        <w:t>Os relatórios anuais compreendem Balanço Patrimonial, Demonstrações do Resultado do Exercício, Relatórios da Diretoria e Notas Explicativas. E o código civil exige a divulgação específica das seguintes informações:</w:t>
      </w:r>
    </w:p>
    <w:p w:rsidR="00A11EDC" w:rsidRPr="00A11EDC" w:rsidRDefault="00A11EDC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11EDC" w:rsidRPr="00A11EDC" w:rsidRDefault="00A11EDC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11EDC">
        <w:rPr>
          <w:rFonts w:ascii="Times New Roman" w:hAnsi="Times New Roman" w:cs="Times New Roman"/>
          <w:sz w:val="24"/>
          <w:szCs w:val="24"/>
        </w:rPr>
        <w:t>a) Mutação do patrimônio líquido;</w:t>
      </w:r>
    </w:p>
    <w:p w:rsidR="00A11EDC" w:rsidRPr="00A11EDC" w:rsidRDefault="00A11EDC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11EDC" w:rsidRPr="00A11EDC" w:rsidRDefault="00A11EDC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11EDC">
        <w:rPr>
          <w:rFonts w:ascii="Times New Roman" w:hAnsi="Times New Roman" w:cs="Times New Roman"/>
          <w:sz w:val="24"/>
          <w:szCs w:val="24"/>
        </w:rPr>
        <w:t>b) Participação em outras empresas;</w:t>
      </w:r>
    </w:p>
    <w:p w:rsidR="00A11EDC" w:rsidRPr="00A11EDC" w:rsidRDefault="00A11EDC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11EDC" w:rsidRPr="00A11EDC" w:rsidRDefault="00A11EDC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11EDC">
        <w:rPr>
          <w:rFonts w:ascii="Times New Roman" w:hAnsi="Times New Roman" w:cs="Times New Roman"/>
          <w:sz w:val="24"/>
          <w:szCs w:val="24"/>
        </w:rPr>
        <w:t>c) Análise das vendas líquidas por classe de atividades e área geográfica;</w:t>
      </w:r>
    </w:p>
    <w:p w:rsidR="00A11EDC" w:rsidRPr="00A11EDC" w:rsidRDefault="00A11EDC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11EDC" w:rsidRPr="00A11EDC" w:rsidRDefault="00A11EDC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11EDC">
        <w:rPr>
          <w:rFonts w:ascii="Times New Roman" w:hAnsi="Times New Roman" w:cs="Times New Roman"/>
          <w:sz w:val="24"/>
          <w:szCs w:val="24"/>
        </w:rPr>
        <w:t>d) Relevantes compromissos financeiros de longo prazo;</w:t>
      </w:r>
    </w:p>
    <w:p w:rsidR="00A11EDC" w:rsidRPr="00A11EDC" w:rsidRDefault="00A11EDC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11EDC" w:rsidRPr="00A11EDC" w:rsidRDefault="00A11EDC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11EDC">
        <w:rPr>
          <w:rFonts w:ascii="Times New Roman" w:hAnsi="Times New Roman" w:cs="Times New Roman"/>
          <w:sz w:val="24"/>
          <w:szCs w:val="24"/>
        </w:rPr>
        <w:t>e) Informação sobre funcionários; e</w:t>
      </w:r>
    </w:p>
    <w:p w:rsidR="00A11EDC" w:rsidRPr="00A11EDC" w:rsidRDefault="00A11EDC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11EDC" w:rsidRPr="00A11EDC" w:rsidRDefault="00A11EDC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11EDC">
        <w:rPr>
          <w:rFonts w:ascii="Times New Roman" w:hAnsi="Times New Roman" w:cs="Times New Roman"/>
          <w:sz w:val="24"/>
          <w:szCs w:val="24"/>
        </w:rPr>
        <w:t>f) Remuneração e empréstimos ou adiantamentos para membros da diretoria e Conselho de Supervisão.</w:t>
      </w:r>
    </w:p>
    <w:p w:rsidR="00A11EDC" w:rsidRPr="00A11EDC" w:rsidRDefault="00A11EDC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11EDC" w:rsidRPr="00A11EDC" w:rsidRDefault="00A11EDC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11EDC">
        <w:rPr>
          <w:rFonts w:ascii="Times New Roman" w:hAnsi="Times New Roman" w:cs="Times New Roman"/>
          <w:sz w:val="24"/>
          <w:szCs w:val="24"/>
        </w:rPr>
        <w:t>As companhias abertas publicam o Fluxo de Caixa ou Fluxo de Fundos consolidado, embora não seja legalmente requerido, pois é recomendado pelo conselho de relatórios anuais.</w:t>
      </w:r>
    </w:p>
    <w:p w:rsidR="00A11EDC" w:rsidRPr="00A11EDC" w:rsidRDefault="00A11EDC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11EDC" w:rsidRPr="00A11EDC" w:rsidRDefault="00A11EDC" w:rsidP="00EC117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11EDC">
        <w:rPr>
          <w:rFonts w:ascii="Times New Roman" w:hAnsi="Times New Roman" w:cs="Times New Roman"/>
          <w:sz w:val="24"/>
          <w:szCs w:val="24"/>
        </w:rPr>
        <w:t>O instrumentos financeiros e goodwill, a Holanda está bem próxima ou aderente aos padrões contábeis editados pelo IASB (International Accounting Standards Board , ou seja, Conselho de Normas Internacionais de Contabilidade). Há participação de empregados num conselho dessa natureza, onde revela a importância dos trabalhadores na vida econômica dos holandeses.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id w:val="10080871"/>
        <w:docPartObj>
          <w:docPartGallery w:val="Bibliographies"/>
          <w:docPartUnique/>
        </w:docPartObj>
      </w:sdtPr>
      <w:sdtEndPr>
        <w:rPr>
          <w:rFonts w:eastAsiaTheme="minorEastAsia"/>
        </w:rPr>
      </w:sdtEndPr>
      <w:sdtContent>
        <w:p w:rsidR="00A96822" w:rsidRDefault="00A96822" w:rsidP="00A11EDC">
          <w:pPr>
            <w:pStyle w:val="Heading1"/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A11EDC">
            <w:rPr>
              <w:rFonts w:ascii="Times New Roman" w:hAnsi="Times New Roman" w:cs="Times New Roman"/>
              <w:sz w:val="24"/>
              <w:szCs w:val="24"/>
            </w:rPr>
            <w:t>Bibliografia</w:t>
          </w:r>
        </w:p>
        <w:p w:rsidR="009B2DAC" w:rsidRPr="009B2DAC" w:rsidRDefault="009B2DAC" w:rsidP="009B2DAC"/>
        <w:p w:rsidR="00A96822" w:rsidRPr="00A11EDC" w:rsidRDefault="00A96822" w:rsidP="00A11EDC">
          <w:pPr>
            <w:pStyle w:val="Bibliography"/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A11ED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11EDC">
            <w:rPr>
              <w:rFonts w:ascii="Times New Roman" w:hAnsi="Times New Roman" w:cs="Times New Roman"/>
              <w:sz w:val="24"/>
              <w:szCs w:val="24"/>
            </w:rPr>
            <w:instrText xml:space="preserve"> BIBLIOGRAPHY </w:instrText>
          </w:r>
          <w:r w:rsidRPr="00A11ED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A11EDC">
            <w:rPr>
              <w:rFonts w:ascii="Times New Roman" w:hAnsi="Times New Roman" w:cs="Times New Roman"/>
              <w:noProof/>
              <w:sz w:val="24"/>
              <w:szCs w:val="24"/>
            </w:rPr>
            <w:t xml:space="preserve">CARVALHO, LEMES, &amp; COSTA. (2012). </w:t>
          </w:r>
          <w:r w:rsidRPr="00A11EDC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Contabilidade Internacional: Aplicação das IFRS 2005.</w:t>
          </w:r>
          <w:r w:rsidRPr="00A11ED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São Paulo: Atlas.</w:t>
          </w:r>
        </w:p>
        <w:p w:rsidR="00A96822" w:rsidRPr="00A11EDC" w:rsidRDefault="00A96822" w:rsidP="00A11EDC">
          <w:pPr>
            <w:pStyle w:val="Bibliography"/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A11EDC">
            <w:rPr>
              <w:rFonts w:ascii="Times New Roman" w:hAnsi="Times New Roman" w:cs="Times New Roman"/>
              <w:noProof/>
              <w:sz w:val="24"/>
              <w:szCs w:val="24"/>
            </w:rPr>
            <w:t xml:space="preserve">NIYAMA, J. K. (2010). </w:t>
          </w:r>
          <w:r w:rsidRPr="00A11EDC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Contabilidade Internacional - 2. ed.</w:t>
          </w:r>
          <w:r w:rsidRPr="00A11ED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São Paulo: Atlas.</w:t>
          </w:r>
        </w:p>
        <w:p w:rsidR="002838B1" w:rsidRPr="00A11EDC" w:rsidRDefault="00A96822" w:rsidP="00A11EDC">
          <w:pPr>
            <w:spacing w:line="240" w:lineRule="auto"/>
            <w:ind w:firstLine="720"/>
            <w:contextualSpacing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11ED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sectPr w:rsidR="002838B1" w:rsidRPr="00A11EDC" w:rsidSect="000E703E"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A30" w:rsidRDefault="008A5A30" w:rsidP="000E703E">
      <w:pPr>
        <w:spacing w:after="0" w:line="240" w:lineRule="auto"/>
      </w:pPr>
      <w:r>
        <w:separator/>
      </w:r>
    </w:p>
  </w:endnote>
  <w:endnote w:type="continuationSeparator" w:id="0">
    <w:p w:rsidR="008A5A30" w:rsidRDefault="008A5A30" w:rsidP="000E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5765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2DAC" w:rsidRDefault="009B2D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6F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B2DAC" w:rsidRDefault="009B2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A30" w:rsidRDefault="008A5A30" w:rsidP="000E703E">
      <w:pPr>
        <w:spacing w:after="0" w:line="240" w:lineRule="auto"/>
      </w:pPr>
      <w:r>
        <w:separator/>
      </w:r>
    </w:p>
  </w:footnote>
  <w:footnote w:type="continuationSeparator" w:id="0">
    <w:p w:rsidR="008A5A30" w:rsidRDefault="008A5A30" w:rsidP="000E7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95804"/>
    <w:multiLevelType w:val="hybridMultilevel"/>
    <w:tmpl w:val="AEA47BB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9B"/>
    <w:rsid w:val="00080495"/>
    <w:rsid w:val="000825AD"/>
    <w:rsid w:val="000E703E"/>
    <w:rsid w:val="00117B50"/>
    <w:rsid w:val="0012711A"/>
    <w:rsid w:val="00134435"/>
    <w:rsid w:val="00175932"/>
    <w:rsid w:val="001B009C"/>
    <w:rsid w:val="00206B6E"/>
    <w:rsid w:val="00253B8D"/>
    <w:rsid w:val="00255BD0"/>
    <w:rsid w:val="00267AF7"/>
    <w:rsid w:val="002838B1"/>
    <w:rsid w:val="00293BC1"/>
    <w:rsid w:val="002A1271"/>
    <w:rsid w:val="00305CF2"/>
    <w:rsid w:val="0031523C"/>
    <w:rsid w:val="003834B1"/>
    <w:rsid w:val="003C393E"/>
    <w:rsid w:val="003C400C"/>
    <w:rsid w:val="003D48AA"/>
    <w:rsid w:val="0041790C"/>
    <w:rsid w:val="00435BA6"/>
    <w:rsid w:val="00441749"/>
    <w:rsid w:val="004554E7"/>
    <w:rsid w:val="004D31BF"/>
    <w:rsid w:val="004E71F0"/>
    <w:rsid w:val="004F2AEB"/>
    <w:rsid w:val="00646234"/>
    <w:rsid w:val="0067700F"/>
    <w:rsid w:val="006B1D2C"/>
    <w:rsid w:val="00727F63"/>
    <w:rsid w:val="0075527D"/>
    <w:rsid w:val="00772980"/>
    <w:rsid w:val="00786B0D"/>
    <w:rsid w:val="007A6E71"/>
    <w:rsid w:val="007E7156"/>
    <w:rsid w:val="00843110"/>
    <w:rsid w:val="00856913"/>
    <w:rsid w:val="00863815"/>
    <w:rsid w:val="00864F93"/>
    <w:rsid w:val="008A5A30"/>
    <w:rsid w:val="008B56E6"/>
    <w:rsid w:val="008C333A"/>
    <w:rsid w:val="008C55A6"/>
    <w:rsid w:val="008F0CFC"/>
    <w:rsid w:val="00901845"/>
    <w:rsid w:val="009167D1"/>
    <w:rsid w:val="009B2DAC"/>
    <w:rsid w:val="009B54EE"/>
    <w:rsid w:val="009D2744"/>
    <w:rsid w:val="009E0F03"/>
    <w:rsid w:val="009E1E3A"/>
    <w:rsid w:val="00A11364"/>
    <w:rsid w:val="00A11EDC"/>
    <w:rsid w:val="00A1549A"/>
    <w:rsid w:val="00A16F39"/>
    <w:rsid w:val="00A42D3B"/>
    <w:rsid w:val="00A90EA0"/>
    <w:rsid w:val="00A92221"/>
    <w:rsid w:val="00A96822"/>
    <w:rsid w:val="00AE703B"/>
    <w:rsid w:val="00AF3EF3"/>
    <w:rsid w:val="00B24E54"/>
    <w:rsid w:val="00B35AFE"/>
    <w:rsid w:val="00BD522F"/>
    <w:rsid w:val="00C30FF5"/>
    <w:rsid w:val="00C464BF"/>
    <w:rsid w:val="00C84B65"/>
    <w:rsid w:val="00C92539"/>
    <w:rsid w:val="00CA4D93"/>
    <w:rsid w:val="00CE2D6B"/>
    <w:rsid w:val="00CF48B6"/>
    <w:rsid w:val="00D13FB0"/>
    <w:rsid w:val="00D7620B"/>
    <w:rsid w:val="00DB33C9"/>
    <w:rsid w:val="00DF341F"/>
    <w:rsid w:val="00E209D4"/>
    <w:rsid w:val="00E253A3"/>
    <w:rsid w:val="00EB7CED"/>
    <w:rsid w:val="00EC1174"/>
    <w:rsid w:val="00EE5346"/>
    <w:rsid w:val="00EF089B"/>
    <w:rsid w:val="00F131FB"/>
    <w:rsid w:val="00F1361D"/>
    <w:rsid w:val="00F3589F"/>
    <w:rsid w:val="00F71879"/>
    <w:rsid w:val="00FD4F10"/>
    <w:rsid w:val="00FD5211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8B049-27D8-406C-95AB-62C48FC0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9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1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7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03E"/>
  </w:style>
  <w:style w:type="paragraph" w:styleId="Footer">
    <w:name w:val="footer"/>
    <w:basedOn w:val="Normal"/>
    <w:link w:val="FooterChar"/>
    <w:uiPriority w:val="99"/>
    <w:unhideWhenUsed/>
    <w:rsid w:val="000E7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03E"/>
  </w:style>
  <w:style w:type="paragraph" w:styleId="Bibliography">
    <w:name w:val="Bibliography"/>
    <w:basedOn w:val="Normal"/>
    <w:next w:val="Normal"/>
    <w:uiPriority w:val="37"/>
    <w:unhideWhenUsed/>
    <w:rsid w:val="00B35AFE"/>
  </w:style>
  <w:style w:type="character" w:customStyle="1" w:styleId="Heading1Char">
    <w:name w:val="Heading 1 Char"/>
    <w:basedOn w:val="DefaultParagraphFont"/>
    <w:link w:val="Heading1"/>
    <w:uiPriority w:val="9"/>
    <w:rsid w:val="00175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Car12</b:Tag>
    <b:SourceType>Book</b:SourceType>
    <b:Guid>{16B3CC2A-B219-454E-A7E3-A7CAC88E2B1D}</b:Guid>
    <b:Author>
      <b:Author>
        <b:NameList>
          <b:Person>
            <b:Last>CARVALHO</b:Last>
          </b:Person>
          <b:Person>
            <b:Last>LEMES</b:Last>
          </b:Person>
          <b:Person>
            <b:Last>COSTA</b:Last>
          </b:Person>
        </b:NameList>
      </b:Author>
    </b:Author>
    <b:Title>Contabilidade Internacional: Aplicação das IFRS 2005</b:Title>
    <b:Year>2012</b:Year>
    <b:City>São Paulo</b:City>
    <b:Publisher>Atlas</b:Publisher>
    <b:RefOrder>1</b:RefOrder>
  </b:Source>
  <b:Source>
    <b:Tag>NIY10</b:Tag>
    <b:SourceType>Book</b:SourceType>
    <b:Guid>{1A071D66-C48F-40F6-80A5-25C74CF6BD90}</b:Guid>
    <b:Author>
      <b:Author>
        <b:NameList>
          <b:Person>
            <b:Last>NIYAMA</b:Last>
            <b:First>Jorge</b:First>
            <b:Middle>Katsumi</b:Middle>
          </b:Person>
        </b:NameList>
      </b:Author>
    </b:Author>
    <b:Title>Contabilidade Internacional - 2. ed.</b:Title>
    <b:Year>2010</b:Year>
    <b:City>São Paulo</b:City>
    <b:Publisher>Atlas</b:Publisher>
    <b:RefOrder>2</b:RefOrder>
  </b:Source>
</b:Sources>
</file>

<file path=customXml/itemProps1.xml><?xml version="1.0" encoding="utf-8"?>
<ds:datastoreItem xmlns:ds="http://schemas.openxmlformats.org/officeDocument/2006/customXml" ds:itemID="{DDA31B74-6BA5-4FF0-B711-D15725A8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5203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rodrigo coelho</dc:creator>
  <cp:lastModifiedBy>Alexandre Farias</cp:lastModifiedBy>
  <cp:revision>2</cp:revision>
  <dcterms:created xsi:type="dcterms:W3CDTF">2018-03-04T19:51:00Z</dcterms:created>
  <dcterms:modified xsi:type="dcterms:W3CDTF">2018-03-04T19:51:00Z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-1483069420</vt:i4>
  </property>
</Properties>
</file>