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1D3B3" w14:textId="5911A1FF" w:rsidR="00F6287D" w:rsidRPr="0074559C" w:rsidRDefault="00F6287D" w:rsidP="00F6287D">
      <w:pPr>
        <w:jc w:val="center"/>
        <w:rPr>
          <w:rFonts w:cs="Arial"/>
        </w:rPr>
      </w:pPr>
      <w:r w:rsidRPr="0074559C">
        <w:rPr>
          <w:rFonts w:cs="Arial"/>
        </w:rPr>
        <w:t>AS INOVAÇÕES DO DIREITO SUCESSÓRIO FRENTE AO NOVO CÓDIGO DE PROCESSO CIVIL</w:t>
      </w:r>
    </w:p>
    <w:p w14:paraId="2126CA51" w14:textId="77777777" w:rsidR="004F29E0" w:rsidRPr="0074559C" w:rsidRDefault="004F29E0">
      <w:pPr>
        <w:rPr>
          <w:rFonts w:cs="Arial"/>
        </w:rPr>
      </w:pPr>
    </w:p>
    <w:p w14:paraId="634065EB" w14:textId="35DA0DA7" w:rsidR="00484691" w:rsidRPr="0074559C" w:rsidRDefault="00484691" w:rsidP="00047BCF">
      <w:pPr>
        <w:pStyle w:val="PargrafodaLista"/>
        <w:ind w:left="0"/>
        <w:rPr>
          <w:rFonts w:cs="Arial"/>
        </w:rPr>
      </w:pPr>
      <w:r w:rsidRPr="0074559C">
        <w:rPr>
          <w:rFonts w:cs="Arial"/>
        </w:rPr>
        <w:t>INTROUÇÃO</w:t>
      </w:r>
    </w:p>
    <w:p w14:paraId="29621691" w14:textId="7E47DC20" w:rsidR="00484691" w:rsidRDefault="00024B66" w:rsidP="00C609FC">
      <w:pPr>
        <w:spacing w:after="0" w:line="360" w:lineRule="auto"/>
        <w:ind w:firstLine="709"/>
        <w:rPr>
          <w:rFonts w:cs="Arial"/>
        </w:rPr>
      </w:pPr>
      <w:r>
        <w:rPr>
          <w:rFonts w:cs="Arial"/>
        </w:rPr>
        <w:t xml:space="preserve">O presente estudo, tem a finalidade de demonstrar quais foram as inovações trazidas pelo Novo Código de Processo Civil para o Direito Sucessório. Essas alterações foram feitas principalmente no inventário e partilha, sendo algumas delas muito polêmicas. </w:t>
      </w:r>
    </w:p>
    <w:p w14:paraId="25D4BF8C" w14:textId="44CDDD33" w:rsidR="00BD1F8C" w:rsidRDefault="00BD1F8C" w:rsidP="00C609FC">
      <w:pPr>
        <w:spacing w:after="0" w:line="360" w:lineRule="auto"/>
        <w:ind w:firstLine="709"/>
        <w:rPr>
          <w:rFonts w:cs="Arial"/>
        </w:rPr>
      </w:pPr>
      <w:r>
        <w:rPr>
          <w:rFonts w:cs="Arial"/>
        </w:rPr>
        <w:t>A</w:t>
      </w:r>
      <w:r w:rsidR="00D73F9A">
        <w:rPr>
          <w:rFonts w:cs="Arial"/>
        </w:rPr>
        <w:t>s</w:t>
      </w:r>
      <w:r>
        <w:rPr>
          <w:rFonts w:cs="Arial"/>
        </w:rPr>
        <w:t xml:space="preserve"> </w:t>
      </w:r>
      <w:r w:rsidR="00D73F9A">
        <w:rPr>
          <w:rFonts w:cs="Arial"/>
        </w:rPr>
        <w:t>reformas</w:t>
      </w:r>
      <w:r>
        <w:rPr>
          <w:rFonts w:cs="Arial"/>
        </w:rPr>
        <w:t xml:space="preserve"> trazidas pelo NCPC de 2015, serão destacadas e vistas suas aplicações no Estado Democrático de Direito. </w:t>
      </w:r>
    </w:p>
    <w:p w14:paraId="2E64330B" w14:textId="67882B4C" w:rsidR="002A419D" w:rsidRDefault="005A12D4" w:rsidP="00864DCC">
      <w:pPr>
        <w:spacing w:after="0" w:line="360" w:lineRule="auto"/>
        <w:rPr>
          <w:rFonts w:cs="Arial"/>
        </w:rPr>
      </w:pPr>
      <w:r>
        <w:rPr>
          <w:rFonts w:cs="Arial"/>
        </w:rPr>
        <w:tab/>
      </w:r>
      <w:r w:rsidR="00C609FC">
        <w:rPr>
          <w:rFonts w:cs="Arial"/>
        </w:rPr>
        <w:t>É sabido a importância do direito processual civil</w:t>
      </w:r>
      <w:r w:rsidR="00C609FC" w:rsidRPr="00C609FC">
        <w:rPr>
          <w:rFonts w:cs="Arial"/>
        </w:rPr>
        <w:t xml:space="preserve"> </w:t>
      </w:r>
      <w:r w:rsidR="00FC0026">
        <w:rPr>
          <w:rFonts w:cs="Arial"/>
        </w:rPr>
        <w:t xml:space="preserve">no </w:t>
      </w:r>
      <w:r w:rsidR="00C609FC">
        <w:rPr>
          <w:rFonts w:cs="Arial"/>
        </w:rPr>
        <w:t>ordenamento jurídico brasileiro</w:t>
      </w:r>
      <w:r w:rsidR="002D757F">
        <w:rPr>
          <w:rFonts w:cs="Arial"/>
        </w:rPr>
        <w:t xml:space="preserve">, e nestas circunstancias </w:t>
      </w:r>
      <w:r w:rsidR="002A419D">
        <w:rPr>
          <w:rFonts w:cs="Arial"/>
        </w:rPr>
        <w:t>as modificações incluídas deverão ser analisadas.</w:t>
      </w:r>
    </w:p>
    <w:p w14:paraId="6C775AB3" w14:textId="22F2527C" w:rsidR="002A419D" w:rsidRDefault="002A419D" w:rsidP="00FC0026">
      <w:pPr>
        <w:spacing w:after="0" w:line="360" w:lineRule="auto"/>
        <w:rPr>
          <w:rStyle w:val="st"/>
        </w:rPr>
      </w:pPr>
      <w:r>
        <w:rPr>
          <w:rFonts w:cs="Arial"/>
        </w:rPr>
        <w:tab/>
        <w:t xml:space="preserve">A constituição da </w:t>
      </w:r>
      <w:r w:rsidR="0002376F">
        <w:rPr>
          <w:rFonts w:cs="Arial"/>
        </w:rPr>
        <w:t>República</w:t>
      </w:r>
      <w:r>
        <w:rPr>
          <w:rFonts w:cs="Arial"/>
        </w:rPr>
        <w:t xml:space="preserve"> em seu art. 5º, XXX, trata do direito da sucessão como norma fundamental que deverá ser aplicado também pela norma </w:t>
      </w:r>
      <w:r w:rsidR="00334BB3">
        <w:rPr>
          <w:rFonts w:cs="Arial"/>
        </w:rPr>
        <w:t xml:space="preserve">infraconstitucional. </w:t>
      </w:r>
      <w:r w:rsidR="00922C7D">
        <w:rPr>
          <w:rFonts w:cs="Arial"/>
        </w:rPr>
        <w:t xml:space="preserve">Na legislação processual, estão previstos nos </w:t>
      </w:r>
      <w:r w:rsidR="00922C7D">
        <w:rPr>
          <w:rStyle w:val="st"/>
        </w:rPr>
        <w:t>previsto nos arts. 610 a 673 do NCPC.</w:t>
      </w:r>
    </w:p>
    <w:p w14:paraId="6040A85F" w14:textId="77777777" w:rsidR="0002376F" w:rsidRDefault="00FC0026" w:rsidP="0002376F">
      <w:pPr>
        <w:spacing w:line="360" w:lineRule="auto"/>
        <w:rPr>
          <w:rFonts w:cs="Arial"/>
        </w:rPr>
      </w:pPr>
      <w:r>
        <w:rPr>
          <w:rFonts w:cs="Arial"/>
        </w:rPr>
        <w:tab/>
        <w:t>Analisa-se a seguir quais foram as alterações sofridas pelo diploma legal.</w:t>
      </w:r>
    </w:p>
    <w:p w14:paraId="4D3A45E9" w14:textId="07303A7E" w:rsidR="00484691" w:rsidRDefault="00484691" w:rsidP="0002376F">
      <w:pPr>
        <w:spacing w:line="360" w:lineRule="auto"/>
        <w:rPr>
          <w:rFonts w:cs="Arial"/>
        </w:rPr>
      </w:pPr>
      <w:r w:rsidRPr="0074559C">
        <w:rPr>
          <w:rFonts w:cs="Arial"/>
        </w:rPr>
        <w:t>DESENVOLVIMENTO</w:t>
      </w:r>
    </w:p>
    <w:p w14:paraId="6BF82CFE" w14:textId="3E2E003E" w:rsidR="00B225AD" w:rsidRPr="0074559C" w:rsidRDefault="00B34017" w:rsidP="003B61EB">
      <w:pPr>
        <w:spacing w:after="0" w:line="360" w:lineRule="auto"/>
        <w:ind w:firstLine="708"/>
        <w:rPr>
          <w:rFonts w:cs="Arial"/>
        </w:rPr>
      </w:pPr>
      <w:r w:rsidRPr="0074559C">
        <w:rPr>
          <w:rFonts w:cs="Arial"/>
        </w:rPr>
        <w:t>Segundo preceitua Maria Berenice Dia</w:t>
      </w:r>
      <w:r w:rsidR="0045701A" w:rsidRPr="0074559C">
        <w:rPr>
          <w:rFonts w:cs="Arial"/>
        </w:rPr>
        <w:t xml:space="preserve">s (2014), </w:t>
      </w:r>
      <w:r w:rsidR="00023501" w:rsidRPr="0074559C">
        <w:rPr>
          <w:rFonts w:cs="Arial"/>
        </w:rPr>
        <w:t xml:space="preserve">a sucessão será aberta com a morte do ora proprietário </w:t>
      </w:r>
      <w:r w:rsidR="008773FA">
        <w:rPr>
          <w:rFonts w:cs="Arial"/>
        </w:rPr>
        <w:t>d</w:t>
      </w:r>
      <w:r w:rsidR="00023501" w:rsidRPr="0074559C">
        <w:rPr>
          <w:rFonts w:cs="Arial"/>
        </w:rPr>
        <w:t>os bens</w:t>
      </w:r>
      <w:r w:rsidR="008773FA">
        <w:rPr>
          <w:rFonts w:cs="Arial"/>
        </w:rPr>
        <w:t xml:space="preserve"> que serão partilhados</w:t>
      </w:r>
      <w:r w:rsidR="00023501" w:rsidRPr="0074559C">
        <w:rPr>
          <w:rFonts w:cs="Arial"/>
        </w:rPr>
        <w:t xml:space="preserve">, a partir deste momento, todo o seu patrimônio é transmitido para os respectivos herdeiros (legítimos e testamentários), consoante ao que </w:t>
      </w:r>
      <w:r w:rsidR="009428DE">
        <w:rPr>
          <w:rFonts w:cs="Arial"/>
        </w:rPr>
        <w:t>decreta</w:t>
      </w:r>
      <w:r w:rsidR="00023501" w:rsidRPr="0074559C">
        <w:rPr>
          <w:rFonts w:cs="Arial"/>
        </w:rPr>
        <w:t xml:space="preserve"> o </w:t>
      </w:r>
      <w:r w:rsidR="00E17A5F" w:rsidRPr="0074559C">
        <w:rPr>
          <w:rFonts w:cs="Arial"/>
        </w:rPr>
        <w:t>art</w:t>
      </w:r>
      <w:r w:rsidR="0085314A">
        <w:rPr>
          <w:rFonts w:cs="Arial"/>
        </w:rPr>
        <w:t>igo</w:t>
      </w:r>
      <w:r w:rsidR="00023501" w:rsidRPr="0074559C">
        <w:rPr>
          <w:rFonts w:cs="Arial"/>
        </w:rPr>
        <w:t xml:space="preserve"> 1.791 do CC/02.</w:t>
      </w:r>
    </w:p>
    <w:p w14:paraId="09488E5B" w14:textId="3E7BFE9D" w:rsidR="00E17A5F" w:rsidRPr="0074559C" w:rsidRDefault="00E17A5F" w:rsidP="00F4294C">
      <w:pPr>
        <w:spacing w:after="0" w:line="360" w:lineRule="auto"/>
        <w:ind w:firstLine="708"/>
        <w:rPr>
          <w:rFonts w:cs="Arial"/>
        </w:rPr>
      </w:pPr>
      <w:r w:rsidRPr="0074559C">
        <w:rPr>
          <w:rFonts w:cs="Arial"/>
        </w:rPr>
        <w:t>Enquanto não ocorre a divisão do patrimônio, que será feito através de inventário</w:t>
      </w:r>
      <w:r w:rsidR="00C3346A" w:rsidRPr="0074559C">
        <w:rPr>
          <w:rFonts w:cs="Arial"/>
        </w:rPr>
        <w:t>,</w:t>
      </w:r>
      <w:r w:rsidRPr="0074559C">
        <w:rPr>
          <w:rFonts w:cs="Arial"/>
        </w:rPr>
        <w:t xml:space="preserve"> a posse dos bens será de titularidade do administrador</w:t>
      </w:r>
      <w:r w:rsidR="00835AC6">
        <w:rPr>
          <w:rFonts w:cs="Arial"/>
        </w:rPr>
        <w:t xml:space="preserve"> provisório</w:t>
      </w:r>
      <w:r w:rsidRPr="0074559C">
        <w:rPr>
          <w:rFonts w:cs="Arial"/>
        </w:rPr>
        <w:t>,</w:t>
      </w:r>
      <w:r w:rsidR="00424948" w:rsidRPr="0074559C">
        <w:rPr>
          <w:rFonts w:cs="Arial"/>
        </w:rPr>
        <w:t xml:space="preserve"> que</w:t>
      </w:r>
      <w:r w:rsidRPr="0074559C">
        <w:rPr>
          <w:rFonts w:cs="Arial"/>
        </w:rPr>
        <w:t xml:space="preserve"> posteriormente serão transmitidas aos herdeiros.</w:t>
      </w:r>
    </w:p>
    <w:p w14:paraId="7A44FF73" w14:textId="7F6B11F0" w:rsidR="00023501" w:rsidRPr="0074559C" w:rsidRDefault="009F6F90" w:rsidP="00F4294C">
      <w:pPr>
        <w:spacing w:after="0" w:line="360" w:lineRule="auto"/>
        <w:ind w:firstLine="708"/>
        <w:rPr>
          <w:rFonts w:cs="Arial"/>
        </w:rPr>
      </w:pPr>
      <w:r w:rsidRPr="0074559C">
        <w:rPr>
          <w:rFonts w:cs="Arial"/>
        </w:rPr>
        <w:t>Conforme redação dada pelo artigo 611 do NCPC</w:t>
      </w:r>
      <w:r w:rsidR="00F2371C" w:rsidRPr="0074559C">
        <w:rPr>
          <w:rFonts w:cs="Arial"/>
        </w:rPr>
        <w:t xml:space="preserve">, </w:t>
      </w:r>
      <w:r w:rsidR="00FD775D" w:rsidRPr="0074559C">
        <w:rPr>
          <w:rFonts w:cs="Arial"/>
        </w:rPr>
        <w:t xml:space="preserve">o prazo </w:t>
      </w:r>
      <w:r w:rsidR="00D82756" w:rsidRPr="0074559C">
        <w:rPr>
          <w:rFonts w:cs="Arial"/>
        </w:rPr>
        <w:t xml:space="preserve">convencionado para ser aberto o processo </w:t>
      </w:r>
      <w:r w:rsidR="00EF3907">
        <w:rPr>
          <w:rFonts w:cs="Arial"/>
        </w:rPr>
        <w:t xml:space="preserve">de inventário será </w:t>
      </w:r>
      <w:r w:rsidR="00D82756" w:rsidRPr="0074559C">
        <w:rPr>
          <w:rFonts w:cs="Arial"/>
        </w:rPr>
        <w:t xml:space="preserve">de 2 meses, devendo ser concluído nos 12 meses seguintes, podendo ser prorrogado </w:t>
      </w:r>
      <w:r w:rsidR="00D82756" w:rsidRPr="009E1CF6">
        <w:rPr>
          <w:rFonts w:cs="Arial"/>
          <w:i/>
        </w:rPr>
        <w:t>Ex Officio</w:t>
      </w:r>
      <w:r w:rsidR="00D82756" w:rsidRPr="0074559C">
        <w:rPr>
          <w:rFonts w:cs="Arial"/>
        </w:rPr>
        <w:t xml:space="preserve"> pelo juiz ou a requerimento das partes. </w:t>
      </w:r>
    </w:p>
    <w:p w14:paraId="2B05716A" w14:textId="13B2E459" w:rsidR="0045701A" w:rsidRPr="004B12DB" w:rsidRDefault="0045701A" w:rsidP="000718A9">
      <w:pPr>
        <w:spacing w:before="240"/>
        <w:ind w:left="2835"/>
        <w:rPr>
          <w:rFonts w:cs="Arial"/>
          <w:sz w:val="22"/>
        </w:rPr>
      </w:pPr>
      <w:r w:rsidRPr="004B12DB">
        <w:rPr>
          <w:rFonts w:cs="Arial"/>
          <w:sz w:val="22"/>
        </w:rPr>
        <w:t>Desta forma, inventário é a discrição individualizada e clara dos bens da herança e partilha entre os herdeiros faz cessar o estado de comunhão determinado pelo concurso de direitos em que eles têm sobre os bens de acervo sucessório.</w:t>
      </w:r>
      <w:r w:rsidR="00E36C82" w:rsidRPr="004B12DB">
        <w:rPr>
          <w:rFonts w:cs="Arial"/>
          <w:sz w:val="22"/>
        </w:rPr>
        <w:t xml:space="preserve"> (DIAS, 2014, p. 547)</w:t>
      </w:r>
      <w:r w:rsidR="004B12DB">
        <w:rPr>
          <w:rFonts w:cs="Arial"/>
          <w:sz w:val="22"/>
        </w:rPr>
        <w:t>.</w:t>
      </w:r>
    </w:p>
    <w:p w14:paraId="2F42A8AD" w14:textId="46897BDD" w:rsidR="008F5AA8" w:rsidRDefault="00A43E8F" w:rsidP="00F4294C">
      <w:pPr>
        <w:spacing w:after="0" w:line="360" w:lineRule="auto"/>
        <w:rPr>
          <w:i/>
          <w:iCs/>
        </w:rPr>
      </w:pPr>
      <w:r>
        <w:rPr>
          <w:rFonts w:cs="Arial"/>
        </w:rPr>
        <w:lastRenderedPageBreak/>
        <w:tab/>
      </w:r>
      <w:r w:rsidR="008C75C1">
        <w:rPr>
          <w:rFonts w:cs="Arial"/>
        </w:rPr>
        <w:t xml:space="preserve">Na visão </w:t>
      </w:r>
      <w:r w:rsidR="008C75C1" w:rsidRPr="008C75C1">
        <w:rPr>
          <w:rFonts w:cs="Arial"/>
        </w:rPr>
        <w:t xml:space="preserve">de </w:t>
      </w:r>
      <w:r w:rsidR="008C75C1" w:rsidRPr="008C75C1">
        <w:rPr>
          <w:bCs/>
          <w:iCs/>
        </w:rPr>
        <w:t>CÂMARA</w:t>
      </w:r>
      <w:r w:rsidR="008C75C1">
        <w:rPr>
          <w:bCs/>
          <w:iCs/>
        </w:rPr>
        <w:t xml:space="preserve"> (2014), seguindo o princípio francês da</w:t>
      </w:r>
      <w:r w:rsidR="008C75C1">
        <w:rPr>
          <w:i/>
          <w:iCs/>
        </w:rPr>
        <w:t xml:space="preserve"> “saisine”, </w:t>
      </w:r>
      <w:r w:rsidR="008C75C1">
        <w:rPr>
          <w:iCs/>
        </w:rPr>
        <w:t xml:space="preserve">que tem como fundamento legal o </w:t>
      </w:r>
      <w:r w:rsidR="008C75C1">
        <w:t>artigo 1.784</w:t>
      </w:r>
      <w:r w:rsidR="00755C9A">
        <w:t xml:space="preserve"> CC/02</w:t>
      </w:r>
      <w:r w:rsidR="008C75C1">
        <w:t xml:space="preserve">, </w:t>
      </w:r>
      <w:r w:rsidR="008C75C1" w:rsidRPr="008C75C1">
        <w:rPr>
          <w:i/>
        </w:rPr>
        <w:t>in verbis</w:t>
      </w:r>
      <w:r w:rsidR="008C75C1">
        <w:rPr>
          <w:i/>
        </w:rPr>
        <w:t xml:space="preserve">: </w:t>
      </w:r>
      <w:r w:rsidR="008C75C1">
        <w:t>“aberta a sucessão, a herança transmite-se desde logo, aos herdeiros legítimos e testamentário”</w:t>
      </w:r>
      <w:r w:rsidR="006E16BF">
        <w:t xml:space="preserve"> essa transferência dar-se-á com a morte do </w:t>
      </w:r>
      <w:r w:rsidR="006E16BF" w:rsidRPr="006E16BF">
        <w:rPr>
          <w:i/>
        </w:rPr>
        <w:t>de cujus</w:t>
      </w:r>
      <w:r w:rsidR="006E16BF">
        <w:rPr>
          <w:i/>
        </w:rPr>
        <w:t>.</w:t>
      </w:r>
      <w:r w:rsidR="008C75C1" w:rsidRPr="008C75C1">
        <w:rPr>
          <w:i/>
          <w:iCs/>
        </w:rPr>
        <w:t xml:space="preserve"> </w:t>
      </w:r>
    </w:p>
    <w:p w14:paraId="2F07C3CA" w14:textId="0707A6A5" w:rsidR="00463F0A" w:rsidRDefault="00C2544C" w:rsidP="00F4294C">
      <w:pPr>
        <w:spacing w:after="0" w:line="360" w:lineRule="auto"/>
      </w:pPr>
      <w:r>
        <w:rPr>
          <w:rFonts w:cs="Arial"/>
        </w:rPr>
        <w:tab/>
      </w:r>
      <w:r w:rsidR="00A0366A">
        <w:rPr>
          <w:rFonts w:cs="Arial"/>
        </w:rPr>
        <w:t xml:space="preserve">O código de Processo Civil de 2015, em seu </w:t>
      </w:r>
      <w:r w:rsidR="00A0366A">
        <w:t>art. 610, §§ 1º e 2º, prevê o inventário</w:t>
      </w:r>
      <w:r w:rsidR="003C54C6">
        <w:t xml:space="preserve"> Extrajudicial, deve</w:t>
      </w:r>
      <w:r w:rsidR="00A0366A">
        <w:t xml:space="preserve"> </w:t>
      </w:r>
      <w:r w:rsidR="00A0366A">
        <w:rPr>
          <w:rFonts w:cs="Arial"/>
        </w:rPr>
        <w:t xml:space="preserve">ser feito por escritura pública, sendo mantida a redação </w:t>
      </w:r>
      <w:r w:rsidR="00F90E0B">
        <w:rPr>
          <w:rFonts w:cs="Arial"/>
        </w:rPr>
        <w:t>trazida</w:t>
      </w:r>
      <w:r w:rsidR="00A0366A">
        <w:rPr>
          <w:rFonts w:cs="Arial"/>
        </w:rPr>
        <w:t xml:space="preserve"> pela </w:t>
      </w:r>
      <w:hyperlink r:id="rId5" w:tooltip="Lei nº 11.441, de 4 de janeiro de 2007." w:history="1">
        <w:r w:rsidR="00A0366A" w:rsidRPr="00770F86">
          <w:rPr>
            <w:rStyle w:val="Hyperlink"/>
            <w:color w:val="auto"/>
            <w:u w:val="none"/>
          </w:rPr>
          <w:t>11.441</w:t>
        </w:r>
      </w:hyperlink>
      <w:r w:rsidR="00A0366A" w:rsidRPr="00770F86">
        <w:t>/</w:t>
      </w:r>
      <w:r w:rsidR="00A0366A">
        <w:t>07, que modificou o CPC de 1973.</w:t>
      </w:r>
      <w:r w:rsidR="00103940">
        <w:t xml:space="preserve"> Esta modalidade de inventário, é utilizada quando </w:t>
      </w:r>
      <w:proofErr w:type="gramStart"/>
      <w:r w:rsidR="00103940">
        <w:t>encontram-se</w:t>
      </w:r>
      <w:proofErr w:type="gramEnd"/>
      <w:r w:rsidR="00103940">
        <w:t xml:space="preserve"> presentes a partilha amigável, quando todas as partes são capazes.  </w:t>
      </w:r>
    </w:p>
    <w:p w14:paraId="4B90B44C" w14:textId="3454667D" w:rsidR="00740DFA" w:rsidRDefault="00740DFA" w:rsidP="00740DFA">
      <w:pPr>
        <w:spacing w:after="0" w:line="360" w:lineRule="auto"/>
        <w:ind w:firstLine="708"/>
      </w:pPr>
      <w:r>
        <w:t>Entre as três espécies de inventário judicial, a primeira é o inventário judicial pelo rito tradicional, tratado nos artigos 619 ao 658 do CPC/2015. A segunda modalidade é o inventário judicial pelo rito do arrolamento sumário conforme o art. 659 do CPC/2015, sendo cabível quando todos os interessados forem maiores e capazes abrangendo bens de quaisquer valores.</w:t>
      </w:r>
    </w:p>
    <w:p w14:paraId="16EF7F10" w14:textId="77777777" w:rsidR="005F19C5" w:rsidRPr="00BE1735" w:rsidRDefault="005F19C5" w:rsidP="005E715D">
      <w:pPr>
        <w:pStyle w:val="Ttulo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BE1735">
        <w:rPr>
          <w:rFonts w:ascii="Arial" w:hAnsi="Arial" w:cs="Arial"/>
          <w:b w:val="0"/>
          <w:sz w:val="24"/>
        </w:rPr>
        <w:t>No disposto pelo artigo 735, § 2º do NCPC, o Ministério Público participará do procedimento quando nestes estiverem presentes herdeiros menores e/ou incapazes.</w:t>
      </w:r>
    </w:p>
    <w:p w14:paraId="211AD669" w14:textId="7D2BDDF8" w:rsidR="00E93F29" w:rsidRPr="004276B1" w:rsidRDefault="00E93F29" w:rsidP="00E93F29">
      <w:pPr>
        <w:pStyle w:val="Ttulo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sz w:val="24"/>
          <w:szCs w:val="18"/>
        </w:rPr>
      </w:pPr>
      <w:r>
        <w:rPr>
          <w:rFonts w:ascii="Arial" w:hAnsi="Arial" w:cs="Arial"/>
          <w:b w:val="0"/>
          <w:sz w:val="24"/>
          <w:szCs w:val="18"/>
        </w:rPr>
        <w:t>As prerrogativas para que o inventário seja iniciado ficaram limitadas apenas aos sujeitos do art. 616, do NCPC, afastando assim a iniciativa do juiz de oficio.</w:t>
      </w:r>
    </w:p>
    <w:p w14:paraId="5F5311E6" w14:textId="1BE14A09" w:rsidR="008F5AA8" w:rsidRDefault="00EE18DF" w:rsidP="00F4294C">
      <w:pPr>
        <w:pStyle w:val="PargrafodaLista"/>
        <w:spacing w:after="0" w:line="360" w:lineRule="auto"/>
        <w:ind w:left="0" w:firstLine="708"/>
        <w:rPr>
          <w:bCs/>
        </w:rPr>
      </w:pPr>
      <w:r>
        <w:rPr>
          <w:rFonts w:cs="Arial"/>
        </w:rPr>
        <w:t>O</w:t>
      </w:r>
      <w:r w:rsidR="00104048">
        <w:rPr>
          <w:rFonts w:cs="Arial"/>
        </w:rPr>
        <w:t xml:space="preserve">utra modificação trazida pelo NCPC, foi em relação ao </w:t>
      </w:r>
      <w:r w:rsidR="00104048" w:rsidRPr="00104048">
        <w:rPr>
          <w:bCs/>
        </w:rPr>
        <w:t>Inventário Conjunto</w:t>
      </w:r>
      <w:r w:rsidR="00104048">
        <w:rPr>
          <w:bCs/>
        </w:rPr>
        <w:t xml:space="preserve">, no artigo 672, em seus incisos, estão elencadas três formas de seguimentos em conjunto entre duas pessoas, são elas: </w:t>
      </w:r>
    </w:p>
    <w:p w14:paraId="42282B29" w14:textId="77777777" w:rsidR="00104048" w:rsidRPr="00B72175" w:rsidRDefault="00104048" w:rsidP="00104048">
      <w:pPr>
        <w:pStyle w:val="NormalWeb"/>
        <w:spacing w:after="0" w:afterAutospacing="0"/>
        <w:ind w:left="2835"/>
        <w:jc w:val="both"/>
        <w:rPr>
          <w:rFonts w:ascii="Arial" w:hAnsi="Arial" w:cs="Arial"/>
          <w:sz w:val="22"/>
          <w:szCs w:val="22"/>
        </w:rPr>
      </w:pPr>
      <w:r w:rsidRPr="00B72175">
        <w:rPr>
          <w:rFonts w:ascii="Arial" w:hAnsi="Arial" w:cs="Arial"/>
          <w:iCs/>
          <w:sz w:val="22"/>
          <w:szCs w:val="22"/>
        </w:rPr>
        <w:t>I. Identidade de pessoas entre as quais devam ser repartidos os bens;</w:t>
      </w:r>
    </w:p>
    <w:p w14:paraId="1A0CA8AD" w14:textId="00B3178C" w:rsidR="00104048" w:rsidRPr="00B72175" w:rsidRDefault="00104048" w:rsidP="00104048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sz w:val="22"/>
          <w:szCs w:val="22"/>
        </w:rPr>
      </w:pPr>
      <w:r w:rsidRPr="00B72175">
        <w:rPr>
          <w:rFonts w:ascii="Arial" w:hAnsi="Arial" w:cs="Arial"/>
          <w:sz w:val="22"/>
          <w:szCs w:val="22"/>
        </w:rPr>
        <w:t xml:space="preserve">II. </w:t>
      </w:r>
      <w:r w:rsidRPr="00B72175">
        <w:rPr>
          <w:rFonts w:ascii="Arial" w:hAnsi="Arial" w:cs="Arial"/>
          <w:iCs/>
          <w:sz w:val="22"/>
          <w:szCs w:val="22"/>
        </w:rPr>
        <w:t>Heranças deixadas pelos dois cônjuges ou companheiros</w:t>
      </w:r>
      <w:r w:rsidRPr="00B72175">
        <w:rPr>
          <w:rFonts w:ascii="Arial" w:hAnsi="Arial" w:cs="Arial"/>
          <w:sz w:val="22"/>
          <w:szCs w:val="22"/>
        </w:rPr>
        <w:t xml:space="preserve">, </w:t>
      </w:r>
    </w:p>
    <w:p w14:paraId="72AFB416" w14:textId="719B062F" w:rsidR="00104048" w:rsidRPr="00B72175" w:rsidRDefault="00104048" w:rsidP="00104048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sz w:val="22"/>
          <w:szCs w:val="22"/>
        </w:rPr>
      </w:pPr>
      <w:r w:rsidRPr="00B72175">
        <w:rPr>
          <w:rFonts w:ascii="Arial" w:hAnsi="Arial" w:cs="Arial"/>
          <w:sz w:val="22"/>
          <w:szCs w:val="22"/>
        </w:rPr>
        <w:t xml:space="preserve">III. </w:t>
      </w:r>
      <w:r w:rsidRPr="00B72175">
        <w:rPr>
          <w:rFonts w:ascii="Arial" w:hAnsi="Arial" w:cs="Arial"/>
          <w:iCs/>
          <w:sz w:val="22"/>
          <w:szCs w:val="22"/>
        </w:rPr>
        <w:t>Dependência de uma das partilhas em relação à outra.</w:t>
      </w:r>
      <w:r w:rsidRPr="00B72175">
        <w:rPr>
          <w:rFonts w:ascii="Arial" w:hAnsi="Arial" w:cs="Arial"/>
          <w:sz w:val="22"/>
          <w:szCs w:val="22"/>
        </w:rPr>
        <w:t xml:space="preserve"> </w:t>
      </w:r>
    </w:p>
    <w:p w14:paraId="6E5A79A3" w14:textId="77777777" w:rsidR="00EF29F7" w:rsidRDefault="00EF29F7" w:rsidP="00EF29F7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szCs w:val="18"/>
        </w:rPr>
      </w:pPr>
    </w:p>
    <w:p w14:paraId="0346569E" w14:textId="79AD0029" w:rsidR="00DE6F46" w:rsidRPr="00DE6F46" w:rsidRDefault="008E46F2" w:rsidP="00DE6F46">
      <w:pPr>
        <w:autoSpaceDE w:val="0"/>
        <w:autoSpaceDN w:val="0"/>
        <w:adjustRightInd w:val="0"/>
        <w:spacing w:after="0" w:line="360" w:lineRule="auto"/>
        <w:ind w:firstLine="709"/>
      </w:pPr>
      <w:r>
        <w:rPr>
          <w:szCs w:val="23"/>
        </w:rPr>
        <w:t>Na visão de</w:t>
      </w:r>
      <w:r w:rsidR="00DE6F46">
        <w:rPr>
          <w:szCs w:val="23"/>
        </w:rPr>
        <w:t xml:space="preserve"> </w:t>
      </w:r>
      <w:r w:rsidR="00DE6F46" w:rsidRPr="00DE6F46">
        <w:rPr>
          <w:szCs w:val="23"/>
        </w:rPr>
        <w:t>Hironaka e Pereira (2007)</w:t>
      </w:r>
      <w:r w:rsidR="00F01E2F">
        <w:rPr>
          <w:szCs w:val="23"/>
        </w:rPr>
        <w:t>:</w:t>
      </w:r>
    </w:p>
    <w:p w14:paraId="4FBB6340" w14:textId="69467852" w:rsidR="00DE6F46" w:rsidRDefault="00DE6F46" w:rsidP="00B05288">
      <w:pPr>
        <w:autoSpaceDE w:val="0"/>
        <w:autoSpaceDN w:val="0"/>
        <w:adjustRightInd w:val="0"/>
        <w:spacing w:before="240" w:line="360" w:lineRule="auto"/>
        <w:ind w:left="2835"/>
        <w:rPr>
          <w:rFonts w:cs="Arial"/>
          <w:szCs w:val="18"/>
        </w:rPr>
      </w:pPr>
      <w:r>
        <w:rPr>
          <w:sz w:val="22"/>
        </w:rPr>
        <w:t xml:space="preserve">O Direito das Sucessões opera por meio da morte do titular de um direito que não seja personalíssimo e que, nesta medida, possa e deva ser transferido para um outro titular. Assim, sempre que um direito ou bem qualquer puder ser transferido para outra pessoa em razão da morte de seu antigo titular, estar-se-á diante do campo propício para a aplicação das regras do direito sucessório. Daí dizer-se tratar de sucessão </w:t>
      </w:r>
      <w:r>
        <w:rPr>
          <w:i/>
          <w:iCs/>
          <w:sz w:val="22"/>
        </w:rPr>
        <w:t xml:space="preserve">mortis causa </w:t>
      </w:r>
      <w:r>
        <w:rPr>
          <w:sz w:val="22"/>
        </w:rPr>
        <w:t>[...] (HIRONAKA E PEREIRA, 2007, p. 15-16)</w:t>
      </w:r>
      <w:r w:rsidR="00B05288">
        <w:rPr>
          <w:sz w:val="22"/>
        </w:rPr>
        <w:t>.</w:t>
      </w:r>
    </w:p>
    <w:p w14:paraId="00F30E67" w14:textId="591CF3CC" w:rsidR="00104E33" w:rsidRDefault="00104E33" w:rsidP="00F4294C">
      <w:pPr>
        <w:autoSpaceDE w:val="0"/>
        <w:autoSpaceDN w:val="0"/>
        <w:adjustRightInd w:val="0"/>
        <w:spacing w:after="0" w:line="360" w:lineRule="auto"/>
        <w:ind w:firstLine="708"/>
        <w:rPr>
          <w:rFonts w:cs="Arial"/>
          <w:szCs w:val="18"/>
        </w:rPr>
      </w:pPr>
      <w:r>
        <w:rPr>
          <w:rFonts w:cs="Arial"/>
          <w:szCs w:val="18"/>
        </w:rPr>
        <w:lastRenderedPageBreak/>
        <w:t>O a</w:t>
      </w:r>
      <w:r w:rsidR="00EF29F7" w:rsidRPr="004F1D8F">
        <w:rPr>
          <w:rFonts w:cs="Arial"/>
          <w:szCs w:val="18"/>
        </w:rPr>
        <w:t>rt. 647</w:t>
      </w:r>
      <w:r w:rsidR="00094A48">
        <w:rPr>
          <w:rFonts w:cs="Arial"/>
          <w:szCs w:val="18"/>
        </w:rPr>
        <w:t xml:space="preserve">, trouxe uma modificação referente ao prazo </w:t>
      </w:r>
      <w:r w:rsidR="00D16C4B">
        <w:rPr>
          <w:rFonts w:cs="Arial"/>
          <w:szCs w:val="18"/>
        </w:rPr>
        <w:t xml:space="preserve">comum, </w:t>
      </w:r>
      <w:r w:rsidR="00094A48">
        <w:rPr>
          <w:rFonts w:cs="Arial"/>
          <w:szCs w:val="18"/>
        </w:rPr>
        <w:t xml:space="preserve">para </w:t>
      </w:r>
      <w:r w:rsidR="005133C9">
        <w:rPr>
          <w:rFonts w:cs="Arial"/>
          <w:szCs w:val="18"/>
        </w:rPr>
        <w:t>que os herdeiros formulem os pedidos para recebimento da cota parte</w:t>
      </w:r>
      <w:r w:rsidR="000174D3">
        <w:rPr>
          <w:rFonts w:cs="Arial"/>
          <w:szCs w:val="18"/>
        </w:rPr>
        <w:t xml:space="preserve"> que passou a ser de 15 dias</w:t>
      </w:r>
      <w:r w:rsidR="00D16C4B">
        <w:rPr>
          <w:rFonts w:cs="Arial"/>
          <w:szCs w:val="18"/>
        </w:rPr>
        <w:t>.</w:t>
      </w:r>
      <w:r w:rsidR="00AA5930">
        <w:rPr>
          <w:rFonts w:cs="Arial"/>
          <w:szCs w:val="18"/>
        </w:rPr>
        <w:t xml:space="preserve"> E em seu parágrafo único, trouxe a possibilidade de antecipar os efeitos jurisdicionais, deferindo assim o uso e fruição dos bens aos herdeiros, desde que, ao final este bem integre a sua cota parte, responsabilizando-se pelos encargos e vantagens específicos deste bem.</w:t>
      </w:r>
    </w:p>
    <w:bookmarkStart w:id="0" w:name="TARTUCE,_Fernanda"/>
    <w:p w14:paraId="6073A721" w14:textId="4D4A7CA5" w:rsidR="00B72175" w:rsidRDefault="00B72175" w:rsidP="00F4294C">
      <w:pPr>
        <w:pStyle w:val="Ttulo6"/>
        <w:spacing w:before="0" w:beforeAutospacing="0" w:line="360" w:lineRule="auto"/>
        <w:ind w:firstLine="708"/>
        <w:jc w:val="both"/>
        <w:rPr>
          <w:rFonts w:ascii="Arial" w:hAnsi="Arial" w:cs="Arial"/>
          <w:b w:val="0"/>
          <w:sz w:val="24"/>
        </w:rPr>
      </w:pPr>
      <w:r w:rsidRPr="00B72175">
        <w:rPr>
          <w:rFonts w:ascii="Arial" w:hAnsi="Arial" w:cs="Arial"/>
          <w:b w:val="0"/>
          <w:sz w:val="24"/>
          <w:szCs w:val="18"/>
        </w:rPr>
        <w:fldChar w:fldCharType="begin"/>
      </w:r>
      <w:r w:rsidRPr="00B72175">
        <w:rPr>
          <w:rFonts w:ascii="Arial" w:hAnsi="Arial" w:cs="Arial"/>
          <w:b w:val="0"/>
          <w:sz w:val="24"/>
          <w:szCs w:val="18"/>
        </w:rPr>
        <w:instrText xml:space="preserve"> HYPERLINK "javascript:void(0);" </w:instrText>
      </w:r>
      <w:r w:rsidRPr="00B72175">
        <w:rPr>
          <w:rFonts w:ascii="Arial" w:hAnsi="Arial" w:cs="Arial"/>
          <w:b w:val="0"/>
          <w:sz w:val="24"/>
          <w:szCs w:val="18"/>
        </w:rPr>
        <w:fldChar w:fldCharType="separate"/>
      </w:r>
      <w:r w:rsidRPr="00B72175">
        <w:rPr>
          <w:rStyle w:val="Hyperlink"/>
          <w:rFonts w:ascii="Arial" w:hAnsi="Arial" w:cs="Arial"/>
          <w:b w:val="0"/>
          <w:color w:val="auto"/>
          <w:sz w:val="24"/>
          <w:szCs w:val="18"/>
          <w:u w:val="none"/>
        </w:rPr>
        <w:t>TARTUCE, Fernanda</w:t>
      </w:r>
      <w:r w:rsidRPr="00B72175">
        <w:rPr>
          <w:rFonts w:ascii="Arial" w:hAnsi="Arial" w:cs="Arial"/>
          <w:b w:val="0"/>
          <w:sz w:val="24"/>
          <w:szCs w:val="18"/>
        </w:rPr>
        <w:fldChar w:fldCharType="end"/>
      </w:r>
      <w:bookmarkEnd w:id="0"/>
      <w:r>
        <w:rPr>
          <w:rFonts w:ascii="Arial" w:hAnsi="Arial" w:cs="Arial"/>
          <w:b w:val="0"/>
          <w:sz w:val="24"/>
          <w:szCs w:val="18"/>
        </w:rPr>
        <w:t xml:space="preserve"> (201</w:t>
      </w:r>
      <w:r w:rsidR="00B34717">
        <w:rPr>
          <w:rFonts w:ascii="Arial" w:hAnsi="Arial" w:cs="Arial"/>
          <w:b w:val="0"/>
          <w:sz w:val="24"/>
          <w:szCs w:val="18"/>
        </w:rPr>
        <w:t>2</w:t>
      </w:r>
      <w:r>
        <w:rPr>
          <w:rFonts w:ascii="Arial" w:hAnsi="Arial" w:cs="Arial"/>
          <w:b w:val="0"/>
          <w:sz w:val="24"/>
          <w:szCs w:val="18"/>
        </w:rPr>
        <w:t xml:space="preserve">), quando fala sobre </w:t>
      </w:r>
      <w:r w:rsidR="00A65034">
        <w:rPr>
          <w:rFonts w:ascii="Arial" w:hAnsi="Arial" w:cs="Arial"/>
          <w:b w:val="0"/>
          <w:sz w:val="24"/>
          <w:szCs w:val="18"/>
        </w:rPr>
        <w:t xml:space="preserve">os bens </w:t>
      </w:r>
      <w:r w:rsidR="000C6F9E">
        <w:rPr>
          <w:rFonts w:ascii="Arial" w:hAnsi="Arial" w:cs="Arial"/>
          <w:b w:val="0"/>
          <w:sz w:val="24"/>
          <w:szCs w:val="18"/>
        </w:rPr>
        <w:t>insuscetíveis de divisão</w:t>
      </w:r>
      <w:r>
        <w:rPr>
          <w:rFonts w:ascii="Arial" w:hAnsi="Arial" w:cs="Arial"/>
          <w:b w:val="0"/>
          <w:sz w:val="24"/>
          <w:szCs w:val="18"/>
        </w:rPr>
        <w:t>, cita em sua obra o art.</w:t>
      </w:r>
      <w:r w:rsidR="00EF29F7">
        <w:rPr>
          <w:rFonts w:ascii="Arial" w:hAnsi="Arial" w:cs="Arial"/>
          <w:b w:val="0"/>
          <w:sz w:val="24"/>
          <w:szCs w:val="18"/>
        </w:rPr>
        <w:t xml:space="preserve"> </w:t>
      </w:r>
      <w:r>
        <w:rPr>
          <w:rFonts w:ascii="Arial" w:hAnsi="Arial" w:cs="Arial"/>
          <w:b w:val="0"/>
          <w:sz w:val="24"/>
          <w:szCs w:val="18"/>
        </w:rPr>
        <w:t>6</w:t>
      </w:r>
      <w:r w:rsidR="00170126">
        <w:rPr>
          <w:rFonts w:ascii="Arial" w:hAnsi="Arial" w:cs="Arial"/>
          <w:b w:val="0"/>
          <w:sz w:val="24"/>
          <w:szCs w:val="18"/>
        </w:rPr>
        <w:t>4</w:t>
      </w:r>
      <w:r w:rsidR="005129EF">
        <w:rPr>
          <w:rFonts w:ascii="Arial" w:hAnsi="Arial" w:cs="Arial"/>
          <w:b w:val="0"/>
          <w:sz w:val="24"/>
          <w:szCs w:val="18"/>
        </w:rPr>
        <w:t xml:space="preserve">8 </w:t>
      </w:r>
      <w:r>
        <w:rPr>
          <w:rFonts w:ascii="Arial" w:hAnsi="Arial" w:cs="Arial"/>
          <w:b w:val="0"/>
          <w:sz w:val="24"/>
          <w:szCs w:val="18"/>
        </w:rPr>
        <w:t>do NCPC</w:t>
      </w:r>
      <w:r w:rsidR="000C5754">
        <w:rPr>
          <w:rFonts w:ascii="Arial" w:hAnsi="Arial" w:cs="Arial"/>
          <w:b w:val="0"/>
          <w:sz w:val="24"/>
          <w:szCs w:val="18"/>
        </w:rPr>
        <w:t xml:space="preserve">. Este dispositivo </w:t>
      </w:r>
      <w:r>
        <w:rPr>
          <w:rFonts w:ascii="Arial" w:hAnsi="Arial" w:cs="Arial"/>
          <w:b w:val="0"/>
          <w:sz w:val="24"/>
          <w:szCs w:val="18"/>
        </w:rPr>
        <w:t xml:space="preserve">inova ao direito sucessório </w:t>
      </w:r>
      <w:r w:rsidR="00CC45CD">
        <w:rPr>
          <w:rFonts w:ascii="Arial" w:hAnsi="Arial" w:cs="Arial"/>
          <w:b w:val="0"/>
          <w:sz w:val="24"/>
          <w:szCs w:val="18"/>
        </w:rPr>
        <w:t xml:space="preserve">demonstrando </w:t>
      </w:r>
      <w:r>
        <w:rPr>
          <w:rFonts w:ascii="Arial" w:hAnsi="Arial" w:cs="Arial"/>
          <w:b w:val="0"/>
          <w:sz w:val="24"/>
          <w:szCs w:val="18"/>
        </w:rPr>
        <w:t xml:space="preserve">que não </w:t>
      </w:r>
      <w:r w:rsidR="0072441A">
        <w:rPr>
          <w:rFonts w:ascii="Arial" w:hAnsi="Arial" w:cs="Arial"/>
          <w:b w:val="0"/>
          <w:sz w:val="24"/>
          <w:szCs w:val="18"/>
        </w:rPr>
        <w:t>existia no código anterior, neste caso, haverá a interferência do juiz, reforçando assim o texto d</w:t>
      </w:r>
      <w:r w:rsidR="00546575">
        <w:rPr>
          <w:rFonts w:ascii="Arial" w:hAnsi="Arial" w:cs="Arial"/>
          <w:b w:val="0"/>
          <w:sz w:val="24"/>
          <w:szCs w:val="18"/>
        </w:rPr>
        <w:t xml:space="preserve">o </w:t>
      </w:r>
      <w:r w:rsidR="00546575" w:rsidRPr="00546575">
        <w:rPr>
          <w:rFonts w:ascii="Arial" w:hAnsi="Arial" w:cs="Arial"/>
          <w:b w:val="0"/>
          <w:sz w:val="24"/>
        </w:rPr>
        <w:t>artigo 2.017 do Código Civil</w:t>
      </w:r>
      <w:r w:rsidR="00691C8A">
        <w:rPr>
          <w:rFonts w:ascii="Arial" w:hAnsi="Arial" w:cs="Arial"/>
          <w:b w:val="0"/>
          <w:sz w:val="24"/>
        </w:rPr>
        <w:t>, que reza:</w:t>
      </w:r>
    </w:p>
    <w:p w14:paraId="2CF75280" w14:textId="6CB19CB7" w:rsidR="00691C8A" w:rsidRPr="00691C8A" w:rsidRDefault="00691C8A" w:rsidP="00691C8A">
      <w:pPr>
        <w:pStyle w:val="Ttulo6"/>
        <w:spacing w:after="0" w:afterAutospacing="0"/>
        <w:ind w:left="2835"/>
        <w:jc w:val="both"/>
        <w:rPr>
          <w:rFonts w:ascii="Arial" w:hAnsi="Arial" w:cs="Arial"/>
          <w:b w:val="0"/>
          <w:sz w:val="22"/>
          <w:szCs w:val="18"/>
        </w:rPr>
      </w:pPr>
      <w:r w:rsidRPr="00691C8A">
        <w:rPr>
          <w:rFonts w:ascii="Arial" w:hAnsi="Arial" w:cs="Arial"/>
          <w:b w:val="0"/>
          <w:sz w:val="22"/>
          <w:szCs w:val="18"/>
        </w:rPr>
        <w:t>Art. 648. Na partilha, serão observadas as seguintes regras:</w:t>
      </w:r>
    </w:p>
    <w:p w14:paraId="254D17FF" w14:textId="59BBE84B" w:rsidR="00691C8A" w:rsidRPr="00691C8A" w:rsidRDefault="00691C8A" w:rsidP="00691C8A">
      <w:pPr>
        <w:autoSpaceDE w:val="0"/>
        <w:autoSpaceDN w:val="0"/>
        <w:adjustRightInd w:val="0"/>
        <w:spacing w:after="0" w:line="240" w:lineRule="auto"/>
        <w:ind w:left="2835"/>
        <w:jc w:val="left"/>
        <w:rPr>
          <w:rFonts w:cs="Arial"/>
          <w:sz w:val="22"/>
          <w:szCs w:val="18"/>
        </w:rPr>
      </w:pPr>
      <w:r w:rsidRPr="00691C8A">
        <w:rPr>
          <w:rFonts w:cs="Arial"/>
          <w:sz w:val="22"/>
          <w:szCs w:val="18"/>
        </w:rPr>
        <w:t xml:space="preserve">I – </w:t>
      </w:r>
      <w:r>
        <w:rPr>
          <w:rFonts w:cs="Arial"/>
          <w:sz w:val="22"/>
          <w:szCs w:val="18"/>
        </w:rPr>
        <w:t>A</w:t>
      </w:r>
      <w:r w:rsidRPr="00691C8A">
        <w:rPr>
          <w:rFonts w:cs="Arial"/>
          <w:sz w:val="22"/>
          <w:szCs w:val="18"/>
        </w:rPr>
        <w:t xml:space="preserve"> máxima igualdade possível quanto ao valor, à natureza e à qualidade dos bens;</w:t>
      </w:r>
    </w:p>
    <w:p w14:paraId="199E560D" w14:textId="49C504FC" w:rsidR="00691C8A" w:rsidRPr="00691C8A" w:rsidRDefault="00691C8A" w:rsidP="00691C8A">
      <w:pPr>
        <w:autoSpaceDE w:val="0"/>
        <w:autoSpaceDN w:val="0"/>
        <w:adjustRightInd w:val="0"/>
        <w:spacing w:after="0" w:line="240" w:lineRule="auto"/>
        <w:ind w:left="2835"/>
        <w:jc w:val="left"/>
        <w:rPr>
          <w:rFonts w:cs="Arial"/>
          <w:sz w:val="22"/>
          <w:szCs w:val="18"/>
        </w:rPr>
      </w:pPr>
      <w:r w:rsidRPr="00691C8A">
        <w:rPr>
          <w:rFonts w:cs="Arial"/>
          <w:sz w:val="22"/>
          <w:szCs w:val="18"/>
        </w:rPr>
        <w:t xml:space="preserve">II – </w:t>
      </w:r>
      <w:r>
        <w:rPr>
          <w:rFonts w:cs="Arial"/>
          <w:sz w:val="22"/>
          <w:szCs w:val="18"/>
        </w:rPr>
        <w:t>A</w:t>
      </w:r>
      <w:r w:rsidRPr="00691C8A">
        <w:rPr>
          <w:rFonts w:cs="Arial"/>
          <w:sz w:val="22"/>
          <w:szCs w:val="18"/>
        </w:rPr>
        <w:t xml:space="preserve"> prevenção de litígios futuros;</w:t>
      </w:r>
    </w:p>
    <w:p w14:paraId="65DB78E2" w14:textId="0A077243" w:rsidR="00031049" w:rsidRDefault="00691C8A" w:rsidP="002736BB">
      <w:pPr>
        <w:pStyle w:val="Ttulo6"/>
        <w:spacing w:before="0" w:beforeAutospacing="0" w:after="240" w:afterAutospacing="0"/>
        <w:ind w:left="2835"/>
        <w:jc w:val="both"/>
        <w:rPr>
          <w:rFonts w:ascii="Arial" w:hAnsi="Arial" w:cs="Arial"/>
          <w:b w:val="0"/>
          <w:sz w:val="22"/>
          <w:szCs w:val="18"/>
        </w:rPr>
      </w:pPr>
      <w:r w:rsidRPr="00691C8A">
        <w:rPr>
          <w:rFonts w:ascii="Arial" w:hAnsi="Arial" w:cs="Arial"/>
          <w:b w:val="0"/>
          <w:sz w:val="22"/>
          <w:szCs w:val="18"/>
        </w:rPr>
        <w:t xml:space="preserve">III – </w:t>
      </w:r>
      <w:r>
        <w:rPr>
          <w:rFonts w:ascii="Arial" w:hAnsi="Arial" w:cs="Arial"/>
          <w:b w:val="0"/>
          <w:sz w:val="22"/>
          <w:szCs w:val="18"/>
        </w:rPr>
        <w:t>A</w:t>
      </w:r>
      <w:r w:rsidRPr="00691C8A">
        <w:rPr>
          <w:rFonts w:ascii="Arial" w:hAnsi="Arial" w:cs="Arial"/>
          <w:b w:val="0"/>
          <w:sz w:val="22"/>
          <w:szCs w:val="18"/>
        </w:rPr>
        <w:t xml:space="preserve"> máxima comodidade dos coerdeiros, do cônjuge ou do companheiro, se for o caso.</w:t>
      </w:r>
    </w:p>
    <w:p w14:paraId="5AB73839" w14:textId="02361C68" w:rsidR="00263321" w:rsidRDefault="002736BB" w:rsidP="002736BB">
      <w:pPr>
        <w:pStyle w:val="Ttulo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sz w:val="24"/>
          <w:szCs w:val="18"/>
        </w:rPr>
      </w:pPr>
      <w:r w:rsidRPr="004276B1">
        <w:rPr>
          <w:rFonts w:ascii="Arial" w:hAnsi="Arial" w:cs="Arial"/>
          <w:b w:val="0"/>
          <w:sz w:val="24"/>
          <w:szCs w:val="18"/>
        </w:rPr>
        <w:t xml:space="preserve">Em relação ao nascituro, o art. 650, prevê que o quinhão que lhes for devido, ficará em poder do inventariante até o seu nascimento, sendo que este inventário não poderá ser extrajudicial. </w:t>
      </w:r>
    </w:p>
    <w:p w14:paraId="3CF72E6E" w14:textId="1228BAF0" w:rsidR="00403D51" w:rsidRDefault="00403D51" w:rsidP="008F51BB">
      <w:pPr>
        <w:pStyle w:val="Ttulo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403D51">
        <w:rPr>
          <w:rFonts w:ascii="Arial" w:hAnsi="Arial" w:cs="Arial"/>
          <w:b w:val="0"/>
          <w:sz w:val="24"/>
        </w:rPr>
        <w:t xml:space="preserve">Mais uma modificação trazida pelo NCPC, foi com o arrolamento sumário, nele pode ocorrer a translação dos títulos antes de quitados os impostos da Fazenda Pública, que posteriormente </w:t>
      </w:r>
      <w:r>
        <w:rPr>
          <w:rFonts w:ascii="Arial" w:hAnsi="Arial" w:cs="Arial"/>
          <w:b w:val="0"/>
          <w:sz w:val="24"/>
        </w:rPr>
        <w:t>será contabilizado administrativamente</w:t>
      </w:r>
      <w:r w:rsidR="00294BD4">
        <w:rPr>
          <w:rFonts w:ascii="Arial" w:hAnsi="Arial" w:cs="Arial"/>
          <w:b w:val="0"/>
          <w:sz w:val="24"/>
        </w:rPr>
        <w:t>, não ficando assim os bens dos herdeiros adstritos ao saldo devedor.</w:t>
      </w:r>
    </w:p>
    <w:p w14:paraId="3F985610" w14:textId="747EB5FE" w:rsidR="003B50A6" w:rsidRDefault="003B50A6" w:rsidP="008F51BB">
      <w:pPr>
        <w:pStyle w:val="Ttulo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Outra mudança</w:t>
      </w:r>
      <w:r w:rsidR="00B1026C">
        <w:rPr>
          <w:rFonts w:ascii="Arial" w:hAnsi="Arial" w:cs="Arial"/>
          <w:b w:val="0"/>
          <w:sz w:val="24"/>
        </w:rPr>
        <w:t xml:space="preserve"> ocorrida, foi referente ao foro de domicílio do autor da herança, para que seja aberto e processado o inventário, vejamos o art. 48 e seguintes do NCPC:</w:t>
      </w:r>
    </w:p>
    <w:p w14:paraId="35509C8E" w14:textId="1170F2B2" w:rsidR="003B50A6" w:rsidRPr="00B1026C" w:rsidRDefault="003B50A6" w:rsidP="00B1026C">
      <w:pPr>
        <w:autoSpaceDE w:val="0"/>
        <w:autoSpaceDN w:val="0"/>
        <w:adjustRightInd w:val="0"/>
        <w:spacing w:after="0" w:line="240" w:lineRule="auto"/>
        <w:ind w:left="2835"/>
        <w:rPr>
          <w:rFonts w:cs="Arial"/>
          <w:sz w:val="22"/>
        </w:rPr>
      </w:pPr>
      <w:r w:rsidRPr="00B1026C">
        <w:rPr>
          <w:rFonts w:cs="Arial"/>
          <w:sz w:val="22"/>
        </w:rPr>
        <w:t>Art. 48. O foro de domicílio do autor da herança, no Brasil, é o competente para o inventário,</w:t>
      </w:r>
      <w:r w:rsidR="00B1026C">
        <w:rPr>
          <w:rFonts w:cs="Arial"/>
          <w:sz w:val="22"/>
        </w:rPr>
        <w:t xml:space="preserve"> </w:t>
      </w:r>
      <w:r w:rsidRPr="00B1026C">
        <w:rPr>
          <w:rFonts w:cs="Arial"/>
          <w:sz w:val="22"/>
        </w:rPr>
        <w:t>a partilha, a arrecadação, o cumprimento de disposições de última vontade, a</w:t>
      </w:r>
      <w:r w:rsidR="00B1026C">
        <w:rPr>
          <w:rFonts w:cs="Arial"/>
          <w:sz w:val="22"/>
        </w:rPr>
        <w:t xml:space="preserve"> </w:t>
      </w:r>
      <w:r w:rsidRPr="00B1026C">
        <w:rPr>
          <w:rFonts w:cs="Arial"/>
          <w:sz w:val="22"/>
        </w:rPr>
        <w:t>impugnação ou anulação de partilha extrajudicial e para todas as ações em que o espólio</w:t>
      </w:r>
      <w:r w:rsidR="00B1026C">
        <w:rPr>
          <w:rFonts w:cs="Arial"/>
          <w:sz w:val="22"/>
        </w:rPr>
        <w:t xml:space="preserve"> </w:t>
      </w:r>
      <w:r w:rsidRPr="00B1026C">
        <w:rPr>
          <w:rFonts w:cs="Arial"/>
          <w:sz w:val="22"/>
        </w:rPr>
        <w:t>for réu, ainda que o óbito tenha ocorrido no estrangeiro.</w:t>
      </w:r>
    </w:p>
    <w:p w14:paraId="7092C7BA" w14:textId="367DC62F" w:rsidR="003B50A6" w:rsidRPr="00B1026C" w:rsidRDefault="003B50A6" w:rsidP="00B30B92">
      <w:pPr>
        <w:autoSpaceDE w:val="0"/>
        <w:autoSpaceDN w:val="0"/>
        <w:adjustRightInd w:val="0"/>
        <w:spacing w:after="0" w:line="240" w:lineRule="auto"/>
        <w:ind w:left="2835"/>
        <w:rPr>
          <w:rFonts w:cs="Arial"/>
          <w:sz w:val="22"/>
        </w:rPr>
      </w:pPr>
      <w:r w:rsidRPr="00B1026C">
        <w:rPr>
          <w:rFonts w:cs="Arial"/>
          <w:sz w:val="22"/>
        </w:rPr>
        <w:t>Parágrafo único. Se o autor da herança não possuía domicílio certo, é competente:</w:t>
      </w:r>
    </w:p>
    <w:p w14:paraId="4A052A19" w14:textId="373FC98D" w:rsidR="003B50A6" w:rsidRPr="00B1026C" w:rsidRDefault="003B50A6" w:rsidP="00B30B92">
      <w:pPr>
        <w:autoSpaceDE w:val="0"/>
        <w:autoSpaceDN w:val="0"/>
        <w:adjustRightInd w:val="0"/>
        <w:spacing w:after="0" w:line="240" w:lineRule="auto"/>
        <w:ind w:left="2835"/>
        <w:rPr>
          <w:rFonts w:cs="Arial"/>
          <w:sz w:val="22"/>
        </w:rPr>
      </w:pPr>
      <w:r w:rsidRPr="00B1026C">
        <w:rPr>
          <w:rFonts w:cs="Arial"/>
          <w:sz w:val="22"/>
        </w:rPr>
        <w:t xml:space="preserve">I – </w:t>
      </w:r>
      <w:r w:rsidR="00B1026C" w:rsidRPr="00B1026C">
        <w:rPr>
          <w:rFonts w:cs="Arial"/>
          <w:sz w:val="22"/>
        </w:rPr>
        <w:t>O</w:t>
      </w:r>
      <w:r w:rsidRPr="00B1026C">
        <w:rPr>
          <w:rFonts w:cs="Arial"/>
          <w:sz w:val="22"/>
        </w:rPr>
        <w:t xml:space="preserve"> foro de situação dos bens imóveis;</w:t>
      </w:r>
    </w:p>
    <w:p w14:paraId="432CE0EA" w14:textId="7479476B" w:rsidR="003B50A6" w:rsidRPr="00B1026C" w:rsidRDefault="003B50A6" w:rsidP="00B30B92">
      <w:pPr>
        <w:autoSpaceDE w:val="0"/>
        <w:autoSpaceDN w:val="0"/>
        <w:adjustRightInd w:val="0"/>
        <w:spacing w:after="0" w:line="240" w:lineRule="auto"/>
        <w:ind w:left="2835"/>
        <w:rPr>
          <w:rFonts w:cs="Arial"/>
          <w:sz w:val="22"/>
        </w:rPr>
      </w:pPr>
      <w:r w:rsidRPr="00B1026C">
        <w:rPr>
          <w:rFonts w:cs="Arial"/>
          <w:sz w:val="22"/>
        </w:rPr>
        <w:t xml:space="preserve">II – </w:t>
      </w:r>
      <w:r w:rsidR="00B1026C" w:rsidRPr="00B1026C">
        <w:rPr>
          <w:rFonts w:cs="Arial"/>
          <w:sz w:val="22"/>
        </w:rPr>
        <w:t>Havendo</w:t>
      </w:r>
      <w:r w:rsidRPr="00B1026C">
        <w:rPr>
          <w:rFonts w:cs="Arial"/>
          <w:sz w:val="22"/>
        </w:rPr>
        <w:t xml:space="preserve"> bens imóveis em foros diferentes, qualquer destes;</w:t>
      </w:r>
    </w:p>
    <w:p w14:paraId="4DD3A4BA" w14:textId="3BCD6032" w:rsidR="008F51BB" w:rsidRPr="00B1026C" w:rsidRDefault="003B50A6" w:rsidP="00193B69">
      <w:pPr>
        <w:pStyle w:val="Ttulo6"/>
        <w:spacing w:before="0" w:beforeAutospacing="0" w:after="240" w:afterAutospacing="0"/>
        <w:ind w:left="2835"/>
        <w:jc w:val="both"/>
        <w:rPr>
          <w:rFonts w:ascii="Arial" w:hAnsi="Arial" w:cs="Arial"/>
          <w:b w:val="0"/>
          <w:sz w:val="22"/>
          <w:szCs w:val="22"/>
        </w:rPr>
      </w:pPr>
      <w:r w:rsidRPr="00B1026C">
        <w:rPr>
          <w:rFonts w:ascii="Arial" w:hAnsi="Arial" w:cs="Arial"/>
          <w:b w:val="0"/>
          <w:sz w:val="22"/>
          <w:szCs w:val="22"/>
        </w:rPr>
        <w:t xml:space="preserve">III – </w:t>
      </w:r>
      <w:r w:rsidR="00B1026C">
        <w:rPr>
          <w:rFonts w:ascii="Arial" w:hAnsi="Arial" w:cs="Arial"/>
          <w:b w:val="0"/>
          <w:sz w:val="22"/>
          <w:szCs w:val="22"/>
        </w:rPr>
        <w:t>N</w:t>
      </w:r>
      <w:r w:rsidRPr="00B1026C">
        <w:rPr>
          <w:rFonts w:ascii="Arial" w:hAnsi="Arial" w:cs="Arial"/>
          <w:b w:val="0"/>
          <w:sz w:val="22"/>
          <w:szCs w:val="22"/>
        </w:rPr>
        <w:t>ão havendo bens imóveis, o foro do local de qualquer dos</w:t>
      </w:r>
      <w:r w:rsidR="00B30B92">
        <w:rPr>
          <w:rFonts w:ascii="Arial" w:hAnsi="Arial" w:cs="Arial"/>
          <w:b w:val="0"/>
          <w:sz w:val="22"/>
          <w:szCs w:val="22"/>
        </w:rPr>
        <w:t xml:space="preserve"> b</w:t>
      </w:r>
      <w:r w:rsidRPr="00B1026C">
        <w:rPr>
          <w:rFonts w:ascii="Arial" w:hAnsi="Arial" w:cs="Arial"/>
          <w:b w:val="0"/>
          <w:sz w:val="22"/>
          <w:szCs w:val="22"/>
        </w:rPr>
        <w:t>ens do espólio.</w:t>
      </w:r>
    </w:p>
    <w:p w14:paraId="684C8AE7" w14:textId="26468F6D" w:rsidR="00EC1F53" w:rsidRPr="00403D51" w:rsidRDefault="0082263E" w:rsidP="00455C35">
      <w:pPr>
        <w:pStyle w:val="Ttulo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lastRenderedPageBreak/>
        <w:t xml:space="preserve">A incompetência territorial (de foro), </w:t>
      </w:r>
      <w:proofErr w:type="spellStart"/>
      <w:r>
        <w:rPr>
          <w:rFonts w:ascii="Arial" w:hAnsi="Arial" w:cs="Arial"/>
          <w:b w:val="0"/>
          <w:sz w:val="24"/>
        </w:rPr>
        <w:t>devera</w:t>
      </w:r>
      <w:proofErr w:type="spellEnd"/>
      <w:r>
        <w:rPr>
          <w:rFonts w:ascii="Arial" w:hAnsi="Arial" w:cs="Arial"/>
          <w:b w:val="0"/>
          <w:sz w:val="24"/>
        </w:rPr>
        <w:t xml:space="preserve"> ser arguida em preliminar de contestação, caso contrário esta competência será prorrogada, conforme o art. 65.</w:t>
      </w:r>
    </w:p>
    <w:p w14:paraId="7A38C323" w14:textId="7997C66C" w:rsidR="00403D51" w:rsidRDefault="00271D76" w:rsidP="00B45EFD">
      <w:pPr>
        <w:pStyle w:val="Ttulo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F457BA">
        <w:rPr>
          <w:rFonts w:ascii="Arial" w:hAnsi="Arial" w:cs="Arial"/>
          <w:b w:val="0"/>
          <w:sz w:val="24"/>
          <w:szCs w:val="24"/>
        </w:rPr>
        <w:t>Conforme o Art</w:t>
      </w:r>
      <w:r w:rsidRPr="00455C35">
        <w:rPr>
          <w:rFonts w:ascii="Arial" w:hAnsi="Arial" w:cs="Arial"/>
          <w:b w:val="0"/>
          <w:sz w:val="24"/>
          <w:szCs w:val="24"/>
        </w:rPr>
        <w:t>. 626</w:t>
      </w:r>
      <w:r w:rsidR="00005EBF" w:rsidRPr="00455C35">
        <w:rPr>
          <w:rFonts w:ascii="Arial" w:hAnsi="Arial" w:cs="Arial"/>
          <w:b w:val="0"/>
          <w:sz w:val="24"/>
          <w:szCs w:val="24"/>
        </w:rPr>
        <w:t>, §§ 1º e 3º</w:t>
      </w:r>
      <w:r w:rsidRPr="00455C35">
        <w:rPr>
          <w:rFonts w:ascii="Arial" w:hAnsi="Arial" w:cs="Arial"/>
          <w:b w:val="0"/>
          <w:sz w:val="24"/>
          <w:szCs w:val="24"/>
        </w:rPr>
        <w:t>, as citações dos sucessores</w:t>
      </w:r>
      <w:r w:rsidR="00005EBF" w:rsidRPr="00455C35">
        <w:rPr>
          <w:rFonts w:ascii="Arial" w:hAnsi="Arial" w:cs="Arial"/>
          <w:b w:val="0"/>
          <w:sz w:val="24"/>
          <w:szCs w:val="24"/>
        </w:rPr>
        <w:t>, deverá ser feita pelos correios, com cópia das primeiras declar</w:t>
      </w:r>
      <w:r w:rsidR="00005EBF" w:rsidRPr="006B57C3">
        <w:rPr>
          <w:rFonts w:ascii="Arial" w:hAnsi="Arial" w:cs="Arial"/>
          <w:b w:val="0"/>
          <w:sz w:val="24"/>
          <w:szCs w:val="24"/>
        </w:rPr>
        <w:t>ações.</w:t>
      </w:r>
      <w:r w:rsidR="006B57C3" w:rsidRPr="006B57C3">
        <w:rPr>
          <w:rFonts w:ascii="Arial" w:hAnsi="Arial" w:cs="Arial"/>
          <w:b w:val="0"/>
          <w:sz w:val="24"/>
          <w:szCs w:val="24"/>
        </w:rPr>
        <w:t xml:space="preserve"> O Ministério Público, a Fazenda Pública, e o testamenteiro, também serão. </w:t>
      </w:r>
    </w:p>
    <w:p w14:paraId="489C53BE" w14:textId="77777777" w:rsidR="0031272F" w:rsidRDefault="00AB4E0E" w:rsidP="002B7928">
      <w:pPr>
        <w:pStyle w:val="Ttulo6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iCs/>
          <w:sz w:val="24"/>
        </w:rPr>
      </w:pPr>
      <w:r w:rsidRPr="00737E06">
        <w:rPr>
          <w:rFonts w:ascii="Arial" w:hAnsi="Arial" w:cs="Arial"/>
          <w:b w:val="0"/>
          <w:sz w:val="24"/>
          <w:szCs w:val="24"/>
        </w:rPr>
        <w:t xml:space="preserve">Vale citar também a mudança no valor dos bens do espólio, para que seja processado na forma de arrolamento. Segundo reza o artigo 664, do NCPC, </w:t>
      </w:r>
      <w:r w:rsidR="00356622">
        <w:rPr>
          <w:rFonts w:ascii="Arial" w:hAnsi="Arial" w:cs="Arial"/>
          <w:b w:val="0"/>
          <w:sz w:val="24"/>
          <w:szCs w:val="24"/>
        </w:rPr>
        <w:t xml:space="preserve">o arrolamento comum </w:t>
      </w:r>
      <w:r w:rsidRPr="00737E06">
        <w:rPr>
          <w:rFonts w:ascii="Arial" w:hAnsi="Arial" w:cs="Arial"/>
          <w:b w:val="0"/>
          <w:sz w:val="24"/>
          <w:szCs w:val="24"/>
        </w:rPr>
        <w:t>passou a ser de val</w:t>
      </w:r>
      <w:r w:rsidRPr="00737E06">
        <w:rPr>
          <w:rFonts w:ascii="Arial" w:hAnsi="Arial" w:cs="Arial"/>
          <w:b w:val="0"/>
          <w:iCs/>
          <w:sz w:val="24"/>
        </w:rPr>
        <w:t xml:space="preserve">or igual ou inferior a </w:t>
      </w:r>
      <w:r w:rsidR="00747902">
        <w:rPr>
          <w:rFonts w:ascii="Arial" w:hAnsi="Arial" w:cs="Arial"/>
          <w:b w:val="0"/>
          <w:iCs/>
          <w:sz w:val="24"/>
        </w:rPr>
        <w:t>um</w:t>
      </w:r>
      <w:r w:rsidR="00737E06" w:rsidRPr="00737E06">
        <w:rPr>
          <w:rFonts w:ascii="Arial" w:hAnsi="Arial" w:cs="Arial"/>
          <w:b w:val="0"/>
          <w:iCs/>
          <w:sz w:val="24"/>
        </w:rPr>
        <w:t xml:space="preserve"> mil salários-mínimos.</w:t>
      </w:r>
    </w:p>
    <w:p w14:paraId="0FC7157D" w14:textId="21AB9DD7" w:rsidR="0031272F" w:rsidRDefault="0031272F" w:rsidP="0031272F">
      <w:pPr>
        <w:autoSpaceDE w:val="0"/>
        <w:autoSpaceDN w:val="0"/>
        <w:adjustRightInd w:val="0"/>
        <w:spacing w:after="0" w:line="360" w:lineRule="auto"/>
        <w:ind w:firstLine="709"/>
        <w:rPr>
          <w:rFonts w:cs="Arial"/>
          <w:szCs w:val="24"/>
        </w:rPr>
      </w:pPr>
      <w:r w:rsidRPr="0031272F">
        <w:rPr>
          <w:rFonts w:cs="Arial"/>
          <w:szCs w:val="24"/>
        </w:rPr>
        <w:t>Conforme redação dada pelo art. 665</w:t>
      </w:r>
      <w:r>
        <w:rPr>
          <w:rFonts w:cs="Arial"/>
          <w:szCs w:val="24"/>
        </w:rPr>
        <w:t>, dispõe que:</w:t>
      </w:r>
      <w:r w:rsidRPr="0031272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“</w:t>
      </w:r>
      <w:r w:rsidRPr="0031272F">
        <w:rPr>
          <w:rFonts w:cs="Arial"/>
          <w:szCs w:val="24"/>
        </w:rPr>
        <w:t>O inventário processar-se-á também na forma do art. 664, ainda que haja</w:t>
      </w:r>
      <w:r>
        <w:rPr>
          <w:rFonts w:cs="Arial"/>
          <w:szCs w:val="24"/>
        </w:rPr>
        <w:t xml:space="preserve"> </w:t>
      </w:r>
      <w:r w:rsidRPr="0031272F">
        <w:rPr>
          <w:rFonts w:cs="Arial"/>
          <w:szCs w:val="24"/>
        </w:rPr>
        <w:t>interessado incapaz, desde que concordem todas as partes e o Ministério Público.</w:t>
      </w:r>
      <w:r>
        <w:rPr>
          <w:rFonts w:cs="Arial"/>
          <w:szCs w:val="24"/>
        </w:rPr>
        <w:t>”</w:t>
      </w:r>
    </w:p>
    <w:p w14:paraId="4FD2F5B4" w14:textId="4A3CCF7B" w:rsidR="000C5D93" w:rsidRDefault="000C5D93" w:rsidP="0031272F">
      <w:pPr>
        <w:autoSpaceDE w:val="0"/>
        <w:autoSpaceDN w:val="0"/>
        <w:adjustRightInd w:val="0"/>
        <w:spacing w:after="0" w:line="360" w:lineRule="auto"/>
        <w:ind w:firstLine="709"/>
        <w:rPr>
          <w:rFonts w:cs="Arial"/>
          <w:szCs w:val="24"/>
        </w:rPr>
      </w:pPr>
      <w:r>
        <w:rPr>
          <w:rFonts w:cs="Arial"/>
          <w:szCs w:val="24"/>
        </w:rPr>
        <w:t>Destarte, vale ressaltar que esta modalidade (pouco usada antigamente) agora pode levar a possibilidade de processamento, mesmo que haja algum interessado incapaz</w:t>
      </w:r>
      <w:r w:rsidR="00A03CE3">
        <w:rPr>
          <w:rFonts w:cs="Arial"/>
          <w:szCs w:val="24"/>
        </w:rPr>
        <w:t xml:space="preserve">, conforme dispositivo legal citado acima. </w:t>
      </w:r>
    </w:p>
    <w:p w14:paraId="19F073E2" w14:textId="6B4C666A" w:rsidR="00A47413" w:rsidRPr="00141ED6" w:rsidRDefault="00A47413" w:rsidP="00141ED6">
      <w:pPr>
        <w:autoSpaceDE w:val="0"/>
        <w:autoSpaceDN w:val="0"/>
        <w:adjustRightInd w:val="0"/>
        <w:spacing w:after="0" w:line="360" w:lineRule="auto"/>
        <w:ind w:firstLine="709"/>
        <w:rPr>
          <w:rFonts w:cs="Arial"/>
          <w:szCs w:val="24"/>
        </w:rPr>
      </w:pPr>
      <w:r>
        <w:t>O arrolamento sumário</w:t>
      </w:r>
      <w:r w:rsidR="007C7F5E">
        <w:t>, (independe de valor) está regulado nos</w:t>
      </w:r>
      <w:r>
        <w:t xml:space="preserve"> art</w:t>
      </w:r>
      <w:r w:rsidR="007C7F5E">
        <w:t>.</w:t>
      </w:r>
      <w:r>
        <w:t xml:space="preserve"> 659 a 663. Cabe quando há acordo entre todos os interessados, maiores e capazes ou há apenas um único herdeiro ou legatário.</w:t>
      </w:r>
      <w:r w:rsidR="00141ED6">
        <w:t xml:space="preserve"> Esta partilha, será homologada antes de ser recolhido o ITCM</w:t>
      </w:r>
      <w:r w:rsidR="009623FA">
        <w:t>D</w:t>
      </w:r>
      <w:r w:rsidR="00141ED6">
        <w:t>. O novo procedimento, não abrangeu o art. 192 do CTN, mas ainda utiliza a regra do art. 662, § 2º, vejamos: “</w:t>
      </w:r>
      <w:r w:rsidR="00742D5F">
        <w:t xml:space="preserve">§ </w:t>
      </w:r>
      <w:r w:rsidR="00141ED6" w:rsidRPr="00141ED6">
        <w:rPr>
          <w:rFonts w:cs="Arial"/>
          <w:szCs w:val="24"/>
        </w:rPr>
        <w:t>2º O imposto de transmissão será objeto de lançamento administrativo, conforme dispuser</w:t>
      </w:r>
      <w:r w:rsidR="00141ED6">
        <w:rPr>
          <w:rFonts w:cs="Arial"/>
          <w:szCs w:val="24"/>
        </w:rPr>
        <w:t xml:space="preserve"> </w:t>
      </w:r>
      <w:r w:rsidR="00141ED6" w:rsidRPr="00141ED6">
        <w:rPr>
          <w:rFonts w:cs="Arial"/>
          <w:szCs w:val="24"/>
        </w:rPr>
        <w:t>a legislação tributária, não ficando as autoridades fazendárias adstritas aos valores dos bens</w:t>
      </w:r>
      <w:r w:rsidR="00141ED6">
        <w:rPr>
          <w:rFonts w:cs="Arial"/>
          <w:szCs w:val="24"/>
        </w:rPr>
        <w:t xml:space="preserve"> </w:t>
      </w:r>
      <w:r w:rsidR="00141ED6" w:rsidRPr="00141ED6">
        <w:rPr>
          <w:rFonts w:cs="Arial"/>
          <w:szCs w:val="24"/>
        </w:rPr>
        <w:t>do espólio atribuídos pelos herdeiros.</w:t>
      </w:r>
      <w:r w:rsidR="00141ED6">
        <w:rPr>
          <w:rFonts w:cs="Arial"/>
          <w:szCs w:val="24"/>
        </w:rPr>
        <w:t>”</w:t>
      </w:r>
    </w:p>
    <w:p w14:paraId="2AD2290B" w14:textId="350E8F19" w:rsidR="009700AC" w:rsidRDefault="002B7928" w:rsidP="0031272F">
      <w:pPr>
        <w:autoSpaceDE w:val="0"/>
        <w:autoSpaceDN w:val="0"/>
        <w:adjustRightInd w:val="0"/>
        <w:spacing w:after="0" w:line="360" w:lineRule="auto"/>
        <w:ind w:firstLine="709"/>
        <w:rPr>
          <w:rFonts w:cs="Arial"/>
          <w:szCs w:val="24"/>
        </w:rPr>
      </w:pPr>
      <w:r w:rsidRPr="0031272F">
        <w:rPr>
          <w:rFonts w:cs="Arial"/>
          <w:szCs w:val="24"/>
        </w:rPr>
        <w:t>No disposto pelo art. 6</w:t>
      </w:r>
      <w:r w:rsidR="00B26657">
        <w:rPr>
          <w:rFonts w:cs="Arial"/>
          <w:szCs w:val="24"/>
        </w:rPr>
        <w:t>1</w:t>
      </w:r>
      <w:r w:rsidRPr="0031272F">
        <w:rPr>
          <w:rFonts w:cs="Arial"/>
          <w:szCs w:val="24"/>
        </w:rPr>
        <w:t>7, incisos IV e VI, trouxe a inovação em que possibilita o herdeiro menor (representado ou assistido) e do cessionário, serem designados como inventariantes.</w:t>
      </w:r>
    </w:p>
    <w:p w14:paraId="253DBD27" w14:textId="22BC3B4B" w:rsidR="001963BC" w:rsidRDefault="00DE3674" w:rsidP="00DE3674">
      <w:pPr>
        <w:autoSpaceDE w:val="0"/>
        <w:autoSpaceDN w:val="0"/>
        <w:adjustRightInd w:val="0"/>
        <w:spacing w:after="0" w:line="360" w:lineRule="auto"/>
        <w:ind w:firstLine="708"/>
        <w:rPr>
          <w:rFonts w:cs="Arial"/>
          <w:szCs w:val="24"/>
        </w:rPr>
      </w:pPr>
      <w:r w:rsidRPr="00DE3674">
        <w:rPr>
          <w:rFonts w:cs="Arial"/>
          <w:szCs w:val="24"/>
        </w:rPr>
        <w:t xml:space="preserve">A colação, que é o valor atribuídos ao bem do inventário, foi a mudança </w:t>
      </w:r>
      <w:r>
        <w:rPr>
          <w:rFonts w:cs="Arial"/>
          <w:szCs w:val="24"/>
        </w:rPr>
        <w:t>mais polêmica do novo código de processo civil. Ele t</w:t>
      </w:r>
      <w:r w:rsidRPr="00DE3674">
        <w:rPr>
          <w:rFonts w:cs="Arial"/>
          <w:szCs w:val="24"/>
        </w:rPr>
        <w:t xml:space="preserve">raz </w:t>
      </w:r>
      <w:r w:rsidR="005108C8">
        <w:rPr>
          <w:rFonts w:cs="Arial"/>
          <w:szCs w:val="24"/>
        </w:rPr>
        <w:t>em seu</w:t>
      </w:r>
      <w:r w:rsidRPr="00DE3674">
        <w:rPr>
          <w:rFonts w:cs="Arial"/>
          <w:szCs w:val="24"/>
        </w:rPr>
        <w:t xml:space="preserve"> art. 639</w:t>
      </w:r>
      <w:r w:rsidR="005108C8">
        <w:rPr>
          <w:rFonts w:cs="Arial"/>
          <w:szCs w:val="24"/>
        </w:rPr>
        <w:t xml:space="preserve">, </w:t>
      </w:r>
      <w:r w:rsidRPr="00DE3674">
        <w:rPr>
          <w:rFonts w:cs="Arial"/>
          <w:szCs w:val="24"/>
        </w:rPr>
        <w:t xml:space="preserve">parágrafo único </w:t>
      </w:r>
      <w:r w:rsidR="005108C8">
        <w:rPr>
          <w:rFonts w:cs="Arial"/>
          <w:szCs w:val="24"/>
        </w:rPr>
        <w:t>a seguinte redação</w:t>
      </w:r>
      <w:r w:rsidRPr="00DE3674">
        <w:rPr>
          <w:rFonts w:cs="Arial"/>
          <w:szCs w:val="24"/>
        </w:rPr>
        <w:t xml:space="preserve">: </w:t>
      </w:r>
      <w:r w:rsidR="005108C8">
        <w:rPr>
          <w:rFonts w:cs="Arial"/>
          <w:szCs w:val="24"/>
        </w:rPr>
        <w:t>“</w:t>
      </w:r>
      <w:r w:rsidRPr="00DE3674">
        <w:rPr>
          <w:rFonts w:cs="Arial"/>
          <w:szCs w:val="24"/>
        </w:rPr>
        <w:t xml:space="preserve">Os bens a serem conferidos na partilha, assim como as acessões e as benfeitorias que o donatário fez, calcular-se-ão pelo valor que tiverem ao tempo </w:t>
      </w:r>
      <w:r w:rsidRPr="006A54C6">
        <w:rPr>
          <w:rFonts w:cs="Arial"/>
          <w:b/>
          <w:szCs w:val="24"/>
          <w:u w:val="single"/>
        </w:rPr>
        <w:t>da abertura da sucessão</w:t>
      </w:r>
      <w:r w:rsidR="005108C8">
        <w:rPr>
          <w:rFonts w:cs="Arial"/>
          <w:szCs w:val="24"/>
        </w:rPr>
        <w:t>”</w:t>
      </w:r>
      <w:r w:rsidR="006A54C6">
        <w:rPr>
          <w:rFonts w:cs="Arial"/>
          <w:szCs w:val="24"/>
        </w:rPr>
        <w:t xml:space="preserve"> (grifo nosso)</w:t>
      </w:r>
      <w:r w:rsidR="005108C8">
        <w:rPr>
          <w:rFonts w:cs="Arial"/>
          <w:szCs w:val="24"/>
        </w:rPr>
        <w:t>, ferindo assim o artigo 2002 do CC/02</w:t>
      </w:r>
      <w:r w:rsidR="001963BC">
        <w:rPr>
          <w:rFonts w:cs="Arial"/>
          <w:szCs w:val="24"/>
        </w:rPr>
        <w:t>, que traz em seu texto a seguinte redação:</w:t>
      </w:r>
      <w:r w:rsidR="00C13FD2">
        <w:rPr>
          <w:rFonts w:cs="Arial"/>
          <w:szCs w:val="24"/>
        </w:rPr>
        <w:t xml:space="preserve"> discussão </w:t>
      </w:r>
    </w:p>
    <w:p w14:paraId="5C916AEE" w14:textId="0C6A51FF" w:rsidR="00945DD5" w:rsidRPr="001963BC" w:rsidRDefault="001963BC" w:rsidP="001963BC">
      <w:pPr>
        <w:autoSpaceDE w:val="0"/>
        <w:autoSpaceDN w:val="0"/>
        <w:adjustRightInd w:val="0"/>
        <w:spacing w:line="240" w:lineRule="auto"/>
        <w:ind w:left="2835"/>
        <w:rPr>
          <w:rFonts w:cs="Arial"/>
          <w:i/>
          <w:szCs w:val="24"/>
        </w:rPr>
      </w:pPr>
      <w:r>
        <w:rPr>
          <w:rFonts w:ascii="Verdana" w:hAnsi="Verdana"/>
          <w:sz w:val="20"/>
          <w:szCs w:val="20"/>
        </w:rPr>
        <w:br/>
      </w:r>
      <w:r w:rsidRPr="001963BC">
        <w:rPr>
          <w:rFonts w:cs="Arial"/>
          <w:sz w:val="22"/>
          <w:szCs w:val="20"/>
        </w:rPr>
        <w:t>Segundo o CC</w:t>
      </w:r>
      <w:r w:rsidRPr="001963BC">
        <w:rPr>
          <w:rFonts w:cs="Arial"/>
          <w:i/>
          <w:sz w:val="22"/>
          <w:szCs w:val="20"/>
        </w:rPr>
        <w:t>, "</w:t>
      </w:r>
      <w:r w:rsidRPr="001963BC">
        <w:rPr>
          <w:rStyle w:val="nfase"/>
          <w:rFonts w:cs="Arial"/>
          <w:i w:val="0"/>
          <w:sz w:val="22"/>
          <w:szCs w:val="20"/>
        </w:rPr>
        <w:t xml:space="preserve">a colação tem por fim igualar, na proporção estabelecida neste Código, as legítimas dos descendentes e do cônjuge sobrevivente, obrigando também os donatários que, ao </w:t>
      </w:r>
      <w:r w:rsidRPr="001963BC">
        <w:rPr>
          <w:rStyle w:val="nfase"/>
          <w:rFonts w:cs="Arial"/>
          <w:i w:val="0"/>
          <w:sz w:val="22"/>
          <w:szCs w:val="20"/>
        </w:rPr>
        <w:lastRenderedPageBreak/>
        <w:t>tempo do falecimento do doador, já não possuírem os bens doados</w:t>
      </w:r>
      <w:r w:rsidRPr="001963BC">
        <w:rPr>
          <w:rFonts w:cs="Arial"/>
          <w:i/>
          <w:sz w:val="22"/>
          <w:szCs w:val="20"/>
        </w:rPr>
        <w:t>" (artigo 2.003).</w:t>
      </w:r>
      <w:r w:rsidR="005108C8" w:rsidRPr="001963BC">
        <w:rPr>
          <w:rFonts w:cs="Arial"/>
          <w:i/>
          <w:sz w:val="28"/>
          <w:szCs w:val="24"/>
        </w:rPr>
        <w:t xml:space="preserve"> </w:t>
      </w:r>
    </w:p>
    <w:p w14:paraId="214A4F96" w14:textId="7925EC95" w:rsidR="00DE3674" w:rsidRPr="00DE3674" w:rsidRDefault="00DE3674" w:rsidP="00BC1DCF">
      <w:pPr>
        <w:spacing w:after="100" w:afterAutospacing="1" w:line="240" w:lineRule="auto"/>
        <w:ind w:firstLine="708"/>
        <w:rPr>
          <w:rFonts w:eastAsia="Times New Roman" w:cs="Arial"/>
          <w:szCs w:val="24"/>
          <w:lang w:eastAsia="pt-BR"/>
        </w:rPr>
      </w:pPr>
      <w:r w:rsidRPr="00DE3674">
        <w:rPr>
          <w:rFonts w:eastAsia="Times New Roman" w:cs="Arial"/>
          <w:szCs w:val="24"/>
          <w:lang w:eastAsia="pt-BR"/>
        </w:rPr>
        <w:t>Na opinião de Arnaldo Rizzardo</w:t>
      </w:r>
      <w:r w:rsidR="005108C8" w:rsidRPr="005108C8">
        <w:rPr>
          <w:rFonts w:eastAsia="Times New Roman" w:cs="Arial"/>
          <w:szCs w:val="24"/>
          <w:lang w:eastAsia="pt-BR"/>
        </w:rPr>
        <w:t xml:space="preserve"> (</w:t>
      </w:r>
      <w:r w:rsidR="005108C8" w:rsidRPr="005108C8">
        <w:rPr>
          <w:rFonts w:cs="Arial"/>
        </w:rPr>
        <w:t>2013, p. 659)</w:t>
      </w:r>
      <w:r w:rsidRPr="00DE3674">
        <w:rPr>
          <w:rFonts w:eastAsia="Times New Roman" w:cs="Arial"/>
          <w:szCs w:val="24"/>
          <w:lang w:eastAsia="pt-BR"/>
        </w:rPr>
        <w:t>:</w:t>
      </w:r>
    </w:p>
    <w:p w14:paraId="3ADC00AA" w14:textId="7D94EFDF" w:rsidR="00DE3674" w:rsidRPr="00DE3674" w:rsidRDefault="00DE3674" w:rsidP="005108C8">
      <w:pPr>
        <w:spacing w:before="100" w:beforeAutospacing="1" w:after="100" w:afterAutospacing="1" w:line="240" w:lineRule="auto"/>
        <w:ind w:left="2835"/>
        <w:rPr>
          <w:rFonts w:eastAsia="Times New Roman" w:cs="Arial"/>
          <w:sz w:val="22"/>
          <w:szCs w:val="24"/>
          <w:lang w:eastAsia="pt-BR"/>
        </w:rPr>
      </w:pPr>
      <w:r w:rsidRPr="00DE3674">
        <w:rPr>
          <w:rFonts w:eastAsia="Times New Roman" w:cs="Arial"/>
          <w:sz w:val="22"/>
          <w:szCs w:val="24"/>
          <w:lang w:eastAsia="pt-BR"/>
        </w:rPr>
        <w:t>Como se depreende da corrente tradicional, o correto é levar a avaliação procedida à época da liberalidade para o momento da partilha, o que se consegue pela devida correção monetária. Quer o dispositivo expressar que se faz a avaliação quando do ato de doação, para dimensionar a repercussão sobre o patrimônio existente então, e levando-se a respectiva significação para a ocasião da partilha, inclusive mediante uma nova avaliação do significado econômico do patrimônio doado, considerado no momento da abertura da sucessão</w:t>
      </w:r>
    </w:p>
    <w:p w14:paraId="1D96BC02" w14:textId="346D7A98" w:rsidR="008F4E3A" w:rsidRDefault="00E03949" w:rsidP="00E17094">
      <w:pPr>
        <w:autoSpaceDE w:val="0"/>
        <w:autoSpaceDN w:val="0"/>
        <w:adjustRightInd w:val="0"/>
        <w:spacing w:after="0" w:line="360" w:lineRule="auto"/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Sendo assim aplicada a regra </w:t>
      </w:r>
      <w:r w:rsidR="00E17094">
        <w:rPr>
          <w:rFonts w:cs="Arial"/>
          <w:szCs w:val="24"/>
        </w:rPr>
        <w:t>do tempo da abertura da sucessão mesmo sendo esta conflitante com o Código Civil.</w:t>
      </w:r>
    </w:p>
    <w:p w14:paraId="3256EAF3" w14:textId="6B72E04A" w:rsidR="00BE0B95" w:rsidRPr="0074559C" w:rsidRDefault="00BE0B95">
      <w:pPr>
        <w:rPr>
          <w:rFonts w:cs="Arial"/>
        </w:rPr>
      </w:pPr>
      <w:r w:rsidRPr="0074559C">
        <w:rPr>
          <w:rFonts w:cs="Arial"/>
        </w:rPr>
        <w:t>CONCLUSÃO</w:t>
      </w:r>
    </w:p>
    <w:p w14:paraId="2FB49785" w14:textId="219F6BB7" w:rsidR="00BE0B95" w:rsidRDefault="007F1561" w:rsidP="002903A7">
      <w:pPr>
        <w:spacing w:after="0" w:line="360" w:lineRule="auto"/>
        <w:rPr>
          <w:rFonts w:cs="Arial"/>
        </w:rPr>
      </w:pPr>
      <w:r>
        <w:rPr>
          <w:rFonts w:cs="Arial"/>
        </w:rPr>
        <w:tab/>
        <w:t xml:space="preserve">Na breve pesquisa, foram analisadas as modificações trazidas pela nova Norma Processual Civil </w:t>
      </w:r>
      <w:r w:rsidR="00884553">
        <w:rPr>
          <w:rFonts w:cs="Arial"/>
        </w:rPr>
        <w:t xml:space="preserve">no </w:t>
      </w:r>
      <w:r>
        <w:rPr>
          <w:rFonts w:cs="Arial"/>
        </w:rPr>
        <w:t>instituto da sucessão</w:t>
      </w:r>
      <w:r w:rsidR="002903A7">
        <w:rPr>
          <w:rFonts w:cs="Arial"/>
        </w:rPr>
        <w:t>, concluindo com a obrigatoriedade da partilha dos bens, atingindo assim a igualdade entre todos os herdeiros, companheiros e cônjuges. A finalidade é não haver lide entre eles e ter maior concordância na divisão para cada um dos herdeiros.</w:t>
      </w:r>
    </w:p>
    <w:p w14:paraId="7BF41CA0" w14:textId="639D0838" w:rsidR="002903A7" w:rsidRDefault="002903A7" w:rsidP="002903A7">
      <w:pPr>
        <w:spacing w:line="360" w:lineRule="auto"/>
        <w:rPr>
          <w:rFonts w:cs="Arial"/>
        </w:rPr>
      </w:pPr>
      <w:r>
        <w:rPr>
          <w:rFonts w:cs="Arial"/>
        </w:rPr>
        <w:tab/>
        <w:t>Apesar de o novo diploma legal ter sofrido algumas críticas, ocorreram também modificações consideráveis, tentando assim alcançar a celeridade e a existência real da efetividade nos tramites processuais.</w:t>
      </w:r>
    </w:p>
    <w:p w14:paraId="46F2C461" w14:textId="455332E4" w:rsidR="00FC3BE2" w:rsidRDefault="00FC3BE2">
      <w:pPr>
        <w:rPr>
          <w:rFonts w:cs="Arial"/>
        </w:rPr>
      </w:pPr>
    </w:p>
    <w:p w14:paraId="23D4387C" w14:textId="1F87B6DB" w:rsidR="0002376F" w:rsidRDefault="0002376F">
      <w:pPr>
        <w:rPr>
          <w:rFonts w:cs="Arial"/>
        </w:rPr>
      </w:pPr>
    </w:p>
    <w:p w14:paraId="347E9FD0" w14:textId="78C5C780" w:rsidR="0002376F" w:rsidRDefault="0002376F">
      <w:pPr>
        <w:rPr>
          <w:rFonts w:cs="Arial"/>
        </w:rPr>
      </w:pPr>
    </w:p>
    <w:p w14:paraId="56836AA4" w14:textId="0A9EFA36" w:rsidR="0002376F" w:rsidRDefault="0002376F">
      <w:pPr>
        <w:rPr>
          <w:rFonts w:cs="Arial"/>
        </w:rPr>
      </w:pPr>
    </w:p>
    <w:p w14:paraId="0FF19AEC" w14:textId="42D11724" w:rsidR="0002376F" w:rsidRDefault="0002376F">
      <w:pPr>
        <w:rPr>
          <w:rFonts w:cs="Arial"/>
        </w:rPr>
      </w:pPr>
    </w:p>
    <w:p w14:paraId="6A719DE3" w14:textId="23C2F731" w:rsidR="0002376F" w:rsidRDefault="0002376F">
      <w:pPr>
        <w:rPr>
          <w:rFonts w:cs="Arial"/>
        </w:rPr>
      </w:pPr>
    </w:p>
    <w:p w14:paraId="0991D198" w14:textId="3A226FF0" w:rsidR="0002376F" w:rsidRDefault="0002376F">
      <w:pPr>
        <w:rPr>
          <w:rFonts w:cs="Arial"/>
        </w:rPr>
      </w:pPr>
    </w:p>
    <w:p w14:paraId="562D1B1C" w14:textId="1B75E19B" w:rsidR="0002376F" w:rsidRDefault="0002376F">
      <w:pPr>
        <w:rPr>
          <w:rFonts w:cs="Arial"/>
        </w:rPr>
      </w:pPr>
    </w:p>
    <w:p w14:paraId="145CC862" w14:textId="46801F9C" w:rsidR="0002376F" w:rsidRDefault="0002376F">
      <w:pPr>
        <w:rPr>
          <w:rFonts w:cs="Arial"/>
        </w:rPr>
      </w:pPr>
    </w:p>
    <w:p w14:paraId="3C496C81" w14:textId="67D4599E" w:rsidR="0002376F" w:rsidRDefault="0002376F">
      <w:pPr>
        <w:rPr>
          <w:rFonts w:cs="Arial"/>
        </w:rPr>
      </w:pPr>
    </w:p>
    <w:p w14:paraId="587EEA8C" w14:textId="17F8E922" w:rsidR="0002376F" w:rsidRDefault="0002376F">
      <w:pPr>
        <w:rPr>
          <w:rFonts w:cs="Arial"/>
        </w:rPr>
      </w:pPr>
    </w:p>
    <w:p w14:paraId="431482E3" w14:textId="77777777" w:rsidR="0002376F" w:rsidRDefault="0002376F">
      <w:pPr>
        <w:rPr>
          <w:rFonts w:cs="Arial"/>
        </w:rPr>
      </w:pPr>
      <w:bookmarkStart w:id="1" w:name="_GoBack"/>
      <w:bookmarkEnd w:id="1"/>
    </w:p>
    <w:p w14:paraId="4361792E" w14:textId="21F8BCAF" w:rsidR="00BE0B95" w:rsidRPr="00E713B9" w:rsidRDefault="00BE0B95">
      <w:pPr>
        <w:rPr>
          <w:rFonts w:cs="Arial"/>
          <w:szCs w:val="24"/>
        </w:rPr>
      </w:pPr>
      <w:r w:rsidRPr="00E713B9">
        <w:rPr>
          <w:rFonts w:cs="Arial"/>
          <w:szCs w:val="24"/>
        </w:rPr>
        <w:lastRenderedPageBreak/>
        <w:t>REFERÊNCIAS</w:t>
      </w:r>
    </w:p>
    <w:p w14:paraId="524A064E" w14:textId="029FA29C" w:rsidR="00B34017" w:rsidRPr="00E713B9" w:rsidRDefault="00B34017" w:rsidP="00F87EF2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pt-BR"/>
        </w:rPr>
      </w:pPr>
      <w:r w:rsidRPr="00E713B9">
        <w:rPr>
          <w:rFonts w:eastAsia="Times New Roman" w:cs="Arial"/>
          <w:szCs w:val="24"/>
          <w:lang w:eastAsia="pt-BR"/>
        </w:rPr>
        <w:t>DIAS. Maria Berenice, Manual das Sucessões, 4ª edição, revista, atualizada e ampliada. Editora Revista dos Tribunais. 2015</w:t>
      </w:r>
    </w:p>
    <w:p w14:paraId="22D6A595" w14:textId="381A46C9" w:rsidR="0074559C" w:rsidRPr="00E713B9" w:rsidRDefault="0074559C" w:rsidP="00F87EF2">
      <w:pPr>
        <w:spacing w:after="0"/>
        <w:rPr>
          <w:rFonts w:cs="Arial"/>
          <w:szCs w:val="24"/>
        </w:rPr>
      </w:pPr>
      <w:r w:rsidRPr="00E713B9">
        <w:rPr>
          <w:rFonts w:eastAsia="Times New Roman" w:cs="Arial"/>
          <w:szCs w:val="24"/>
          <w:lang w:eastAsia="pt-BR"/>
        </w:rPr>
        <w:t xml:space="preserve">___. </w:t>
      </w:r>
      <w:r w:rsidRPr="00E713B9">
        <w:rPr>
          <w:rFonts w:cs="Arial"/>
          <w:szCs w:val="24"/>
        </w:rPr>
        <w:t xml:space="preserve">Maria Berenice Dias, </w:t>
      </w:r>
      <w:r w:rsidRPr="00E713B9">
        <w:rPr>
          <w:rFonts w:cs="Arial"/>
          <w:iCs/>
          <w:szCs w:val="24"/>
        </w:rPr>
        <w:t>Manual das Sucessões</w:t>
      </w:r>
      <w:r w:rsidRPr="00E713B9">
        <w:rPr>
          <w:rFonts w:cs="Arial"/>
          <w:szCs w:val="24"/>
        </w:rPr>
        <w:t>, 4ª edição, página 547.</w:t>
      </w:r>
    </w:p>
    <w:p w14:paraId="631A70BF" w14:textId="08644687" w:rsidR="00C50BF9" w:rsidRPr="00E713B9" w:rsidRDefault="00C50BF9" w:rsidP="00F87EF2">
      <w:pPr>
        <w:spacing w:after="0"/>
        <w:rPr>
          <w:rFonts w:cs="Arial"/>
          <w:szCs w:val="24"/>
        </w:rPr>
      </w:pPr>
    </w:p>
    <w:p w14:paraId="09F2552E" w14:textId="3F8C79CE" w:rsidR="00C50BF9" w:rsidRPr="00E713B9" w:rsidRDefault="00C50BF9" w:rsidP="00F87EF2">
      <w:pPr>
        <w:spacing w:after="0"/>
        <w:rPr>
          <w:rFonts w:cs="Arial"/>
          <w:szCs w:val="24"/>
        </w:rPr>
      </w:pPr>
      <w:r w:rsidRPr="00E713B9">
        <w:rPr>
          <w:rFonts w:cs="Arial"/>
          <w:szCs w:val="24"/>
        </w:rPr>
        <w:t xml:space="preserve">HIRONAKA, Giselda Maria Fernandes Novaes; PEREIRA, Rodrigo da Cunha. (Coordenadores). </w:t>
      </w:r>
      <w:r w:rsidRPr="00E713B9">
        <w:rPr>
          <w:rFonts w:cs="Arial"/>
          <w:bCs/>
          <w:szCs w:val="24"/>
        </w:rPr>
        <w:t>Direito das Sucessões</w:t>
      </w:r>
      <w:r w:rsidRPr="00E713B9">
        <w:rPr>
          <w:rFonts w:cs="Arial"/>
          <w:szCs w:val="24"/>
        </w:rPr>
        <w:t>. Belo Horizonte, MG: Del Rey, 2007</w:t>
      </w:r>
      <w:r w:rsidR="00F87EF2" w:rsidRPr="00E713B9">
        <w:rPr>
          <w:rFonts w:cs="Arial"/>
          <w:szCs w:val="24"/>
        </w:rPr>
        <w:t>, p. 15 e 16.</w:t>
      </w:r>
    </w:p>
    <w:p w14:paraId="7CE0C3A3" w14:textId="77777777" w:rsidR="00B34017" w:rsidRPr="00E713B9" w:rsidRDefault="00B34017" w:rsidP="00F87EF2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pt-BR"/>
        </w:rPr>
      </w:pPr>
      <w:r w:rsidRPr="00E713B9">
        <w:rPr>
          <w:rFonts w:eastAsia="Times New Roman" w:cs="Arial"/>
          <w:szCs w:val="24"/>
          <w:lang w:eastAsia="pt-BR"/>
        </w:rPr>
        <w:t>FREITAS, Câmara, Alexandre. Lições de Direito Processual Civil. Volume 3. Ed. Atlas. 21ª Edição. 2014</w:t>
      </w:r>
    </w:p>
    <w:p w14:paraId="55BE343B" w14:textId="08A93549" w:rsidR="00B34017" w:rsidRPr="00E713B9" w:rsidRDefault="00B34017" w:rsidP="00F87EF2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pt-BR"/>
        </w:rPr>
      </w:pPr>
      <w:r w:rsidRPr="00E713B9">
        <w:rPr>
          <w:rFonts w:eastAsia="Times New Roman" w:cs="Arial"/>
          <w:szCs w:val="24"/>
          <w:lang w:eastAsia="pt-BR"/>
        </w:rPr>
        <w:t>GONÇALVES. Marcus Vinicius Rios. Direito Processual Civil Esquematizado. Coordenador Pedro Lenza. 7ª Edição. Editora Saraiva.2016.</w:t>
      </w:r>
    </w:p>
    <w:p w14:paraId="5E6DF507" w14:textId="067FAA3A" w:rsidR="004E7B5A" w:rsidRPr="00E713B9" w:rsidRDefault="004E7B5A" w:rsidP="00F87EF2">
      <w:pPr>
        <w:spacing w:before="100" w:beforeAutospacing="1" w:after="100" w:afterAutospacing="1" w:line="240" w:lineRule="auto"/>
        <w:rPr>
          <w:rFonts w:eastAsia="Times New Roman" w:cs="Arial"/>
          <w:szCs w:val="24"/>
          <w:lang w:eastAsia="pt-BR"/>
        </w:rPr>
      </w:pPr>
      <w:r w:rsidRPr="00E713B9">
        <w:rPr>
          <w:rFonts w:cs="Arial"/>
          <w:szCs w:val="24"/>
        </w:rPr>
        <w:t>RIZZARDO, Arnaldo. Direito das Sucessões. Ed. 7, Rio de Janeiro: Forense, 2013, p. 659.</w:t>
      </w:r>
    </w:p>
    <w:p w14:paraId="636E2962" w14:textId="77777777" w:rsidR="00E856E3" w:rsidRPr="00E713B9" w:rsidRDefault="00E856E3" w:rsidP="00E856E3">
      <w:pPr>
        <w:rPr>
          <w:rFonts w:cs="Arial"/>
          <w:szCs w:val="24"/>
        </w:rPr>
      </w:pPr>
      <w:r w:rsidRPr="00E713B9">
        <w:rPr>
          <w:rStyle w:val="reference-text"/>
          <w:rFonts w:cs="Arial"/>
          <w:szCs w:val="24"/>
        </w:rPr>
        <w:t xml:space="preserve">Paulo </w:t>
      </w:r>
      <w:proofErr w:type="spellStart"/>
      <w:r w:rsidRPr="00E713B9">
        <w:rPr>
          <w:rStyle w:val="reference-text"/>
          <w:rFonts w:cs="Arial"/>
          <w:szCs w:val="24"/>
        </w:rPr>
        <w:t>Lôbo</w:t>
      </w:r>
      <w:proofErr w:type="spellEnd"/>
      <w:r w:rsidRPr="00E713B9">
        <w:rPr>
          <w:rStyle w:val="reference-text"/>
          <w:rFonts w:cs="Arial"/>
          <w:szCs w:val="24"/>
        </w:rPr>
        <w:t xml:space="preserve">. </w:t>
      </w:r>
      <w:hyperlink r:id="rId6" w:history="1">
        <w:r w:rsidRPr="00E713B9">
          <w:rPr>
            <w:rStyle w:val="Hyperlink"/>
            <w:rFonts w:cs="Arial"/>
            <w:iCs/>
            <w:color w:val="auto"/>
            <w:szCs w:val="24"/>
            <w:u w:val="none"/>
          </w:rPr>
          <w:t>Programa de direito Sucessões</w:t>
        </w:r>
      </w:hyperlink>
      <w:r w:rsidRPr="00E713B9">
        <w:rPr>
          <w:rStyle w:val="reference-text"/>
          <w:rFonts w:cs="Arial"/>
          <w:szCs w:val="24"/>
        </w:rPr>
        <w:t xml:space="preserve">. Editora Saraiva; 2013. </w:t>
      </w:r>
      <w:hyperlink r:id="rId7" w:history="1">
        <w:r w:rsidRPr="00E713B9">
          <w:rPr>
            <w:rStyle w:val="Hyperlink"/>
            <w:rFonts w:cs="Arial"/>
            <w:color w:val="auto"/>
            <w:szCs w:val="24"/>
            <w:u w:val="none"/>
          </w:rPr>
          <w:t>ISBN 8502202596</w:t>
        </w:r>
      </w:hyperlink>
      <w:r w:rsidRPr="00E713B9">
        <w:rPr>
          <w:rStyle w:val="reference-text"/>
          <w:rFonts w:cs="Arial"/>
          <w:szCs w:val="24"/>
        </w:rPr>
        <w:t>. p. 47.</w:t>
      </w:r>
    </w:p>
    <w:p w14:paraId="1242A8E9" w14:textId="3FF596A7" w:rsidR="00E856E3" w:rsidRPr="00E713B9" w:rsidRDefault="00E713B9" w:rsidP="00A27142">
      <w:pPr>
        <w:pStyle w:val="parag2"/>
        <w:jc w:val="both"/>
        <w:rPr>
          <w:rFonts w:ascii="Arial" w:hAnsi="Arial" w:cs="Arial"/>
        </w:rPr>
      </w:pPr>
      <w:r w:rsidRPr="00E713B9">
        <w:rPr>
          <w:rFonts w:ascii="Arial" w:hAnsi="Arial" w:cs="Arial"/>
        </w:rPr>
        <w:t>PLANALTO</w:t>
      </w:r>
      <w:r w:rsidR="00937287" w:rsidRPr="00E713B9">
        <w:rPr>
          <w:rFonts w:ascii="Arial" w:hAnsi="Arial" w:cs="Arial"/>
        </w:rPr>
        <w:t>.</w:t>
      </w:r>
      <w:r w:rsidRPr="00E713B9">
        <w:rPr>
          <w:rFonts w:ascii="Arial" w:hAnsi="Arial" w:cs="Arial"/>
        </w:rPr>
        <w:t xml:space="preserve"> </w:t>
      </w:r>
      <w:hyperlink r:id="rId8" w:history="1">
        <w:r w:rsidRPr="00E713B9">
          <w:rPr>
            <w:rStyle w:val="Hyperlink"/>
            <w:rFonts w:ascii="Arial" w:hAnsi="Arial" w:cs="Arial"/>
            <w:color w:val="auto"/>
            <w:u w:val="none"/>
          </w:rPr>
          <w:t>LEI Nº 13.105, DE 16 DE MARÇO DE 2015.</w:t>
        </w:r>
      </w:hyperlink>
      <w:r w:rsidR="00152FDA" w:rsidRPr="00E713B9">
        <w:rPr>
          <w:rStyle w:val="Forte"/>
          <w:rFonts w:ascii="Arial" w:hAnsi="Arial" w:cs="Arial"/>
        </w:rPr>
        <w:t xml:space="preserve"> </w:t>
      </w:r>
      <w:hyperlink r:id="rId9" w:history="1">
        <w:r w:rsidR="00152FDA" w:rsidRPr="00E713B9">
          <w:rPr>
            <w:rStyle w:val="Hyperlink"/>
            <w:rFonts w:ascii="Arial" w:hAnsi="Arial" w:cs="Arial"/>
            <w:color w:val="auto"/>
            <w:u w:val="none"/>
          </w:rPr>
          <w:t>http://www.planalto.gov.br/ccivil_03/_ato2015-2018/2015/lei/l13105.htm</w:t>
        </w:r>
      </w:hyperlink>
    </w:p>
    <w:p w14:paraId="5B9BCB8B" w14:textId="43653755" w:rsidR="00152FDA" w:rsidRPr="00E713B9" w:rsidRDefault="00E713B9">
      <w:pPr>
        <w:rPr>
          <w:rFonts w:cs="Arial"/>
          <w:szCs w:val="24"/>
        </w:rPr>
      </w:pPr>
      <w:r w:rsidRPr="00E713B9">
        <w:rPr>
          <w:rFonts w:cs="Arial"/>
          <w:szCs w:val="24"/>
        </w:rPr>
        <w:t>PLANALTO.</w:t>
      </w:r>
      <w:r w:rsidRPr="00E713B9">
        <w:rPr>
          <w:rFonts w:cs="Arial"/>
          <w:b/>
          <w:szCs w:val="24"/>
        </w:rPr>
        <w:t xml:space="preserve"> </w:t>
      </w:r>
      <w:hyperlink r:id="rId10" w:history="1">
        <w:r w:rsidR="00152FDA" w:rsidRPr="00E713B9">
          <w:rPr>
            <w:rStyle w:val="Forte"/>
            <w:rFonts w:cs="Arial"/>
            <w:b w:val="0"/>
            <w:szCs w:val="24"/>
          </w:rPr>
          <w:t>LEI N</w:t>
        </w:r>
        <w:r w:rsidR="00152FDA" w:rsidRPr="00E713B9">
          <w:rPr>
            <w:rStyle w:val="Forte"/>
            <w:rFonts w:cs="Arial"/>
            <w:b w:val="0"/>
            <w:szCs w:val="24"/>
            <w:vertAlign w:val="superscript"/>
          </w:rPr>
          <w:t>o</w:t>
        </w:r>
        <w:r w:rsidR="00152FDA" w:rsidRPr="00E713B9">
          <w:rPr>
            <w:rStyle w:val="Forte"/>
            <w:rFonts w:cs="Arial"/>
            <w:b w:val="0"/>
            <w:szCs w:val="24"/>
          </w:rPr>
          <w:t xml:space="preserve"> 10.406, DE 10 DE JANEIRO DE 2002.</w:t>
        </w:r>
      </w:hyperlink>
      <w:r w:rsidR="00152FDA" w:rsidRPr="00E713B9">
        <w:rPr>
          <w:rFonts w:cs="Arial"/>
          <w:szCs w:val="24"/>
        </w:rPr>
        <w:t xml:space="preserve"> </w:t>
      </w:r>
      <w:hyperlink r:id="rId11" w:history="1">
        <w:r w:rsidR="00152FDA" w:rsidRPr="00E713B9">
          <w:rPr>
            <w:rStyle w:val="Hyperlink"/>
            <w:rFonts w:cs="Arial"/>
            <w:color w:val="auto"/>
            <w:szCs w:val="24"/>
            <w:u w:val="none"/>
          </w:rPr>
          <w:t>http://www.planalto.gov.br/ccivil_03/leis/2002/L10406.htm</w:t>
        </w:r>
      </w:hyperlink>
    </w:p>
    <w:p w14:paraId="6F9A9932" w14:textId="77777777" w:rsidR="00152FDA" w:rsidRPr="00E713B9" w:rsidRDefault="00152FDA" w:rsidP="00152FDA">
      <w:pPr>
        <w:pStyle w:val="parag2"/>
        <w:jc w:val="both"/>
        <w:rPr>
          <w:rFonts w:ascii="Arial" w:hAnsi="Arial" w:cs="Arial"/>
        </w:rPr>
      </w:pPr>
      <w:r w:rsidRPr="00E713B9">
        <w:rPr>
          <w:rFonts w:ascii="Arial" w:hAnsi="Arial" w:cs="Arial"/>
        </w:rPr>
        <w:t xml:space="preserve">TARTUCE, Fernanda. </w:t>
      </w:r>
      <w:r w:rsidRPr="00E713B9">
        <w:rPr>
          <w:rFonts w:ascii="Arial" w:hAnsi="Arial" w:cs="Arial"/>
          <w:iCs/>
        </w:rPr>
        <w:t>Igualdade e vulnerabilidade no processo civil</w:t>
      </w:r>
      <w:r w:rsidRPr="00E713B9">
        <w:rPr>
          <w:rFonts w:ascii="Arial" w:hAnsi="Arial" w:cs="Arial"/>
        </w:rPr>
        <w:t xml:space="preserve">. Rio de Janeiro, </w:t>
      </w:r>
      <w:proofErr w:type="gramStart"/>
      <w:r w:rsidRPr="00E713B9">
        <w:rPr>
          <w:rFonts w:ascii="Arial" w:hAnsi="Arial" w:cs="Arial"/>
        </w:rPr>
        <w:t>Forense</w:t>
      </w:r>
      <w:proofErr w:type="gramEnd"/>
      <w:r w:rsidRPr="00E713B9">
        <w:rPr>
          <w:rFonts w:ascii="Arial" w:hAnsi="Arial" w:cs="Arial"/>
        </w:rPr>
        <w:t>, 2012.</w:t>
      </w:r>
    </w:p>
    <w:p w14:paraId="18F3FC97" w14:textId="77777777" w:rsidR="00152FDA" w:rsidRPr="00E713B9" w:rsidRDefault="00152FDA" w:rsidP="00152FDA">
      <w:pPr>
        <w:pStyle w:val="parag2"/>
        <w:jc w:val="both"/>
        <w:rPr>
          <w:rFonts w:ascii="Arial" w:hAnsi="Arial" w:cs="Arial"/>
        </w:rPr>
      </w:pPr>
      <w:r w:rsidRPr="00E713B9">
        <w:rPr>
          <w:rFonts w:ascii="Arial" w:hAnsi="Arial" w:cs="Arial"/>
        </w:rPr>
        <w:t xml:space="preserve">___. </w:t>
      </w:r>
      <w:r w:rsidRPr="00E713B9">
        <w:rPr>
          <w:rFonts w:ascii="Arial" w:hAnsi="Arial" w:cs="Arial"/>
          <w:iCs/>
        </w:rPr>
        <w:t>Processo civil: estudo didático</w:t>
      </w:r>
      <w:r w:rsidRPr="00E713B9">
        <w:rPr>
          <w:rFonts w:ascii="Arial" w:hAnsi="Arial" w:cs="Arial"/>
        </w:rPr>
        <w:t>. São Paulo: Método, 2011.</w:t>
      </w:r>
    </w:p>
    <w:p w14:paraId="684CCA85" w14:textId="632DF635" w:rsidR="00152FDA" w:rsidRPr="00E713B9" w:rsidRDefault="00152FDA" w:rsidP="00152FDA">
      <w:pPr>
        <w:rPr>
          <w:rFonts w:cs="Arial"/>
          <w:szCs w:val="24"/>
        </w:rPr>
      </w:pPr>
      <w:r w:rsidRPr="00E713B9">
        <w:rPr>
          <w:rFonts w:cs="Arial"/>
          <w:szCs w:val="24"/>
        </w:rPr>
        <w:t xml:space="preserve">TARTUCE, Fernanda; SARTORI, Fernando. </w:t>
      </w:r>
      <w:r w:rsidRPr="00E713B9">
        <w:rPr>
          <w:rFonts w:cs="Arial"/>
          <w:iCs/>
          <w:szCs w:val="24"/>
        </w:rPr>
        <w:t>Como se preparar para o Exame de Ordem - 1a fase</w:t>
      </w:r>
      <w:r w:rsidRPr="00E713B9">
        <w:rPr>
          <w:rFonts w:cs="Arial"/>
          <w:szCs w:val="24"/>
        </w:rPr>
        <w:t>: Civil. 12. ed. São Paulo: Método, 2014</w:t>
      </w:r>
    </w:p>
    <w:sectPr w:rsidR="00152FDA" w:rsidRPr="00E713B9" w:rsidSect="0054321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E76A5"/>
    <w:multiLevelType w:val="multilevel"/>
    <w:tmpl w:val="F41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2B"/>
    <w:rsid w:val="00005EBF"/>
    <w:rsid w:val="000174D3"/>
    <w:rsid w:val="00023501"/>
    <w:rsid w:val="0002376F"/>
    <w:rsid w:val="00024B66"/>
    <w:rsid w:val="00031049"/>
    <w:rsid w:val="00047BCF"/>
    <w:rsid w:val="000718A9"/>
    <w:rsid w:val="00094A48"/>
    <w:rsid w:val="000A02D4"/>
    <w:rsid w:val="000C4E47"/>
    <w:rsid w:val="000C5754"/>
    <w:rsid w:val="000C5D93"/>
    <w:rsid w:val="000C6F9E"/>
    <w:rsid w:val="000D1ADF"/>
    <w:rsid w:val="00103940"/>
    <w:rsid w:val="00104048"/>
    <w:rsid w:val="00104E33"/>
    <w:rsid w:val="00125B68"/>
    <w:rsid w:val="00141ED6"/>
    <w:rsid w:val="00152FDA"/>
    <w:rsid w:val="00170126"/>
    <w:rsid w:val="0019013C"/>
    <w:rsid w:val="00193B69"/>
    <w:rsid w:val="001963BC"/>
    <w:rsid w:val="001B1AB2"/>
    <w:rsid w:val="001B2F8D"/>
    <w:rsid w:val="001E5B22"/>
    <w:rsid w:val="00263321"/>
    <w:rsid w:val="00271D76"/>
    <w:rsid w:val="002736BB"/>
    <w:rsid w:val="002878FD"/>
    <w:rsid w:val="002903A7"/>
    <w:rsid w:val="00294AE6"/>
    <w:rsid w:val="00294BD4"/>
    <w:rsid w:val="002A282B"/>
    <w:rsid w:val="002A419D"/>
    <w:rsid w:val="002B7928"/>
    <w:rsid w:val="002D757F"/>
    <w:rsid w:val="002E036B"/>
    <w:rsid w:val="0031272F"/>
    <w:rsid w:val="00334BB3"/>
    <w:rsid w:val="00342CDF"/>
    <w:rsid w:val="00356622"/>
    <w:rsid w:val="00391ABD"/>
    <w:rsid w:val="003B50A6"/>
    <w:rsid w:val="003B61EB"/>
    <w:rsid w:val="003C0A18"/>
    <w:rsid w:val="003C54C6"/>
    <w:rsid w:val="003F3373"/>
    <w:rsid w:val="00403D51"/>
    <w:rsid w:val="00424948"/>
    <w:rsid w:val="004276B1"/>
    <w:rsid w:val="00444B0D"/>
    <w:rsid w:val="00455C35"/>
    <w:rsid w:val="00455C6F"/>
    <w:rsid w:val="0045701A"/>
    <w:rsid w:val="00463F0A"/>
    <w:rsid w:val="00464853"/>
    <w:rsid w:val="004718BF"/>
    <w:rsid w:val="00484691"/>
    <w:rsid w:val="004B12DB"/>
    <w:rsid w:val="004E7B5A"/>
    <w:rsid w:val="004F1D8F"/>
    <w:rsid w:val="004F29E0"/>
    <w:rsid w:val="005108C8"/>
    <w:rsid w:val="005129EF"/>
    <w:rsid w:val="005133C9"/>
    <w:rsid w:val="00543215"/>
    <w:rsid w:val="00546575"/>
    <w:rsid w:val="005A12D4"/>
    <w:rsid w:val="005C7E57"/>
    <w:rsid w:val="005E715D"/>
    <w:rsid w:val="005F19C5"/>
    <w:rsid w:val="005F3F0B"/>
    <w:rsid w:val="00611BDF"/>
    <w:rsid w:val="00656A11"/>
    <w:rsid w:val="00677D7F"/>
    <w:rsid w:val="00691C8A"/>
    <w:rsid w:val="006A54C6"/>
    <w:rsid w:val="006B57C3"/>
    <w:rsid w:val="006B64AC"/>
    <w:rsid w:val="006E16BF"/>
    <w:rsid w:val="0072441A"/>
    <w:rsid w:val="00737E06"/>
    <w:rsid w:val="00740DFA"/>
    <w:rsid w:val="00742D5F"/>
    <w:rsid w:val="0074559C"/>
    <w:rsid w:val="00747902"/>
    <w:rsid w:val="00755C9A"/>
    <w:rsid w:val="00770F86"/>
    <w:rsid w:val="007C7F5E"/>
    <w:rsid w:val="007E4F8F"/>
    <w:rsid w:val="007F1561"/>
    <w:rsid w:val="007F516D"/>
    <w:rsid w:val="0082263E"/>
    <w:rsid w:val="00835AC6"/>
    <w:rsid w:val="00836F4E"/>
    <w:rsid w:val="0085314A"/>
    <w:rsid w:val="00864DCC"/>
    <w:rsid w:val="00867A7E"/>
    <w:rsid w:val="008773FA"/>
    <w:rsid w:val="00884553"/>
    <w:rsid w:val="008C75C1"/>
    <w:rsid w:val="008D4D1F"/>
    <w:rsid w:val="008E401E"/>
    <w:rsid w:val="008E46F2"/>
    <w:rsid w:val="008F4E3A"/>
    <w:rsid w:val="008F51BB"/>
    <w:rsid w:val="008F5AA8"/>
    <w:rsid w:val="00920CEB"/>
    <w:rsid w:val="00922C7D"/>
    <w:rsid w:val="00937287"/>
    <w:rsid w:val="00937D01"/>
    <w:rsid w:val="009428DE"/>
    <w:rsid w:val="00945DD5"/>
    <w:rsid w:val="009623FA"/>
    <w:rsid w:val="009700AC"/>
    <w:rsid w:val="009924F6"/>
    <w:rsid w:val="009D370B"/>
    <w:rsid w:val="009E1CF6"/>
    <w:rsid w:val="009F31D3"/>
    <w:rsid w:val="009F6F90"/>
    <w:rsid w:val="00A0366A"/>
    <w:rsid w:val="00A03CE3"/>
    <w:rsid w:val="00A13C7C"/>
    <w:rsid w:val="00A27142"/>
    <w:rsid w:val="00A43E8F"/>
    <w:rsid w:val="00A47413"/>
    <w:rsid w:val="00A65034"/>
    <w:rsid w:val="00A81527"/>
    <w:rsid w:val="00AA5930"/>
    <w:rsid w:val="00AB26AC"/>
    <w:rsid w:val="00AB4E0E"/>
    <w:rsid w:val="00AC4BF7"/>
    <w:rsid w:val="00AC6562"/>
    <w:rsid w:val="00B05288"/>
    <w:rsid w:val="00B1026C"/>
    <w:rsid w:val="00B17AD5"/>
    <w:rsid w:val="00B225AD"/>
    <w:rsid w:val="00B26657"/>
    <w:rsid w:val="00B30B92"/>
    <w:rsid w:val="00B34017"/>
    <w:rsid w:val="00B34717"/>
    <w:rsid w:val="00B45EFD"/>
    <w:rsid w:val="00B60232"/>
    <w:rsid w:val="00B64028"/>
    <w:rsid w:val="00B72175"/>
    <w:rsid w:val="00B821DA"/>
    <w:rsid w:val="00BB1164"/>
    <w:rsid w:val="00BC1DCF"/>
    <w:rsid w:val="00BD1F8C"/>
    <w:rsid w:val="00BE0B95"/>
    <w:rsid w:val="00BE1735"/>
    <w:rsid w:val="00C13FD2"/>
    <w:rsid w:val="00C2544C"/>
    <w:rsid w:val="00C3346A"/>
    <w:rsid w:val="00C50BF9"/>
    <w:rsid w:val="00C609FC"/>
    <w:rsid w:val="00CC35DC"/>
    <w:rsid w:val="00CC45CD"/>
    <w:rsid w:val="00D16C4B"/>
    <w:rsid w:val="00D3055A"/>
    <w:rsid w:val="00D51073"/>
    <w:rsid w:val="00D73F9A"/>
    <w:rsid w:val="00D81524"/>
    <w:rsid w:val="00D82756"/>
    <w:rsid w:val="00DD6032"/>
    <w:rsid w:val="00DE3674"/>
    <w:rsid w:val="00DE6F46"/>
    <w:rsid w:val="00E03949"/>
    <w:rsid w:val="00E17094"/>
    <w:rsid w:val="00E17A5F"/>
    <w:rsid w:val="00E36C82"/>
    <w:rsid w:val="00E53236"/>
    <w:rsid w:val="00E56959"/>
    <w:rsid w:val="00E713B9"/>
    <w:rsid w:val="00E856E3"/>
    <w:rsid w:val="00E93F29"/>
    <w:rsid w:val="00EA4054"/>
    <w:rsid w:val="00EC1F53"/>
    <w:rsid w:val="00EC2F52"/>
    <w:rsid w:val="00EC5A8F"/>
    <w:rsid w:val="00EE18DF"/>
    <w:rsid w:val="00EF29F7"/>
    <w:rsid w:val="00EF3907"/>
    <w:rsid w:val="00F015D1"/>
    <w:rsid w:val="00F01E2F"/>
    <w:rsid w:val="00F2371C"/>
    <w:rsid w:val="00F4294C"/>
    <w:rsid w:val="00F457BA"/>
    <w:rsid w:val="00F510B5"/>
    <w:rsid w:val="00F6287D"/>
    <w:rsid w:val="00F67052"/>
    <w:rsid w:val="00F757E5"/>
    <w:rsid w:val="00F8324D"/>
    <w:rsid w:val="00F87EF2"/>
    <w:rsid w:val="00F90E0B"/>
    <w:rsid w:val="00FC0026"/>
    <w:rsid w:val="00FC3BE2"/>
    <w:rsid w:val="00FD775D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BFD4"/>
  <w15:chartTrackingRefBased/>
  <w15:docId w15:val="{46B8EC4C-452C-47A7-9383-DE0850E5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691"/>
    <w:pPr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02D4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Ttulo6">
    <w:name w:val="heading 6"/>
    <w:basedOn w:val="Normal"/>
    <w:link w:val="Ttulo6Char"/>
    <w:uiPriority w:val="9"/>
    <w:qFormat/>
    <w:rsid w:val="00B72175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A02D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shorttext">
    <w:name w:val="short_text"/>
    <w:basedOn w:val="Fontepargpadro"/>
    <w:rsid w:val="00484691"/>
  </w:style>
  <w:style w:type="character" w:styleId="Hyperlink">
    <w:name w:val="Hyperlink"/>
    <w:basedOn w:val="Fontepargpadro"/>
    <w:uiPriority w:val="99"/>
    <w:unhideWhenUsed/>
    <w:rsid w:val="004648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5A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34017"/>
    <w:pPr>
      <w:ind w:left="720"/>
      <w:contextualSpacing/>
    </w:pPr>
  </w:style>
  <w:style w:type="paragraph" w:customStyle="1" w:styleId="parag2">
    <w:name w:val="parag2"/>
    <w:basedOn w:val="Normal"/>
    <w:rsid w:val="000310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7217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nfase">
    <w:name w:val="Emphasis"/>
    <w:basedOn w:val="Fontepargpadro"/>
    <w:uiPriority w:val="20"/>
    <w:qFormat/>
    <w:rsid w:val="009700AC"/>
    <w:rPr>
      <w:i/>
      <w:iCs/>
    </w:rPr>
  </w:style>
  <w:style w:type="character" w:styleId="Forte">
    <w:name w:val="Strong"/>
    <w:basedOn w:val="Fontepargpadro"/>
    <w:uiPriority w:val="22"/>
    <w:qFormat/>
    <w:rsid w:val="009700AC"/>
    <w:rPr>
      <w:b/>
      <w:bCs/>
    </w:rPr>
  </w:style>
  <w:style w:type="character" w:customStyle="1" w:styleId="st">
    <w:name w:val="st"/>
    <w:basedOn w:val="Fontepargpadro"/>
    <w:rsid w:val="00922C7D"/>
  </w:style>
  <w:style w:type="character" w:customStyle="1" w:styleId="reference-text">
    <w:name w:val="reference-text"/>
    <w:basedOn w:val="Fontepargpadro"/>
    <w:rsid w:val="00E856E3"/>
  </w:style>
  <w:style w:type="character" w:styleId="MenoPendente">
    <w:name w:val="Unresolved Mention"/>
    <w:basedOn w:val="Fontepargpadro"/>
    <w:uiPriority w:val="99"/>
    <w:semiHidden/>
    <w:unhideWhenUsed/>
    <w:rsid w:val="00152F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I%20N&#186;%2013.105,%20DE&#160;16%20DE%20MAR&#199;O%20DE%202015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Especial:Fontes_de_livros/85022025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s.google.com.br/books/about/DIREITO_CIVIL_V_5_SUCESSOES.html?id=7sBwmwEACAAJ&amp;redir_esc=y" TargetMode="External"/><Relationship Id="rId11" Type="http://schemas.openxmlformats.org/officeDocument/2006/relationships/hyperlink" Target="http://www.planalto.gov.br/ccivil_03/leis/2002/L10406.htm" TargetMode="External"/><Relationship Id="rId5" Type="http://schemas.openxmlformats.org/officeDocument/2006/relationships/hyperlink" Target="http://www.jusbrasil.com.br/legislacao/95030/lei-11441-07" TargetMode="External"/><Relationship Id="rId10" Type="http://schemas.openxmlformats.org/officeDocument/2006/relationships/hyperlink" Target="http://legislacao.planalto.gov.br/legisla/legislacao.nsf/Viw_Identificacao/lei%2010.406-2002?Open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5-2018/2015/lei/l13105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6</Pages>
  <Words>1906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</dc:creator>
  <cp:keywords/>
  <dc:description/>
  <cp:lastModifiedBy>ALEXANDRINA</cp:lastModifiedBy>
  <cp:revision>164</cp:revision>
  <dcterms:created xsi:type="dcterms:W3CDTF">2017-12-29T16:38:00Z</dcterms:created>
  <dcterms:modified xsi:type="dcterms:W3CDTF">2018-01-02T18:39:00Z</dcterms:modified>
</cp:coreProperties>
</file>