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DE7" w:rsidRPr="00864F1A" w:rsidRDefault="00375B28" w:rsidP="008F2D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5B28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36BEE" wp14:editId="79F07A4D">
                <wp:simplePos x="0" y="0"/>
                <wp:positionH relativeFrom="column">
                  <wp:posOffset>4090670</wp:posOffset>
                </wp:positionH>
                <wp:positionV relativeFrom="paragraph">
                  <wp:posOffset>-694690</wp:posOffset>
                </wp:positionV>
                <wp:extent cx="2374265" cy="1403985"/>
                <wp:effectExtent l="0" t="0" r="20320" b="1460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B28" w:rsidRDefault="00375B2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236BE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22.1pt;margin-top:-54.7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" strokecolor="white [3212]">
                <v:textbox style="mso-fit-shape-to-text:t">
                  <w:txbxContent>
                    <w:p w:rsidR="00375B28" w:rsidRDefault="00375B28"/>
                  </w:txbxContent>
                </v:textbox>
              </v:shape>
            </w:pict>
          </mc:Fallback>
        </mc:AlternateContent>
      </w:r>
      <w:r w:rsidR="008F2DE7" w:rsidRPr="00864F1A">
        <w:rPr>
          <w:rFonts w:ascii="Times New Roman" w:hAnsi="Times New Roman" w:cs="Times New Roman"/>
          <w:b/>
          <w:sz w:val="24"/>
          <w:szCs w:val="24"/>
        </w:rPr>
        <w:t>SINOPSE DO CASE</w:t>
      </w:r>
      <w:r w:rsidR="008F2DE7" w:rsidRPr="00864F1A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8F2DE7" w:rsidRPr="00864F1A" w:rsidRDefault="008F2DE7" w:rsidP="008F2DE7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8F2DE7" w:rsidRPr="00864F1A" w:rsidRDefault="008F2DE7" w:rsidP="008F2DE7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864F1A">
        <w:rPr>
          <w:rFonts w:ascii="Times New Roman" w:hAnsi="Times New Roman" w:cs="Times New Roman"/>
          <w:bCs/>
          <w:iCs/>
          <w:sz w:val="24"/>
          <w:szCs w:val="24"/>
        </w:rPr>
        <w:t>Letícia de Lima Farias</w:t>
      </w:r>
      <w:r w:rsidRPr="00864F1A">
        <w:rPr>
          <w:rStyle w:val="Refdenotaderodap"/>
          <w:rFonts w:ascii="Times New Roman" w:hAnsi="Times New Roman" w:cs="Times New Roman"/>
          <w:bCs/>
          <w:iCs/>
          <w:sz w:val="24"/>
          <w:szCs w:val="24"/>
        </w:rPr>
        <w:footnoteReference w:id="2"/>
      </w:r>
    </w:p>
    <w:p w:rsidR="008F2DE7" w:rsidRPr="00864F1A" w:rsidRDefault="008F2DE7" w:rsidP="008F2D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F2DE7" w:rsidRPr="00864F1A" w:rsidRDefault="008F2DE7" w:rsidP="008F2D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F1A">
        <w:rPr>
          <w:rFonts w:ascii="Times New Roman" w:hAnsi="Times New Roman" w:cs="Times New Roman"/>
          <w:b/>
          <w:sz w:val="24"/>
          <w:szCs w:val="24"/>
        </w:rPr>
        <w:t>1 DESCRIÇÃO DO CASO</w:t>
      </w:r>
    </w:p>
    <w:p w:rsidR="008E15A3" w:rsidRPr="00864F1A" w:rsidRDefault="008E15A3" w:rsidP="008F2D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A18" w:rsidRPr="00864F1A" w:rsidRDefault="00F83713" w:rsidP="0062251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64F1A">
        <w:rPr>
          <w:rFonts w:ascii="Times New Roman" w:hAnsi="Times New Roman" w:cs="Times New Roman"/>
          <w:sz w:val="24"/>
          <w:szCs w:val="24"/>
        </w:rPr>
        <w:t>No dia 30.04.2016, a Presidente da República, Dilma Rousseff, assinou o Decreto Presidencial nº 8.731/2016, majorando IOF nas operações de compra de moeda estrangeira de 0,38% para 1,1%. Logo após a modificação, o Ministério da Fazenda divulgou a esperança de arrecadação de 2,377 bilhões de reais, ainda no ano de 2016. Diante dessa modificação realizada pela presidente Dilma Rousseff surgiu uma inquietação entre os tributaristas e a</w:t>
      </w:r>
      <w:r w:rsidR="00D355AC" w:rsidRPr="00864F1A">
        <w:rPr>
          <w:rFonts w:ascii="Times New Roman" w:hAnsi="Times New Roman" w:cs="Times New Roman"/>
          <w:sz w:val="24"/>
          <w:szCs w:val="24"/>
        </w:rPr>
        <w:t xml:space="preserve">nalistas financeiros nacionais. </w:t>
      </w:r>
      <w:r w:rsidR="002E6A18" w:rsidRPr="00864F1A">
        <w:rPr>
          <w:rFonts w:ascii="Times New Roman" w:hAnsi="Times New Roman" w:cs="Times New Roman"/>
          <w:sz w:val="24"/>
          <w:szCs w:val="24"/>
        </w:rPr>
        <w:t xml:space="preserve">Diante do </w:t>
      </w:r>
      <w:r w:rsidR="002E6A18" w:rsidRPr="00864F1A">
        <w:rPr>
          <w:rFonts w:ascii="Times New Roman" w:hAnsi="Times New Roman" w:cs="Times New Roman"/>
          <w:i/>
          <w:sz w:val="24"/>
          <w:szCs w:val="24"/>
        </w:rPr>
        <w:t>case</w:t>
      </w:r>
      <w:r w:rsidR="002E6A18" w:rsidRPr="00864F1A">
        <w:rPr>
          <w:rFonts w:ascii="Times New Roman" w:hAnsi="Times New Roman" w:cs="Times New Roman"/>
          <w:sz w:val="24"/>
          <w:szCs w:val="24"/>
        </w:rPr>
        <w:t xml:space="preserve"> surgem diversos questionamentos, a saber: A presidência da República tem competência para realizar a modificação em questão através de Decreto Presidencial? E tal Decreto </w:t>
      </w:r>
      <w:r w:rsidR="008F5E65" w:rsidRPr="00864F1A">
        <w:rPr>
          <w:rFonts w:ascii="Times New Roman" w:hAnsi="Times New Roman" w:cs="Times New Roman"/>
          <w:sz w:val="24"/>
          <w:szCs w:val="24"/>
        </w:rPr>
        <w:t xml:space="preserve">é compatível com o discurso do governo federal ou com o discurso crítico dos tributaristas e analistas financeiros? </w:t>
      </w:r>
    </w:p>
    <w:p w:rsidR="008254C6" w:rsidRPr="00864F1A" w:rsidRDefault="008254C6" w:rsidP="0062251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254C6" w:rsidRPr="00864F1A" w:rsidRDefault="008254C6" w:rsidP="008254C6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864F1A">
        <w:rPr>
          <w:rFonts w:ascii="Times New Roman" w:hAnsi="Times New Roman" w:cs="Times New Roman"/>
          <w:b/>
          <w:color w:val="auto"/>
        </w:rPr>
        <w:t xml:space="preserve">2 </w:t>
      </w:r>
      <w:r w:rsidR="00472D95" w:rsidRPr="00864F1A">
        <w:rPr>
          <w:rFonts w:ascii="Times New Roman" w:hAnsi="Times New Roman" w:cs="Times New Roman"/>
          <w:b/>
          <w:color w:val="auto"/>
        </w:rPr>
        <w:t>QUESTÕES PARA ANÁLISE</w:t>
      </w:r>
    </w:p>
    <w:p w:rsidR="00472D95" w:rsidRPr="00864F1A" w:rsidRDefault="00472D95" w:rsidP="008254C6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:rsidR="00472D95" w:rsidRPr="00864F1A" w:rsidRDefault="000C0084" w:rsidP="00472D95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864F1A">
        <w:rPr>
          <w:rFonts w:ascii="Times New Roman" w:hAnsi="Times New Roman" w:cs="Times New Roman"/>
          <w:b/>
          <w:bCs/>
          <w:color w:val="auto"/>
        </w:rPr>
        <w:t>2.1</w:t>
      </w:r>
      <w:r w:rsidR="00472D95" w:rsidRPr="00864F1A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472D95" w:rsidRPr="00864F1A">
        <w:rPr>
          <w:rFonts w:ascii="Times New Roman" w:hAnsi="Times New Roman" w:cs="Times New Roman"/>
          <w:b/>
          <w:color w:val="auto"/>
        </w:rPr>
        <w:t xml:space="preserve">Questão principal: </w:t>
      </w:r>
    </w:p>
    <w:p w:rsidR="008A47DB" w:rsidRPr="00864F1A" w:rsidRDefault="008A47DB" w:rsidP="00472D95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:rsidR="00472D95" w:rsidRPr="00864F1A" w:rsidRDefault="00472D95" w:rsidP="00E12946">
      <w:pPr>
        <w:pStyle w:val="Default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color w:val="auto"/>
        </w:rPr>
      </w:pPr>
      <w:r w:rsidRPr="00864F1A">
        <w:rPr>
          <w:rFonts w:ascii="Times New Roman" w:hAnsi="Times New Roman" w:cs="Times New Roman"/>
          <w:color w:val="auto"/>
        </w:rPr>
        <w:t xml:space="preserve">Dentre as funções dos tributos, em qual delas se encaixa o IOF? </w:t>
      </w:r>
    </w:p>
    <w:p w:rsidR="008A47DB" w:rsidRPr="00864F1A" w:rsidRDefault="008A47DB" w:rsidP="00E1294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A47DB" w:rsidRPr="00864F1A" w:rsidRDefault="008C69DD" w:rsidP="008C69D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4F1A">
        <w:rPr>
          <w:rFonts w:ascii="Times New Roman" w:hAnsi="Times New Roman" w:cs="Times New Roman"/>
          <w:sz w:val="24"/>
          <w:szCs w:val="24"/>
        </w:rPr>
        <w:t xml:space="preserve">O conceito de Tributo encontra-se disposto na </w:t>
      </w:r>
      <w:hyperlink r:id="rId8" w:history="1">
        <w:r w:rsidRPr="00864F1A">
          <w:rPr>
            <w:rStyle w:val="Hiperligao"/>
            <w:rFonts w:ascii="Times New Roman" w:hAnsi="Times New Roman" w:cs="Times New Roman"/>
            <w:color w:val="auto"/>
            <w:sz w:val="24"/>
            <w:szCs w:val="24"/>
            <w:u w:val="none"/>
          </w:rPr>
          <w:t>Lei nº 5.172</w:t>
        </w:r>
      </w:hyperlink>
      <w:r w:rsidR="00011E91" w:rsidRPr="00864F1A">
        <w:rPr>
          <w:rStyle w:val="Hiperligao"/>
          <w:rFonts w:ascii="Times New Roman" w:hAnsi="Times New Roman" w:cs="Times New Roman"/>
          <w:color w:val="auto"/>
          <w:sz w:val="24"/>
          <w:szCs w:val="24"/>
          <w:u w:val="none"/>
        </w:rPr>
        <w:t xml:space="preserve"> (</w:t>
      </w:r>
      <w:r w:rsidRPr="00864F1A">
        <w:rPr>
          <w:rFonts w:ascii="Times New Roman" w:hAnsi="Times New Roman" w:cs="Times New Roman"/>
          <w:sz w:val="24"/>
          <w:szCs w:val="24"/>
          <w:shd w:val="clear" w:color="auto" w:fill="FFFFFF"/>
        </w:rPr>
        <w:t>Sistema Tributário Nacional</w:t>
      </w:r>
      <w:r w:rsidR="00011E91" w:rsidRPr="00864F1A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864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segundo o artigo 3º da referida Lei: “Tributo é toda prestação pecuniária compulsória, em moeda ou cujo valor nela se possa exprimir, que não constitua sanção de ato ilícito, instituída em lei e cobrada mediante atividade administrativa plenamente vinculada” (BRASIL, 1966). </w:t>
      </w:r>
      <w:r w:rsidR="003F6D23" w:rsidRPr="00864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 seja, os tributos são prestações pecuniárias exigidas pelo Estado aos indivíduos, essa prestação em regra deverá ser em moeda (dinheiro) e excepcionalmente algo a ela equivalente, </w:t>
      </w:r>
      <w:r w:rsidR="008B14B7" w:rsidRPr="00864F1A">
        <w:rPr>
          <w:rFonts w:ascii="Times New Roman" w:hAnsi="Times New Roman" w:cs="Times New Roman"/>
          <w:sz w:val="24"/>
          <w:szCs w:val="24"/>
          <w:shd w:val="clear" w:color="auto" w:fill="FFFFFF"/>
        </w:rPr>
        <w:t>deve ainda</w:t>
      </w:r>
      <w:r w:rsidR="003F6D23" w:rsidRPr="00864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 instituído por lei, e ai se encontra o conceito de Legalidade, o ente tributador só poderá cobrar o tributo previsto e descrito completamente em Lei (HARADA, 2016). </w:t>
      </w:r>
      <w:r w:rsidR="00F84DF4" w:rsidRPr="00864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23A89" w:rsidRPr="00864F1A" w:rsidRDefault="00F84DF4" w:rsidP="00472ED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64F1A">
        <w:rPr>
          <w:rFonts w:ascii="Times New Roman" w:hAnsi="Times New Roman" w:cs="Times New Roman"/>
          <w:sz w:val="24"/>
          <w:szCs w:val="24"/>
        </w:rPr>
        <w:t>No que tange as espécies tributárias o autor</w:t>
      </w:r>
      <w:r w:rsidRPr="00864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Kiyoshi Harada (2016) afirma que o direito brasileiro reconhece cinco espécies de tributos, a saber: “</w:t>
      </w:r>
      <w:r w:rsidRPr="00864F1A">
        <w:rPr>
          <w:rFonts w:ascii="Times New Roman" w:hAnsi="Times New Roman" w:cs="Times New Roman"/>
          <w:sz w:val="24"/>
          <w:szCs w:val="24"/>
        </w:rPr>
        <w:t xml:space="preserve">impostos, taxas, contribuição </w:t>
      </w:r>
      <w:r w:rsidRPr="00864F1A">
        <w:rPr>
          <w:rFonts w:ascii="Times New Roman" w:hAnsi="Times New Roman" w:cs="Times New Roman"/>
          <w:sz w:val="24"/>
          <w:szCs w:val="24"/>
        </w:rPr>
        <w:lastRenderedPageBreak/>
        <w:t xml:space="preserve">de melhoria, empréstimo compulsório, contribuições sociais do art. 149 da CF e contribuições sociais do art. 195 da CF” (HARADA, 2016, p.391). </w:t>
      </w:r>
    </w:p>
    <w:p w:rsidR="00472ED6" w:rsidRPr="00864F1A" w:rsidRDefault="00F7274C" w:rsidP="00472ED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64F1A">
        <w:rPr>
          <w:rFonts w:ascii="Times New Roman" w:hAnsi="Times New Roman" w:cs="Times New Roman"/>
          <w:sz w:val="24"/>
          <w:szCs w:val="24"/>
        </w:rPr>
        <w:t>Quanto à</w:t>
      </w:r>
      <w:r w:rsidR="00D7124D" w:rsidRPr="00864F1A">
        <w:rPr>
          <w:rFonts w:ascii="Times New Roman" w:hAnsi="Times New Roman" w:cs="Times New Roman"/>
          <w:sz w:val="24"/>
          <w:szCs w:val="24"/>
        </w:rPr>
        <w:t xml:space="preserve"> classificação</w:t>
      </w:r>
      <w:r w:rsidRPr="00864F1A">
        <w:rPr>
          <w:rFonts w:ascii="Times New Roman" w:hAnsi="Times New Roman" w:cs="Times New Roman"/>
          <w:sz w:val="24"/>
          <w:szCs w:val="24"/>
        </w:rPr>
        <w:t xml:space="preserve"> de acordo com a função, os tributos podem ser fiscais, extrafiscais ou parafiscais. O caráter fiscal consiste na arrecadação dos recursos financeiros aos cofres públicos (União, Estados, Municípios e Distrito Federal), e a partir de tal arrecadação “a administração pública deverá realizar a prestação de serviços ínsitos ao Estado, como educação, saúde, segurança, transporte e outros” (FREITAS [?]). </w:t>
      </w:r>
      <w:r w:rsidR="00520845" w:rsidRPr="00864F1A">
        <w:rPr>
          <w:rFonts w:ascii="Times New Roman" w:hAnsi="Times New Roman" w:cs="Times New Roman"/>
          <w:sz w:val="24"/>
          <w:szCs w:val="24"/>
        </w:rPr>
        <w:t>A</w:t>
      </w:r>
      <w:r w:rsidRPr="00864F1A">
        <w:rPr>
          <w:rFonts w:ascii="Times New Roman" w:hAnsi="Times New Roman" w:cs="Times New Roman"/>
          <w:sz w:val="24"/>
          <w:szCs w:val="24"/>
        </w:rPr>
        <w:t xml:space="preserve"> função parafiscal </w:t>
      </w:r>
      <w:r w:rsidR="00472ED6" w:rsidRPr="00864F1A">
        <w:rPr>
          <w:rFonts w:ascii="Times New Roman" w:hAnsi="Times New Roman" w:cs="Times New Roman"/>
          <w:sz w:val="24"/>
          <w:szCs w:val="24"/>
        </w:rPr>
        <w:t>consiste na tributação que “visa custear atividades de interesse público, desenvolvidas por entidades paraestatais, como as que cuidam da previdência social (INSS) e da fiscalização de profissões regulamentadas, como a OAB” (</w:t>
      </w:r>
      <w:r w:rsidR="00311455" w:rsidRPr="00864F1A">
        <w:rPr>
          <w:rFonts w:ascii="Times New Roman" w:hAnsi="Times New Roman" w:cs="Times New Roman"/>
          <w:sz w:val="24"/>
          <w:szCs w:val="24"/>
        </w:rPr>
        <w:t>MAGANHINI</w:t>
      </w:r>
      <w:r w:rsidR="00472ED6" w:rsidRPr="00864F1A">
        <w:rPr>
          <w:rFonts w:ascii="Times New Roman" w:hAnsi="Times New Roman" w:cs="Times New Roman"/>
          <w:sz w:val="24"/>
          <w:szCs w:val="24"/>
        </w:rPr>
        <w:t xml:space="preserve">, 2006). </w:t>
      </w:r>
    </w:p>
    <w:p w:rsidR="00520845" w:rsidRPr="00864F1A" w:rsidRDefault="00520845" w:rsidP="0052084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64F1A">
        <w:rPr>
          <w:rFonts w:ascii="Times New Roman" w:hAnsi="Times New Roman" w:cs="Times New Roman"/>
          <w:sz w:val="24"/>
          <w:szCs w:val="24"/>
        </w:rPr>
        <w:t>Com relação à</w:t>
      </w:r>
      <w:r w:rsidR="00472ED6" w:rsidRPr="00864F1A">
        <w:rPr>
          <w:rFonts w:ascii="Times New Roman" w:hAnsi="Times New Roman" w:cs="Times New Roman"/>
          <w:sz w:val="24"/>
          <w:szCs w:val="24"/>
        </w:rPr>
        <w:t xml:space="preserve"> função extrafiscal, </w:t>
      </w:r>
      <w:r w:rsidR="00960E8D" w:rsidRPr="00864F1A">
        <w:rPr>
          <w:rFonts w:ascii="Times New Roman" w:hAnsi="Times New Roman" w:cs="Times New Roman"/>
          <w:sz w:val="24"/>
          <w:szCs w:val="24"/>
        </w:rPr>
        <w:t xml:space="preserve">o tributo </w:t>
      </w:r>
      <w:r w:rsidRPr="00864F1A">
        <w:rPr>
          <w:rFonts w:ascii="Times New Roman" w:hAnsi="Times New Roman" w:cs="Times New Roman"/>
          <w:sz w:val="24"/>
          <w:szCs w:val="24"/>
        </w:rPr>
        <w:t>funciona como mecanismo de interferência no domínio econômico, no intuito de alcançar um efeito</w:t>
      </w:r>
      <w:r w:rsidR="00346A3E" w:rsidRPr="00864F1A">
        <w:rPr>
          <w:rFonts w:ascii="Times New Roman" w:hAnsi="Times New Roman" w:cs="Times New Roman"/>
          <w:sz w:val="24"/>
          <w:szCs w:val="24"/>
        </w:rPr>
        <w:t xml:space="preserve"> que</w:t>
      </w:r>
      <w:r w:rsidRPr="00864F1A">
        <w:rPr>
          <w:rFonts w:ascii="Times New Roman" w:hAnsi="Times New Roman" w:cs="Times New Roman"/>
          <w:sz w:val="24"/>
          <w:szCs w:val="24"/>
        </w:rPr>
        <w:t xml:space="preserve"> “visa favorecer </w:t>
      </w:r>
      <w:r w:rsidRPr="00864F1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ou desestimular os contribuintes a realizar determinadas ações, por considerá-las convenientes ou nocivas ao interesse público” (SILVA, 201</w:t>
      </w:r>
      <w:r w:rsidR="009A4594" w:rsidRPr="00864F1A">
        <w:rPr>
          <w:rFonts w:ascii="Times New Roman" w:hAnsi="Times New Roman" w:cs="Times New Roman"/>
          <w:sz w:val="24"/>
          <w:szCs w:val="24"/>
        </w:rPr>
        <w:t>4).</w:t>
      </w:r>
    </w:p>
    <w:p w:rsidR="008F06C4" w:rsidRPr="00864F1A" w:rsidRDefault="00D7124D" w:rsidP="00B0439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64F1A">
        <w:rPr>
          <w:rFonts w:ascii="Times New Roman" w:hAnsi="Times New Roman" w:cs="Times New Roman"/>
          <w:sz w:val="24"/>
          <w:szCs w:val="24"/>
        </w:rPr>
        <w:t>O</w:t>
      </w:r>
      <w:r w:rsidR="00F84DF4" w:rsidRPr="00864F1A">
        <w:rPr>
          <w:rFonts w:ascii="Times New Roman" w:hAnsi="Times New Roman" w:cs="Times New Roman"/>
          <w:sz w:val="24"/>
          <w:szCs w:val="24"/>
        </w:rPr>
        <w:t xml:space="preserve"> IOF (Imposto Sobre Operações Financeiras) co</w:t>
      </w:r>
      <w:r w:rsidR="00520845" w:rsidRPr="00864F1A">
        <w:rPr>
          <w:rFonts w:ascii="Times New Roman" w:hAnsi="Times New Roman" w:cs="Times New Roman"/>
          <w:sz w:val="24"/>
          <w:szCs w:val="24"/>
        </w:rPr>
        <w:t>nstitui uma espécie de tributo</w:t>
      </w:r>
      <w:r w:rsidR="004541F3" w:rsidRPr="00864F1A">
        <w:rPr>
          <w:rFonts w:ascii="Times New Roman" w:hAnsi="Times New Roman" w:cs="Times New Roman"/>
          <w:sz w:val="24"/>
          <w:szCs w:val="24"/>
        </w:rPr>
        <w:t>, com incidência “sobre operações de crédito, câmbio e seguro, e sobre operações relativas a títulos e valores mobiliários” (HARADA, 2016, p.508). S</w:t>
      </w:r>
      <w:r w:rsidR="00D23A89" w:rsidRPr="00864F1A">
        <w:rPr>
          <w:rFonts w:ascii="Times New Roman" w:hAnsi="Times New Roman" w:cs="Times New Roman"/>
          <w:sz w:val="24"/>
          <w:szCs w:val="24"/>
        </w:rPr>
        <w:t>ua instituição</w:t>
      </w:r>
      <w:r w:rsidR="004541F3" w:rsidRPr="00864F1A">
        <w:rPr>
          <w:rFonts w:ascii="Times New Roman" w:hAnsi="Times New Roman" w:cs="Times New Roman"/>
          <w:sz w:val="24"/>
          <w:szCs w:val="24"/>
        </w:rPr>
        <w:t xml:space="preserve"> é</w:t>
      </w:r>
      <w:r w:rsidR="00D23A89" w:rsidRPr="00864F1A">
        <w:rPr>
          <w:rFonts w:ascii="Times New Roman" w:hAnsi="Times New Roman" w:cs="Times New Roman"/>
          <w:sz w:val="24"/>
          <w:szCs w:val="24"/>
        </w:rPr>
        <w:t xml:space="preserve"> de competência da União, e tal prerrogativa conferida pela Constituição Federal </w:t>
      </w:r>
      <w:r w:rsidR="008F06C4" w:rsidRPr="00864F1A">
        <w:rPr>
          <w:rFonts w:ascii="Times New Roman" w:hAnsi="Times New Roman" w:cs="Times New Roman"/>
          <w:sz w:val="24"/>
          <w:szCs w:val="24"/>
        </w:rPr>
        <w:t>(1988) está diretamente ligada à finalidade extrafiscal do IOF, uma vez que “o governo federal, manipulando o valor do tributo, pode incentivar operações de crédito em período de crise, ou ainda reprimir tais operações, quando excessivas, ou seja, quando gerar consequências maléficas a economia” (FERN</w:t>
      </w:r>
      <w:r w:rsidR="004541F3" w:rsidRPr="00864F1A">
        <w:rPr>
          <w:rFonts w:ascii="Times New Roman" w:hAnsi="Times New Roman" w:cs="Times New Roman"/>
          <w:sz w:val="24"/>
          <w:szCs w:val="24"/>
        </w:rPr>
        <w:t xml:space="preserve">ANDES, 2015), assim </w:t>
      </w:r>
      <w:r w:rsidR="00B0439B" w:rsidRPr="00864F1A">
        <w:rPr>
          <w:rFonts w:ascii="Times New Roman" w:hAnsi="Times New Roman" w:cs="Times New Roman"/>
          <w:sz w:val="24"/>
          <w:szCs w:val="24"/>
        </w:rPr>
        <w:t>dispõe o artigo 65º do CTN (Lei nº 5.172): “</w:t>
      </w:r>
      <w:r w:rsidR="008F06C4" w:rsidRPr="00864F1A">
        <w:rPr>
          <w:rFonts w:ascii="Times New Roman" w:hAnsi="Times New Roman" w:cs="Times New Roman"/>
          <w:sz w:val="24"/>
          <w:szCs w:val="24"/>
        </w:rPr>
        <w:t>Poder Executivo pode, nas condições e nos limites estabelecidos em lei, alterar as alíquotas ou as bases de cálculo do imposto, a fim de ajustá-lo aos objetivos da política monetária</w:t>
      </w:r>
      <w:r w:rsidR="00B0439B" w:rsidRPr="00864F1A">
        <w:rPr>
          <w:rFonts w:ascii="Times New Roman" w:hAnsi="Times New Roman" w:cs="Times New Roman"/>
          <w:sz w:val="24"/>
          <w:szCs w:val="24"/>
        </w:rPr>
        <w:t xml:space="preserve">” (BRASIL, 1966). </w:t>
      </w:r>
    </w:p>
    <w:p w:rsidR="00472D95" w:rsidRPr="00864F1A" w:rsidRDefault="00472D95" w:rsidP="00472D95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:rsidR="00472D95" w:rsidRPr="00864F1A" w:rsidRDefault="00472D95" w:rsidP="00472D95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864F1A">
        <w:rPr>
          <w:rFonts w:ascii="Times New Roman" w:hAnsi="Times New Roman" w:cs="Times New Roman"/>
          <w:b/>
          <w:color w:val="auto"/>
        </w:rPr>
        <w:t xml:space="preserve">2.2 Questões secundárias: </w:t>
      </w:r>
    </w:p>
    <w:p w:rsidR="00472D95" w:rsidRPr="00864F1A" w:rsidRDefault="00472D95" w:rsidP="00176437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864F1A">
        <w:rPr>
          <w:rFonts w:ascii="Times New Roman" w:hAnsi="Times New Roman" w:cs="Times New Roman"/>
          <w:color w:val="auto"/>
        </w:rPr>
        <w:t>Em matéria de majoração de Impostos, é competente a Presidente da República, através de Decreto Presidencial, fazer tais modificações?</w:t>
      </w:r>
    </w:p>
    <w:p w:rsidR="00176437" w:rsidRPr="00864F1A" w:rsidRDefault="00176437" w:rsidP="00176437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</w:p>
    <w:p w:rsidR="004541F3" w:rsidRPr="00864F1A" w:rsidRDefault="004541F3" w:rsidP="004541F3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  <w:color w:val="auto"/>
        </w:rPr>
      </w:pPr>
      <w:r w:rsidRPr="00864F1A">
        <w:rPr>
          <w:rFonts w:ascii="Times New Roman" w:hAnsi="Times New Roman" w:cs="Times New Roman"/>
          <w:color w:val="auto"/>
        </w:rPr>
        <w:t xml:space="preserve">Partindo do princípio da legalidade tributária, nas palavras do autor Luciano Amaro (2009): </w:t>
      </w:r>
    </w:p>
    <w:p w:rsidR="004541F3" w:rsidRPr="00864F1A" w:rsidRDefault="004541F3" w:rsidP="000D7274">
      <w:pPr>
        <w:pStyle w:val="Default"/>
        <w:ind w:left="226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64F1A">
        <w:rPr>
          <w:rFonts w:ascii="Times New Roman" w:hAnsi="Times New Roman" w:cs="Times New Roman"/>
          <w:color w:val="auto"/>
          <w:sz w:val="20"/>
          <w:szCs w:val="20"/>
        </w:rPr>
        <w:t xml:space="preserve">A legalidade tributária não se conforma com a mera autorização de lei para cobrança de tributos; requer-se que a própria lei defina todos os aspectos pertinentes ao fato gerador, necessários à quantificação do tributo devido em cada situação concreta que venha a espelhar a situação hipotética descrita na lei. A legalidade tributária implica, por conseguinte, não a simples preeminência de lei, mas a reserva absoluta de lei (AMARO, 2009, p.112). </w:t>
      </w:r>
    </w:p>
    <w:p w:rsidR="00805C03" w:rsidRPr="00864F1A" w:rsidRDefault="00805C03" w:rsidP="004541F3">
      <w:pPr>
        <w:pStyle w:val="Default"/>
        <w:ind w:left="2268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805C03" w:rsidRPr="00864F1A" w:rsidRDefault="00805C03" w:rsidP="004541F3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864F1A">
        <w:rPr>
          <w:rFonts w:ascii="Times New Roman" w:hAnsi="Times New Roman" w:cs="Times New Roman"/>
          <w:color w:val="auto"/>
        </w:rPr>
        <w:t xml:space="preserve">É correto afirmar que tal princípio, presa pela cobrança ou majoração através de Lei, assim como já foi mencionado anteriormente, o </w:t>
      </w:r>
      <w:r w:rsidRPr="00864F1A">
        <w:rPr>
          <w:rFonts w:ascii="Times New Roman" w:hAnsi="Times New Roman" w:cs="Times New Roman"/>
          <w:color w:val="auto"/>
          <w:shd w:val="clear" w:color="auto" w:fill="FFFFFF"/>
        </w:rPr>
        <w:t>ente tributador só poderá cobrar o tributo previsto e descrito completamente em Lei (HARADA, 2016).  Visualizando exclusivamente por essa vertente, não se pode ter uma modificação em relação à majoração de tributos via decreto.</w:t>
      </w:r>
    </w:p>
    <w:p w:rsidR="00805C03" w:rsidRPr="00864F1A" w:rsidRDefault="00805C03" w:rsidP="004541F3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  <w:color w:val="auto"/>
        </w:rPr>
      </w:pPr>
      <w:r w:rsidRPr="00864F1A">
        <w:rPr>
          <w:rFonts w:ascii="Times New Roman" w:hAnsi="Times New Roman" w:cs="Times New Roman"/>
          <w:color w:val="auto"/>
          <w:shd w:val="clear" w:color="auto" w:fill="FFFFFF"/>
        </w:rPr>
        <w:t xml:space="preserve">Porém, o direito tributário, assim como os demais ramos do Direito devem conter uma visão Constitucional, a Constituição Federal (1988), autoriza de forma expressa modificações desse teor realizadas pelo Poder Executivo sem necessidade de Lei, como </w:t>
      </w:r>
      <w:r w:rsidR="00A840F6" w:rsidRPr="00864F1A">
        <w:rPr>
          <w:rFonts w:ascii="Times New Roman" w:hAnsi="Times New Roman" w:cs="Times New Roman"/>
          <w:color w:val="auto"/>
          <w:shd w:val="clear" w:color="auto" w:fill="FFFFFF"/>
        </w:rPr>
        <w:t>esta elencada</w:t>
      </w:r>
      <w:r w:rsidRPr="00864F1A">
        <w:rPr>
          <w:rFonts w:ascii="Times New Roman" w:hAnsi="Times New Roman" w:cs="Times New Roman"/>
          <w:color w:val="auto"/>
          <w:shd w:val="clear" w:color="auto" w:fill="FFFFFF"/>
        </w:rPr>
        <w:t xml:space="preserve"> no artigo </w:t>
      </w:r>
      <w:r w:rsidR="00A840F6" w:rsidRPr="00864F1A">
        <w:rPr>
          <w:rFonts w:ascii="Times New Roman" w:hAnsi="Times New Roman" w:cs="Times New Roman"/>
          <w:color w:val="auto"/>
        </w:rPr>
        <w:t>153, parágrafo § 1º: “É facultado ao Poder Executivo, atendidas as condições e os limites estabelecidos em lei, alterar as alíquotas dos impostos enumerados nos incisos: I, II, IV e V” (BRASIL, 1988), o inciso V vem a tratar do IOF, impostos sobre operações de crédito, câmbio e seguro, ou relativas a títulos ou valores mobiliários</w:t>
      </w:r>
      <w:r w:rsidR="00616074" w:rsidRPr="00864F1A">
        <w:rPr>
          <w:rFonts w:ascii="Times New Roman" w:hAnsi="Times New Roman" w:cs="Times New Roman"/>
          <w:color w:val="auto"/>
        </w:rPr>
        <w:t xml:space="preserve"> (OLIVEIRA, 2010). </w:t>
      </w:r>
    </w:p>
    <w:p w:rsidR="00075E99" w:rsidRPr="00864F1A" w:rsidRDefault="00A840F6" w:rsidP="00314B50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  <w:color w:val="auto"/>
        </w:rPr>
      </w:pPr>
      <w:r w:rsidRPr="00864F1A">
        <w:rPr>
          <w:rFonts w:ascii="Times New Roman" w:hAnsi="Times New Roman" w:cs="Times New Roman"/>
          <w:color w:val="auto"/>
        </w:rPr>
        <w:t xml:space="preserve">Desta forma, o presidente da República, como chefe máximo do poder executivo, está autorizado </w:t>
      </w:r>
      <w:r w:rsidR="002B02AA" w:rsidRPr="00864F1A">
        <w:rPr>
          <w:rFonts w:ascii="Times New Roman" w:hAnsi="Times New Roman" w:cs="Times New Roman"/>
          <w:color w:val="auto"/>
        </w:rPr>
        <w:t>a realizar majoração de IOF desde que suas razões sejam fundament</w:t>
      </w:r>
      <w:r w:rsidR="00314B50" w:rsidRPr="00864F1A">
        <w:rPr>
          <w:rFonts w:ascii="Times New Roman" w:hAnsi="Times New Roman" w:cs="Times New Roman"/>
          <w:color w:val="auto"/>
        </w:rPr>
        <w:t>adas, quanto ao questionamento a respeito da forma legislativa,</w:t>
      </w:r>
      <w:r w:rsidR="00075E99" w:rsidRPr="00864F1A">
        <w:rPr>
          <w:rFonts w:ascii="Times New Roman" w:hAnsi="Times New Roman" w:cs="Times New Roman"/>
          <w:color w:val="auto"/>
        </w:rPr>
        <w:t xml:space="preserve"> poderá ser realizado via medida provisória e ainda via decreto.</w:t>
      </w:r>
    </w:p>
    <w:p w:rsidR="005D39E1" w:rsidRPr="00864F1A" w:rsidRDefault="00314B50" w:rsidP="005D39E1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  <w:color w:val="auto"/>
        </w:rPr>
      </w:pPr>
      <w:r w:rsidRPr="00864F1A">
        <w:rPr>
          <w:rFonts w:ascii="Times New Roman" w:hAnsi="Times New Roman" w:cs="Times New Roman"/>
          <w:color w:val="auto"/>
        </w:rPr>
        <w:t xml:space="preserve"> </w:t>
      </w:r>
      <w:r w:rsidR="00075E99" w:rsidRPr="00864F1A">
        <w:rPr>
          <w:rFonts w:ascii="Times New Roman" w:hAnsi="Times New Roman" w:cs="Times New Roman"/>
          <w:color w:val="auto"/>
        </w:rPr>
        <w:t>E</w:t>
      </w:r>
      <w:r w:rsidRPr="00864F1A">
        <w:rPr>
          <w:rFonts w:ascii="Times New Roman" w:hAnsi="Times New Roman" w:cs="Times New Roman"/>
          <w:color w:val="auto"/>
        </w:rPr>
        <w:t xml:space="preserve">m casos de urgência e emergência a </w:t>
      </w:r>
      <w:r w:rsidRPr="00864F1A">
        <w:rPr>
          <w:rFonts w:ascii="Times New Roman" w:hAnsi="Times New Roman" w:cs="Times New Roman"/>
          <w:color w:val="auto"/>
          <w:shd w:val="clear" w:color="auto" w:fill="FFFFFF"/>
        </w:rPr>
        <w:t xml:space="preserve">Emenda Constitucional nº 32, de 11 de setembro de 2001 trouxe a forma legislativa de medida provisória para tais alterações (GUERRA, 2012). Porém nos demais </w:t>
      </w:r>
      <w:r w:rsidR="005D39E1" w:rsidRPr="00864F1A">
        <w:rPr>
          <w:rFonts w:ascii="Times New Roman" w:hAnsi="Times New Roman" w:cs="Times New Roman"/>
          <w:color w:val="auto"/>
          <w:shd w:val="clear" w:color="auto" w:fill="FFFFFF"/>
        </w:rPr>
        <w:t>caso</w:t>
      </w:r>
      <w:r w:rsidR="00075E99" w:rsidRPr="00864F1A">
        <w:rPr>
          <w:rFonts w:ascii="Times New Roman" w:hAnsi="Times New Roman" w:cs="Times New Roman"/>
          <w:color w:val="auto"/>
          <w:shd w:val="clear" w:color="auto" w:fill="FFFFFF"/>
        </w:rPr>
        <w:t>s,</w:t>
      </w:r>
      <w:r w:rsidR="005D39E1" w:rsidRPr="00864F1A">
        <w:rPr>
          <w:rFonts w:ascii="Times New Roman" w:hAnsi="Times New Roman" w:cs="Times New Roman"/>
          <w:color w:val="auto"/>
          <w:shd w:val="clear" w:color="auto" w:fill="FFFFFF"/>
        </w:rPr>
        <w:t xml:space="preserve"> fora</w:t>
      </w:r>
      <w:r w:rsidRPr="00864F1A">
        <w:rPr>
          <w:rFonts w:ascii="Times New Roman" w:hAnsi="Times New Roman" w:cs="Times New Roman"/>
          <w:color w:val="auto"/>
          <w:shd w:val="clear" w:color="auto" w:fill="FFFFFF"/>
        </w:rPr>
        <w:t xml:space="preserve"> utilizada formas distintas, com</w:t>
      </w:r>
      <w:r w:rsidR="005D39E1" w:rsidRPr="00864F1A">
        <w:rPr>
          <w:rFonts w:ascii="Times New Roman" w:hAnsi="Times New Roman" w:cs="Times New Roman"/>
          <w:color w:val="auto"/>
          <w:shd w:val="clear" w:color="auto" w:fill="FFFFFF"/>
        </w:rPr>
        <w:t>o</w:t>
      </w:r>
      <w:r w:rsidRPr="00864F1A">
        <w:rPr>
          <w:rFonts w:ascii="Times New Roman" w:hAnsi="Times New Roman" w:cs="Times New Roman"/>
          <w:color w:val="auto"/>
          <w:shd w:val="clear" w:color="auto" w:fill="FFFFFF"/>
        </w:rPr>
        <w:t xml:space="preserve"> exceção ao principio da legalidade, </w:t>
      </w:r>
      <w:r w:rsidR="005D39E1" w:rsidRPr="00864F1A">
        <w:rPr>
          <w:rFonts w:ascii="Times New Roman" w:hAnsi="Times New Roman" w:cs="Times New Roman"/>
          <w:color w:val="auto"/>
          <w:shd w:val="clear" w:color="auto" w:fill="FFFFFF"/>
        </w:rPr>
        <w:t>dando ênfase ainda ao caráter extrafiscal do IOF, n</w:t>
      </w:r>
      <w:r w:rsidRPr="00864F1A">
        <w:rPr>
          <w:rFonts w:ascii="Times New Roman" w:hAnsi="Times New Roman" w:cs="Times New Roman"/>
          <w:color w:val="auto"/>
          <w:shd w:val="clear" w:color="auto" w:fill="FFFFFF"/>
        </w:rPr>
        <w:t>o que tange ao artigo 153</w:t>
      </w:r>
      <w:r w:rsidRPr="00864F1A">
        <w:rPr>
          <w:rFonts w:ascii="Times New Roman" w:hAnsi="Times New Roman" w:cs="Times New Roman"/>
          <w:color w:val="auto"/>
        </w:rPr>
        <w:t xml:space="preserve">, parágrafo § 1º da Constituição Federal (1988), </w:t>
      </w:r>
      <w:r w:rsidR="005D39E1" w:rsidRPr="00864F1A">
        <w:rPr>
          <w:rFonts w:ascii="Times New Roman" w:hAnsi="Times New Roman" w:cs="Times New Roman"/>
          <w:color w:val="auto"/>
        </w:rPr>
        <w:t xml:space="preserve">o poder executivo poderá “alterar </w:t>
      </w:r>
      <w:r w:rsidR="005D39E1" w:rsidRPr="00864F1A">
        <w:rPr>
          <w:rFonts w:ascii="Times New Roman" w:hAnsi="Times New Roman" w:cs="Times New Roman"/>
          <w:color w:val="auto"/>
          <w:shd w:val="clear" w:color="auto" w:fill="FFFFFF"/>
        </w:rPr>
        <w:t xml:space="preserve">as alíquotas, no intuito de proteger a indústria Nacional via decreto presidencial, porém só é possível a alteração, se o decreto obedecer às condições e limites estabelecidos em lei” (GUERRA, 2012). </w:t>
      </w:r>
    </w:p>
    <w:p w:rsidR="004541F3" w:rsidRPr="00864F1A" w:rsidRDefault="004541F3" w:rsidP="004541F3">
      <w:pPr>
        <w:pStyle w:val="Default"/>
        <w:spacing w:line="360" w:lineRule="auto"/>
        <w:ind w:firstLine="1134"/>
        <w:jc w:val="both"/>
        <w:rPr>
          <w:rFonts w:ascii="Times New Roman" w:hAnsi="Times New Roman" w:cs="Times New Roman"/>
          <w:color w:val="auto"/>
        </w:rPr>
      </w:pPr>
    </w:p>
    <w:p w:rsidR="000C0084" w:rsidRPr="00864F1A" w:rsidRDefault="00472D95" w:rsidP="00176437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864F1A">
        <w:rPr>
          <w:rFonts w:ascii="Times New Roman" w:hAnsi="Times New Roman" w:cs="Times New Roman"/>
          <w:color w:val="auto"/>
        </w:rPr>
        <w:t xml:space="preserve"> A fundamentação disposta no texto do Decreto Presidencial é compatível com qual discurso: da crítica ou do governo federal? Por quê?</w:t>
      </w:r>
    </w:p>
    <w:p w:rsidR="00176437" w:rsidRPr="00864F1A" w:rsidRDefault="00176437" w:rsidP="00176437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</w:p>
    <w:p w:rsidR="00417CC7" w:rsidRPr="00864F1A" w:rsidRDefault="008C252B" w:rsidP="003E2C7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64F1A">
        <w:rPr>
          <w:rFonts w:ascii="Times New Roman" w:hAnsi="Times New Roman" w:cs="Times New Roman"/>
          <w:sz w:val="24"/>
          <w:szCs w:val="24"/>
        </w:rPr>
        <w:t xml:space="preserve">A fundamentação do governo federal para a majoração do IOF descansa na </w:t>
      </w:r>
      <w:r w:rsidR="00013EFD" w:rsidRPr="00864F1A">
        <w:rPr>
          <w:rFonts w:ascii="Times New Roman" w:hAnsi="Times New Roman" w:cs="Times New Roman"/>
          <w:sz w:val="24"/>
          <w:szCs w:val="24"/>
        </w:rPr>
        <w:t xml:space="preserve">finalidade principal de tal imposto, a regulação da economia nacional e </w:t>
      </w:r>
      <w:r w:rsidR="002872D6" w:rsidRPr="00864F1A">
        <w:rPr>
          <w:rFonts w:ascii="Times New Roman" w:hAnsi="Times New Roman" w:cs="Times New Roman"/>
          <w:sz w:val="24"/>
          <w:szCs w:val="24"/>
        </w:rPr>
        <w:t xml:space="preserve">o caráter extrafiscal dos impostos </w:t>
      </w:r>
      <w:r w:rsidR="00E66949" w:rsidRPr="00864F1A">
        <w:rPr>
          <w:rFonts w:ascii="Times New Roman" w:hAnsi="Times New Roman" w:cs="Times New Roman"/>
          <w:sz w:val="24"/>
          <w:szCs w:val="24"/>
        </w:rPr>
        <w:t>sobre operaçõ</w:t>
      </w:r>
      <w:r w:rsidR="00013EFD" w:rsidRPr="00864F1A">
        <w:rPr>
          <w:rFonts w:ascii="Times New Roman" w:hAnsi="Times New Roman" w:cs="Times New Roman"/>
          <w:sz w:val="24"/>
          <w:szCs w:val="24"/>
        </w:rPr>
        <w:t xml:space="preserve">es financeiras. </w:t>
      </w:r>
      <w:r w:rsidR="00394D95" w:rsidRPr="00864F1A">
        <w:rPr>
          <w:rFonts w:ascii="Times New Roman" w:hAnsi="Times New Roman" w:cs="Times New Roman"/>
          <w:sz w:val="24"/>
          <w:szCs w:val="24"/>
        </w:rPr>
        <w:t>Já no outro vértice, a crítica ao governo realizada pelos tributaristas e analistas financeiros nacionais, afirma que na prática</w:t>
      </w:r>
      <w:r w:rsidR="00417CC7" w:rsidRPr="00864F1A">
        <w:rPr>
          <w:rFonts w:ascii="Times New Roman" w:hAnsi="Times New Roman" w:cs="Times New Roman"/>
          <w:sz w:val="24"/>
          <w:szCs w:val="24"/>
        </w:rPr>
        <w:t xml:space="preserve">, </w:t>
      </w:r>
      <w:r w:rsidR="00394D95" w:rsidRPr="00864F1A">
        <w:rPr>
          <w:rFonts w:ascii="Times New Roman" w:hAnsi="Times New Roman" w:cs="Times New Roman"/>
          <w:sz w:val="24"/>
          <w:szCs w:val="24"/>
        </w:rPr>
        <w:t xml:space="preserve">a real finalidade do governo federal é a simples arrecadação. </w:t>
      </w:r>
    </w:p>
    <w:p w:rsidR="00A91ED3" w:rsidRPr="00864F1A" w:rsidRDefault="007075A3" w:rsidP="00A91ED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64F1A">
        <w:rPr>
          <w:rFonts w:ascii="Times New Roman" w:hAnsi="Times New Roman" w:cs="Times New Roman"/>
          <w:sz w:val="24"/>
          <w:szCs w:val="24"/>
        </w:rPr>
        <w:lastRenderedPageBreak/>
        <w:t>É valido afirmar que a</w:t>
      </w:r>
      <w:r w:rsidR="00E07DA5" w:rsidRPr="00864F1A">
        <w:rPr>
          <w:rFonts w:ascii="Times New Roman" w:hAnsi="Times New Roman" w:cs="Times New Roman"/>
          <w:sz w:val="24"/>
          <w:szCs w:val="24"/>
        </w:rPr>
        <w:t xml:space="preserve"> majoração realizada pelo governo federal não teve uma fundamentação plena, </w:t>
      </w:r>
      <w:r w:rsidRPr="00864F1A">
        <w:rPr>
          <w:rFonts w:ascii="Times New Roman" w:hAnsi="Times New Roman" w:cs="Times New Roman"/>
          <w:sz w:val="24"/>
          <w:szCs w:val="24"/>
        </w:rPr>
        <w:t xml:space="preserve">em contrapartida, a crítica ao governo se mostra bem fundamentada, segundo Diogo Ferraz (2016) </w:t>
      </w:r>
      <w:r w:rsidR="00A91ED3" w:rsidRPr="00864F1A">
        <w:rPr>
          <w:rFonts w:ascii="Times New Roman" w:hAnsi="Times New Roman" w:cs="Times New Roman"/>
          <w:sz w:val="24"/>
          <w:szCs w:val="24"/>
        </w:rPr>
        <w:t>o principal ponto que justifica</w:t>
      </w:r>
      <w:r w:rsidRPr="00864F1A">
        <w:rPr>
          <w:rFonts w:ascii="Times New Roman" w:hAnsi="Times New Roman" w:cs="Times New Roman"/>
          <w:sz w:val="24"/>
          <w:szCs w:val="24"/>
        </w:rPr>
        <w:t xml:space="preserve"> a desvirtuação da finalidade do IOF pelo poder público, ou seja, </w:t>
      </w:r>
      <w:r w:rsidR="00E07DA5" w:rsidRPr="00864F1A">
        <w:rPr>
          <w:rFonts w:ascii="Times New Roman" w:hAnsi="Times New Roman" w:cs="Times New Roman"/>
          <w:sz w:val="24"/>
          <w:szCs w:val="24"/>
        </w:rPr>
        <w:t>a</w:t>
      </w:r>
      <w:r w:rsidR="00F02532" w:rsidRPr="00864F1A">
        <w:rPr>
          <w:rFonts w:ascii="Times New Roman" w:hAnsi="Times New Roman" w:cs="Times New Roman"/>
          <w:sz w:val="24"/>
          <w:szCs w:val="24"/>
        </w:rPr>
        <w:t xml:space="preserve"> utiliza</w:t>
      </w:r>
      <w:r w:rsidR="00A91ED3" w:rsidRPr="00864F1A">
        <w:rPr>
          <w:rFonts w:ascii="Times New Roman" w:hAnsi="Times New Roman" w:cs="Times New Roman"/>
          <w:sz w:val="24"/>
          <w:szCs w:val="24"/>
        </w:rPr>
        <w:t>ção da finalidade arrecadatória em imposto extrafiscal, descansa na seguinte ideia:</w:t>
      </w:r>
    </w:p>
    <w:p w:rsidR="00A91ED3" w:rsidRPr="00864F1A" w:rsidRDefault="00A91ED3" w:rsidP="00A91ED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4F1A">
        <w:rPr>
          <w:rFonts w:ascii="Times New Roman" w:hAnsi="Times New Roman" w:cs="Times New Roman"/>
          <w:sz w:val="24"/>
          <w:szCs w:val="24"/>
        </w:rPr>
        <w:t xml:space="preserve">Quando há incidência do IOF para regular setores da economia, de forma sintonizada deve haver uma </w:t>
      </w:r>
      <w:r w:rsidRPr="00864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regulação pública aplicada sobre os mesmos setores, porém o que ocorreu fora somente o decreto, sem qualquer regulamentação interna dos setores da economia, “assim, um aumento de alíquota que contradiz a política regulatória aplicada pelo órgão competente não pode ser considerado legítimo” (FERRAZ, 2016). </w:t>
      </w:r>
    </w:p>
    <w:p w:rsidR="004541F3" w:rsidRPr="00864F1A" w:rsidRDefault="00A91ED3" w:rsidP="0017643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4F1A">
        <w:rPr>
          <w:rFonts w:ascii="Times New Roman" w:hAnsi="Times New Roman" w:cs="Times New Roman"/>
          <w:sz w:val="24"/>
          <w:szCs w:val="24"/>
          <w:shd w:val="clear" w:color="auto" w:fill="FFFFFF"/>
        </w:rPr>
        <w:t>Desta forma, fica clara a desvirtuação da finalidade do Imposto sobre Operações financeiras</w:t>
      </w:r>
      <w:r w:rsidR="00272180" w:rsidRPr="00864F1A">
        <w:rPr>
          <w:rFonts w:ascii="Times New Roman" w:hAnsi="Times New Roman" w:cs="Times New Roman"/>
          <w:sz w:val="24"/>
          <w:szCs w:val="24"/>
          <w:shd w:val="clear" w:color="auto" w:fill="FFFFFF"/>
        </w:rPr>
        <w:t>, realizando medidas puramente ar</w:t>
      </w:r>
      <w:r w:rsidR="005E7BBB" w:rsidRPr="00864F1A">
        <w:rPr>
          <w:rFonts w:ascii="Times New Roman" w:hAnsi="Times New Roman" w:cs="Times New Roman"/>
          <w:sz w:val="24"/>
          <w:szCs w:val="24"/>
          <w:shd w:val="clear" w:color="auto" w:fill="FFFFFF"/>
        </w:rPr>
        <w:t>recadatórias, no intuito de cob</w:t>
      </w:r>
      <w:r w:rsidR="00272180" w:rsidRPr="00864F1A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5E7BBB" w:rsidRPr="00864F1A">
        <w:rPr>
          <w:rFonts w:ascii="Times New Roman" w:hAnsi="Times New Roman" w:cs="Times New Roman"/>
          <w:sz w:val="24"/>
          <w:szCs w:val="24"/>
          <w:shd w:val="clear" w:color="auto" w:fill="FFFFFF"/>
        </w:rPr>
        <w:t>ir</w:t>
      </w:r>
      <w:r w:rsidR="00272180" w:rsidRPr="00864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E7BBB" w:rsidRPr="00864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 </w:t>
      </w:r>
      <w:r w:rsidR="00176437" w:rsidRPr="00864F1A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5E7BBB" w:rsidRPr="00864F1A">
        <w:rPr>
          <w:rFonts w:ascii="Times New Roman" w:hAnsi="Times New Roman" w:cs="Times New Roman"/>
          <w:sz w:val="24"/>
          <w:szCs w:val="24"/>
          <w:shd w:val="clear" w:color="auto" w:fill="FFFFFF"/>
        </w:rPr>
        <w:t>buracos</w:t>
      </w:r>
      <w:r w:rsidR="00176437" w:rsidRPr="00864F1A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="005E7BBB" w:rsidRPr="00864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realizados </w:t>
      </w:r>
      <w:r w:rsidR="00176437" w:rsidRPr="00864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pelo gestor público, devido à má administração e desvios dos recursos financeiros. </w:t>
      </w:r>
    </w:p>
    <w:p w:rsidR="00176437" w:rsidRPr="00864F1A" w:rsidRDefault="00176437" w:rsidP="0017643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105CE" w:rsidRPr="00864F1A" w:rsidRDefault="00176437" w:rsidP="008105CE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F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REFERENCIAS</w:t>
      </w:r>
    </w:p>
    <w:p w:rsidR="008105CE" w:rsidRPr="00864F1A" w:rsidRDefault="008105CE" w:rsidP="00B36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105CE" w:rsidRPr="00864F1A" w:rsidRDefault="008105CE" w:rsidP="00F41A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F1A">
        <w:rPr>
          <w:rFonts w:ascii="Times New Roman" w:hAnsi="Times New Roman" w:cs="Times New Roman"/>
          <w:sz w:val="24"/>
          <w:szCs w:val="24"/>
        </w:rPr>
        <w:t>AMARO, Luciano. Direito tributário brasileiro. 15.ed. São Paulo: Saraiva, 2009.</w:t>
      </w:r>
    </w:p>
    <w:p w:rsidR="008105CE" w:rsidRPr="00864F1A" w:rsidRDefault="008105CE" w:rsidP="00F41A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5CE" w:rsidRPr="00864F1A" w:rsidRDefault="008105CE" w:rsidP="00F41A2B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4F1A">
        <w:rPr>
          <w:rFonts w:ascii="Times New Roman" w:hAnsi="Times New Roman" w:cs="Times New Roman"/>
          <w:sz w:val="24"/>
          <w:szCs w:val="24"/>
        </w:rPr>
        <w:t xml:space="preserve">BRASIL, </w:t>
      </w:r>
      <w:r w:rsidRPr="00864F1A">
        <w:rPr>
          <w:rFonts w:ascii="Times New Roman" w:hAnsi="Times New Roman" w:cs="Times New Roman"/>
          <w:b/>
          <w:sz w:val="24"/>
          <w:szCs w:val="24"/>
        </w:rPr>
        <w:t>Código Tributário Nacional - Lei nº 5.172</w:t>
      </w:r>
      <w:r w:rsidRPr="00864F1A">
        <w:rPr>
          <w:rFonts w:ascii="Times New Roman" w:hAnsi="Times New Roman" w:cs="Times New Roman"/>
          <w:sz w:val="24"/>
          <w:szCs w:val="24"/>
        </w:rPr>
        <w:t>. 1966. São Paulo: Saraiva, 2014.</w:t>
      </w:r>
    </w:p>
    <w:p w:rsidR="008105CE" w:rsidRPr="00864F1A" w:rsidRDefault="008105CE" w:rsidP="00F41A2B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105CE" w:rsidRPr="00864F1A" w:rsidRDefault="008105CE" w:rsidP="00F41A2B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4F1A">
        <w:rPr>
          <w:rFonts w:ascii="Times New Roman" w:hAnsi="Times New Roman" w:cs="Times New Roman"/>
          <w:sz w:val="24"/>
          <w:szCs w:val="24"/>
        </w:rPr>
        <w:t xml:space="preserve">BRASIL, </w:t>
      </w:r>
      <w:r w:rsidRPr="00864F1A">
        <w:rPr>
          <w:rFonts w:ascii="Times New Roman" w:hAnsi="Times New Roman" w:cs="Times New Roman"/>
          <w:b/>
          <w:sz w:val="24"/>
          <w:szCs w:val="24"/>
        </w:rPr>
        <w:t>Constituição Federal do Brasil</w:t>
      </w:r>
      <w:r w:rsidRPr="00864F1A">
        <w:rPr>
          <w:rFonts w:ascii="Times New Roman" w:hAnsi="Times New Roman" w:cs="Times New Roman"/>
          <w:sz w:val="24"/>
          <w:szCs w:val="24"/>
        </w:rPr>
        <w:t>: promulgada em 5 de outubro de 1988. São Paulo: Saraiva, 2014.</w:t>
      </w:r>
    </w:p>
    <w:p w:rsidR="00FB58C5" w:rsidRPr="00864F1A" w:rsidRDefault="00FB58C5" w:rsidP="00F41A2B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105CE" w:rsidRPr="00864F1A" w:rsidRDefault="008105CE" w:rsidP="002D3DBF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4F1A">
        <w:rPr>
          <w:rFonts w:ascii="Times New Roman" w:hAnsi="Times New Roman" w:cs="Times New Roman"/>
          <w:sz w:val="24"/>
          <w:szCs w:val="24"/>
        </w:rPr>
        <w:t xml:space="preserve">FERNANDES, Alexandre. </w:t>
      </w:r>
      <w:r w:rsidRPr="00864F1A">
        <w:rPr>
          <w:rFonts w:ascii="Times New Roman" w:hAnsi="Times New Roman" w:cs="Times New Roman"/>
          <w:b/>
          <w:sz w:val="24"/>
          <w:szCs w:val="24"/>
        </w:rPr>
        <w:t xml:space="preserve">Direito tributário: </w:t>
      </w:r>
      <w:r w:rsidRPr="00864F1A">
        <w:rPr>
          <w:rFonts w:ascii="Times New Roman" w:hAnsi="Times New Roman" w:cs="Times New Roman"/>
          <w:sz w:val="24"/>
          <w:szCs w:val="24"/>
        </w:rPr>
        <w:t xml:space="preserve">IOF. 2015. Disponível em: &lt;https://www.trabalhosgratuitos.com/Humanas/Direito/Direito-tributario-resenha-699019.htm&gt;. Acesso em 02 out 2016. </w:t>
      </w:r>
    </w:p>
    <w:p w:rsidR="008105CE" w:rsidRPr="00864F1A" w:rsidRDefault="008105CE" w:rsidP="002D3DBF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105CE" w:rsidRPr="00864F1A" w:rsidRDefault="008105CE" w:rsidP="00B71FB3">
      <w:pPr>
        <w:rPr>
          <w:rFonts w:ascii="Times New Roman" w:hAnsi="Times New Roman" w:cs="Times New Roman"/>
          <w:sz w:val="24"/>
          <w:szCs w:val="24"/>
        </w:rPr>
      </w:pPr>
      <w:r w:rsidRPr="00864F1A">
        <w:rPr>
          <w:rFonts w:ascii="Times New Roman" w:hAnsi="Times New Roman" w:cs="Times New Roman"/>
          <w:sz w:val="24"/>
          <w:szCs w:val="24"/>
        </w:rPr>
        <w:t>FERRAZ, Diogo.</w:t>
      </w:r>
      <w:r w:rsidRPr="00864F1A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9" w:history="1">
        <w:r w:rsidRPr="00864F1A">
          <w:rPr>
            <w:rStyle w:val="Hiperligao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Uso deturpado e inconstitucional do IOF</w:t>
        </w:r>
      </w:hyperlink>
      <w:r w:rsidRPr="00864F1A">
        <w:rPr>
          <w:rFonts w:ascii="Times New Roman" w:hAnsi="Times New Roman" w:cs="Times New Roman"/>
          <w:sz w:val="24"/>
          <w:szCs w:val="24"/>
        </w:rPr>
        <w:t xml:space="preserve">. 2016. Disponível em: &lt;http://alfonsin.com.br/uso-deturpado-e-inconstitucional-do-iof/&gt;. Acesso em 03 out 2016. </w:t>
      </w:r>
    </w:p>
    <w:p w:rsidR="008105CE" w:rsidRPr="00864F1A" w:rsidRDefault="008105CE" w:rsidP="002D3DBF">
      <w:pPr>
        <w:pStyle w:val="PargrafodaLista"/>
        <w:spacing w:after="0" w:line="240" w:lineRule="auto"/>
        <w:ind w:left="0"/>
        <w:jc w:val="both"/>
        <w:rPr>
          <w:rStyle w:val="Hiperligao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64F1A">
        <w:rPr>
          <w:rFonts w:ascii="Times New Roman" w:hAnsi="Times New Roman" w:cs="Times New Roman"/>
          <w:sz w:val="24"/>
          <w:szCs w:val="24"/>
        </w:rPr>
        <w:t xml:space="preserve">FREITAS, Rômulo de Jesus Dieguez de. </w:t>
      </w:r>
      <w:r w:rsidRPr="00864F1A">
        <w:rPr>
          <w:rFonts w:ascii="Times New Roman" w:hAnsi="Times New Roman" w:cs="Times New Roman"/>
          <w:b/>
          <w:sz w:val="24"/>
          <w:szCs w:val="24"/>
        </w:rPr>
        <w:t>A função extrafiscal dos tributos</w:t>
      </w:r>
      <w:r w:rsidRPr="00864F1A">
        <w:rPr>
          <w:rFonts w:ascii="Times New Roman" w:hAnsi="Times New Roman" w:cs="Times New Roman"/>
          <w:sz w:val="24"/>
          <w:szCs w:val="24"/>
        </w:rPr>
        <w:t>. Disponível em: &lt;</w:t>
      </w:r>
      <w:hyperlink r:id="rId10" w:history="1">
        <w:r w:rsidRPr="00864F1A">
          <w:rPr>
            <w:rStyle w:val="Hiperligao"/>
            <w:rFonts w:ascii="Times New Roman" w:hAnsi="Times New Roman" w:cs="Times New Roman"/>
            <w:color w:val="auto"/>
            <w:sz w:val="24"/>
            <w:szCs w:val="24"/>
            <w:u w:val="none"/>
          </w:rPr>
          <w:t>http://maja.net.br/Artigos_PDF/Art_14.pdf</w:t>
        </w:r>
      </w:hyperlink>
      <w:r w:rsidRPr="00864F1A">
        <w:rPr>
          <w:rStyle w:val="Hiperligao"/>
          <w:rFonts w:ascii="Times New Roman" w:hAnsi="Times New Roman" w:cs="Times New Roman"/>
          <w:color w:val="auto"/>
          <w:sz w:val="24"/>
          <w:szCs w:val="24"/>
          <w:u w:val="none"/>
        </w:rPr>
        <w:t xml:space="preserve">&gt;. Acesso em 03 out 2016. </w:t>
      </w:r>
    </w:p>
    <w:p w:rsidR="008105CE" w:rsidRPr="00864F1A" w:rsidRDefault="008105CE" w:rsidP="002D3DBF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105CE" w:rsidRPr="00864F1A" w:rsidRDefault="008105CE" w:rsidP="00B36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4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GUERRA, Guilherme Aires. </w:t>
      </w:r>
      <w:r w:rsidRPr="00864F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 princípio da legalidade no direito tributário e suas exceções</w:t>
      </w:r>
      <w:r w:rsidRPr="00864F1A">
        <w:rPr>
          <w:rFonts w:ascii="Times New Roman" w:hAnsi="Times New Roman" w:cs="Times New Roman"/>
          <w:sz w:val="24"/>
          <w:szCs w:val="24"/>
          <w:shd w:val="clear" w:color="auto" w:fill="FFFFFF"/>
        </w:rPr>
        <w:t>. Rio Grande, XV, n. 99, abr 2012. Disponível em: &lt;</w:t>
      </w:r>
      <w:hyperlink r:id="rId11" w:tooltip="Informações Bibliográficas" w:history="1">
        <w:r w:rsidRPr="00864F1A">
          <w:rPr>
            <w:rStyle w:val="Hiperligao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http://www.ambito-juridico.com.br/site/?n_link=revista_artigos_leitura&amp;artigo_id=11478</w:t>
        </w:r>
      </w:hyperlink>
      <w:r w:rsidRPr="00864F1A">
        <w:rPr>
          <w:rFonts w:ascii="Times New Roman" w:hAnsi="Times New Roman" w:cs="Times New Roman"/>
          <w:sz w:val="24"/>
          <w:szCs w:val="24"/>
          <w:shd w:val="clear" w:color="auto" w:fill="FFFFFF"/>
        </w:rPr>
        <w:t>&gt;. Acesso em 03 out 2016.</w:t>
      </w:r>
    </w:p>
    <w:p w:rsidR="008105CE" w:rsidRPr="00864F1A" w:rsidRDefault="008105CE" w:rsidP="00B36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105CE" w:rsidRPr="00864F1A" w:rsidRDefault="008105CE" w:rsidP="00AC3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4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HARADA, Kiyoshi. </w:t>
      </w:r>
      <w:r w:rsidRPr="00864F1A">
        <w:rPr>
          <w:rFonts w:ascii="Times New Roman" w:hAnsi="Times New Roman" w:cs="Times New Roman"/>
          <w:b/>
          <w:sz w:val="24"/>
          <w:szCs w:val="24"/>
        </w:rPr>
        <w:t>Direito financeiro e tributário</w:t>
      </w:r>
      <w:r w:rsidRPr="00864F1A">
        <w:rPr>
          <w:rFonts w:ascii="Times New Roman" w:hAnsi="Times New Roman" w:cs="Times New Roman"/>
          <w:sz w:val="24"/>
          <w:szCs w:val="24"/>
        </w:rPr>
        <w:t>. São Paulo: Atlas, 2016.</w:t>
      </w:r>
    </w:p>
    <w:p w:rsidR="008105CE" w:rsidRPr="00864F1A" w:rsidRDefault="008105CE" w:rsidP="00AC3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5CE" w:rsidRPr="00864F1A" w:rsidRDefault="008105CE" w:rsidP="00B36F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F1A">
        <w:rPr>
          <w:rFonts w:ascii="Times New Roman" w:hAnsi="Times New Roman" w:cs="Times New Roman"/>
          <w:sz w:val="24"/>
          <w:szCs w:val="24"/>
        </w:rPr>
        <w:t xml:space="preserve">MAGANHINI, Thais Bernardes. </w:t>
      </w:r>
      <w:r w:rsidRPr="00864F1A">
        <w:rPr>
          <w:rFonts w:ascii="Times New Roman" w:hAnsi="Times New Roman" w:cs="Times New Roman"/>
          <w:b/>
          <w:sz w:val="24"/>
          <w:szCs w:val="24"/>
        </w:rPr>
        <w:t>A FUNÇÃO SOCIAL DO TRIBUTO</w:t>
      </w:r>
      <w:r w:rsidRPr="00864F1A">
        <w:rPr>
          <w:rFonts w:ascii="Times New Roman" w:hAnsi="Times New Roman" w:cs="Times New Roman"/>
          <w:sz w:val="24"/>
          <w:szCs w:val="24"/>
        </w:rPr>
        <w:t>. Londrina: 2006. Disponível em: &lt;</w:t>
      </w:r>
      <w:hyperlink r:id="rId12" w:history="1">
        <w:r w:rsidRPr="00864F1A">
          <w:rPr>
            <w:rStyle w:val="Hiperligao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http://www.idtl.com.br/artigos/173.pdf</w:t>
        </w:r>
      </w:hyperlink>
      <w:r w:rsidRPr="00864F1A">
        <w:rPr>
          <w:rFonts w:ascii="Times New Roman" w:hAnsi="Times New Roman" w:cs="Times New Roman"/>
          <w:sz w:val="24"/>
          <w:szCs w:val="24"/>
        </w:rPr>
        <w:t xml:space="preserve">&gt;. Acesso em 02 set 2016. </w:t>
      </w:r>
      <w:r w:rsidRPr="00864F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05CE" w:rsidRPr="00864F1A" w:rsidRDefault="008105CE" w:rsidP="00B36F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05CE" w:rsidRPr="00864F1A" w:rsidRDefault="008105CE" w:rsidP="00B36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4F1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OLIVEIRA, Alexandre Machado de. </w:t>
      </w:r>
      <w:r w:rsidRPr="00864F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Princípios da legalidade e anterioridade no Direito Tributário</w:t>
      </w:r>
      <w:r w:rsidRPr="00864F1A">
        <w:rPr>
          <w:rFonts w:ascii="Times New Roman" w:hAnsi="Times New Roman" w:cs="Times New Roman"/>
          <w:sz w:val="24"/>
          <w:szCs w:val="24"/>
          <w:shd w:val="clear" w:color="auto" w:fill="FFFFFF"/>
        </w:rPr>
        <w:t>. Rio Grande, XIII, n. 77, jun 2010. Disponível em: &lt;</w:t>
      </w:r>
      <w:hyperlink r:id="rId13" w:tooltip="Informações Bibliográficas" w:history="1">
        <w:r w:rsidRPr="00864F1A">
          <w:rPr>
            <w:rStyle w:val="Hiperligao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http://www.ambito-juridico.com.br/site/index.php?n_link=revista_artigos_leitura&amp;artigo_id=7864</w:t>
        </w:r>
      </w:hyperlink>
      <w:r w:rsidRPr="00864F1A">
        <w:rPr>
          <w:rFonts w:ascii="Times New Roman" w:hAnsi="Times New Roman" w:cs="Times New Roman"/>
          <w:sz w:val="24"/>
          <w:szCs w:val="24"/>
          <w:shd w:val="clear" w:color="auto" w:fill="FFFFFF"/>
        </w:rPr>
        <w:t>&gt;. Acesso em</w:t>
      </w:r>
      <w:r w:rsidR="00216E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64F1A">
        <w:rPr>
          <w:rFonts w:ascii="Times New Roman" w:hAnsi="Times New Roman" w:cs="Times New Roman"/>
          <w:sz w:val="24"/>
          <w:szCs w:val="24"/>
          <w:shd w:val="clear" w:color="auto" w:fill="FFFFFF"/>
        </w:rPr>
        <w:t>03 out 2016.</w:t>
      </w:r>
    </w:p>
    <w:p w:rsidR="008105CE" w:rsidRPr="00864F1A" w:rsidRDefault="008105CE" w:rsidP="00B36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105CE" w:rsidRPr="00864F1A" w:rsidRDefault="008105CE" w:rsidP="008105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4F1A">
        <w:rPr>
          <w:rFonts w:ascii="Times New Roman" w:hAnsi="Times New Roman" w:cs="Times New Roman"/>
          <w:sz w:val="24"/>
          <w:szCs w:val="24"/>
        </w:rPr>
        <w:t xml:space="preserve">SILVA, Samara dos Santos. </w:t>
      </w:r>
      <w:r w:rsidRPr="00864F1A">
        <w:rPr>
          <w:rFonts w:ascii="Times New Roman" w:hAnsi="Times New Roman" w:cs="Times New Roman"/>
          <w:b/>
          <w:sz w:val="24"/>
          <w:szCs w:val="24"/>
        </w:rPr>
        <w:t>Sistema tributário nacional: fiscalidade, parafiscalidade e extrafiscalidade</w:t>
      </w:r>
      <w:r w:rsidRPr="00864F1A">
        <w:rPr>
          <w:rFonts w:ascii="Times New Roman" w:hAnsi="Times New Roman" w:cs="Times New Roman"/>
          <w:sz w:val="24"/>
          <w:szCs w:val="24"/>
        </w:rPr>
        <w:t xml:space="preserve">. 2014. Disponível em: &lt; http://saamssilva.jusbrasil.com.br/artigos/119871459/sistema-tributario-nacional-fiscalidade-parafiscalidade-e-extrafiscalidade&gt;. Acesso em 02 out 2016. </w:t>
      </w:r>
    </w:p>
    <w:p w:rsidR="008105CE" w:rsidRPr="00864F1A" w:rsidRDefault="008105CE" w:rsidP="00B36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F1213" w:rsidRPr="00864F1A" w:rsidRDefault="00BF1213" w:rsidP="00B36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F1213" w:rsidRPr="00864F1A" w:rsidRDefault="00BF1213" w:rsidP="00BF12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1F3" w:rsidRPr="00864F1A" w:rsidRDefault="004541F3" w:rsidP="008F2D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1F3" w:rsidRPr="00864F1A" w:rsidRDefault="004541F3" w:rsidP="008F2D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1F3" w:rsidRPr="00864F1A" w:rsidRDefault="004541F3" w:rsidP="008F2D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1F3" w:rsidRPr="00864F1A" w:rsidRDefault="004541F3" w:rsidP="008F2D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891" w:rsidRPr="00864F1A" w:rsidRDefault="00BE0891">
      <w:pPr>
        <w:rPr>
          <w:rFonts w:ascii="Times New Roman" w:hAnsi="Times New Roman" w:cs="Times New Roman"/>
        </w:rPr>
      </w:pPr>
    </w:p>
    <w:sectPr w:rsidR="00BE0891" w:rsidRPr="00864F1A" w:rsidSect="00864F1A">
      <w:headerReference w:type="default" r:id="rId14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872" w:rsidRDefault="00D17872" w:rsidP="008F2DE7">
      <w:pPr>
        <w:spacing w:after="0" w:line="240" w:lineRule="auto"/>
      </w:pPr>
      <w:r>
        <w:separator/>
      </w:r>
    </w:p>
  </w:endnote>
  <w:endnote w:type="continuationSeparator" w:id="0">
    <w:p w:rsidR="00D17872" w:rsidRDefault="00D17872" w:rsidP="008F2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872" w:rsidRDefault="00D17872" w:rsidP="008F2DE7">
      <w:pPr>
        <w:spacing w:after="0" w:line="240" w:lineRule="auto"/>
      </w:pPr>
      <w:r>
        <w:separator/>
      </w:r>
    </w:p>
  </w:footnote>
  <w:footnote w:type="continuationSeparator" w:id="0">
    <w:p w:rsidR="00D17872" w:rsidRDefault="00D17872" w:rsidP="008F2DE7">
      <w:pPr>
        <w:spacing w:after="0" w:line="240" w:lineRule="auto"/>
      </w:pPr>
      <w:r>
        <w:continuationSeparator/>
      </w:r>
    </w:p>
  </w:footnote>
  <w:footnote w:id="1">
    <w:p w:rsidR="008F2DE7" w:rsidRPr="00DF60AC" w:rsidRDefault="008F2DE7" w:rsidP="008F2DE7">
      <w:pPr>
        <w:pStyle w:val="Textodenotaderodap"/>
        <w:jc w:val="both"/>
        <w:rPr>
          <w:rFonts w:ascii="Times New Roman" w:hAnsi="Times New Roman" w:cs="Times New Roman"/>
        </w:rPr>
      </w:pPr>
      <w:r w:rsidRPr="00DF60AC">
        <w:rPr>
          <w:rStyle w:val="Refdenotaderodap"/>
          <w:rFonts w:ascii="Times New Roman" w:hAnsi="Times New Roman" w:cs="Times New Roman"/>
        </w:rPr>
        <w:footnoteRef/>
      </w:r>
      <w:r w:rsidRPr="00DF60AC">
        <w:rPr>
          <w:rFonts w:ascii="Times New Roman" w:hAnsi="Times New Roman" w:cs="Times New Roman"/>
        </w:rPr>
        <w:t xml:space="preserve"> Sinopse do </w:t>
      </w:r>
      <w:r w:rsidRPr="00DF60AC">
        <w:rPr>
          <w:rFonts w:ascii="Times New Roman" w:hAnsi="Times New Roman" w:cs="Times New Roman"/>
          <w:i/>
        </w:rPr>
        <w:t xml:space="preserve">case </w:t>
      </w:r>
      <w:r w:rsidRPr="00DF60AC">
        <w:rPr>
          <w:rFonts w:ascii="Times New Roman" w:hAnsi="Times New Roman" w:cs="Times New Roman"/>
        </w:rPr>
        <w:t xml:space="preserve">apresentado </w:t>
      </w:r>
      <w:r w:rsidRPr="008F2DE7">
        <w:rPr>
          <w:rFonts w:ascii="Times New Roman" w:hAnsi="Times New Roman" w:cs="Times New Roman"/>
        </w:rPr>
        <w:t>à disciplina Direito Tributário I</w:t>
      </w:r>
      <w:r>
        <w:rPr>
          <w:rFonts w:ascii="Times New Roman" w:hAnsi="Times New Roman" w:cs="Times New Roman"/>
        </w:rPr>
        <w:t xml:space="preserve">, do curso de Direito </w:t>
      </w:r>
      <w:r w:rsidRPr="00DF60AC">
        <w:rPr>
          <w:rFonts w:ascii="Times New Roman" w:hAnsi="Times New Roman" w:cs="Times New Roman"/>
        </w:rPr>
        <w:t>da Unidade de Ensino Superior Dom Bosco – UNDB.</w:t>
      </w:r>
    </w:p>
  </w:footnote>
  <w:footnote w:id="2">
    <w:p w:rsidR="008F2DE7" w:rsidRPr="00DF60AC" w:rsidRDefault="008F2DE7" w:rsidP="008F2DE7">
      <w:pPr>
        <w:pStyle w:val="Textodenotaderodap"/>
        <w:jc w:val="both"/>
        <w:rPr>
          <w:rFonts w:ascii="Times New Roman" w:hAnsi="Times New Roman" w:cs="Times New Roman"/>
        </w:rPr>
      </w:pPr>
      <w:r w:rsidRPr="00DF60AC">
        <w:rPr>
          <w:rStyle w:val="Refdenotaderodap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Aluna do 7</w:t>
      </w:r>
      <w:r w:rsidRPr="00DF60AC">
        <w:rPr>
          <w:rFonts w:ascii="Times New Roman" w:hAnsi="Times New Roman" w:cs="Times New Roman"/>
        </w:rPr>
        <w:t>º - vespertino, do curso de Direito da UNDB.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987786721"/>
      <w:docPartObj>
        <w:docPartGallery w:val="Page Numbers (Top of Page)"/>
        <w:docPartUnique/>
      </w:docPartObj>
    </w:sdtPr>
    <w:sdtEndPr/>
    <w:sdtContent>
      <w:p w:rsidR="00375B28" w:rsidRPr="00375B28" w:rsidRDefault="00375B28">
        <w:pPr>
          <w:pStyle w:val="Cabealh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75B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75B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75B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521C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75B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75B28" w:rsidRDefault="00375B2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45FAD"/>
    <w:multiLevelType w:val="hybridMultilevel"/>
    <w:tmpl w:val="57EC70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07AE2"/>
    <w:multiLevelType w:val="hybridMultilevel"/>
    <w:tmpl w:val="1272E1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E7"/>
    <w:rsid w:val="00011E91"/>
    <w:rsid w:val="00013EFD"/>
    <w:rsid w:val="000536D8"/>
    <w:rsid w:val="00075E99"/>
    <w:rsid w:val="000C0084"/>
    <w:rsid w:val="000D7274"/>
    <w:rsid w:val="001357D0"/>
    <w:rsid w:val="00176437"/>
    <w:rsid w:val="00216E7C"/>
    <w:rsid w:val="00272180"/>
    <w:rsid w:val="002872D6"/>
    <w:rsid w:val="002918A3"/>
    <w:rsid w:val="002B02AA"/>
    <w:rsid w:val="002D3DBF"/>
    <w:rsid w:val="002E093D"/>
    <w:rsid w:val="002E220E"/>
    <w:rsid w:val="002E6A18"/>
    <w:rsid w:val="00311455"/>
    <w:rsid w:val="00314B50"/>
    <w:rsid w:val="00346A3E"/>
    <w:rsid w:val="00375B28"/>
    <w:rsid w:val="00384898"/>
    <w:rsid w:val="00394D95"/>
    <w:rsid w:val="003A614C"/>
    <w:rsid w:val="003E2C7E"/>
    <w:rsid w:val="003F6D23"/>
    <w:rsid w:val="00417CC7"/>
    <w:rsid w:val="004541F3"/>
    <w:rsid w:val="0047079A"/>
    <w:rsid w:val="00472D95"/>
    <w:rsid w:val="00472ED6"/>
    <w:rsid w:val="004D4233"/>
    <w:rsid w:val="00520845"/>
    <w:rsid w:val="005521C0"/>
    <w:rsid w:val="005D39E1"/>
    <w:rsid w:val="005E7BBB"/>
    <w:rsid w:val="00603E92"/>
    <w:rsid w:val="00616074"/>
    <w:rsid w:val="00622517"/>
    <w:rsid w:val="00660F7D"/>
    <w:rsid w:val="006874CA"/>
    <w:rsid w:val="006F2378"/>
    <w:rsid w:val="007075A3"/>
    <w:rsid w:val="007176CF"/>
    <w:rsid w:val="0072457D"/>
    <w:rsid w:val="00805C03"/>
    <w:rsid w:val="008105CE"/>
    <w:rsid w:val="008119E1"/>
    <w:rsid w:val="008254C6"/>
    <w:rsid w:val="00864F1A"/>
    <w:rsid w:val="008A47DB"/>
    <w:rsid w:val="008B14B7"/>
    <w:rsid w:val="008C252B"/>
    <w:rsid w:val="008C69DD"/>
    <w:rsid w:val="008D24A1"/>
    <w:rsid w:val="008E15A3"/>
    <w:rsid w:val="008F06C4"/>
    <w:rsid w:val="008F1685"/>
    <w:rsid w:val="008F2DE7"/>
    <w:rsid w:val="008F5E65"/>
    <w:rsid w:val="008F6CB5"/>
    <w:rsid w:val="00960E8D"/>
    <w:rsid w:val="00967E2C"/>
    <w:rsid w:val="00982D12"/>
    <w:rsid w:val="009A4594"/>
    <w:rsid w:val="009F1A28"/>
    <w:rsid w:val="009F3F2B"/>
    <w:rsid w:val="00A840F6"/>
    <w:rsid w:val="00A91ED3"/>
    <w:rsid w:val="00AC3BD7"/>
    <w:rsid w:val="00B0439B"/>
    <w:rsid w:val="00B164DD"/>
    <w:rsid w:val="00B36F3F"/>
    <w:rsid w:val="00B71FB3"/>
    <w:rsid w:val="00BE0891"/>
    <w:rsid w:val="00BF1213"/>
    <w:rsid w:val="00D17872"/>
    <w:rsid w:val="00D20A64"/>
    <w:rsid w:val="00D23A89"/>
    <w:rsid w:val="00D355AC"/>
    <w:rsid w:val="00D7124D"/>
    <w:rsid w:val="00E07DA5"/>
    <w:rsid w:val="00E12946"/>
    <w:rsid w:val="00E1367C"/>
    <w:rsid w:val="00E66949"/>
    <w:rsid w:val="00F02532"/>
    <w:rsid w:val="00F313FF"/>
    <w:rsid w:val="00F41A2B"/>
    <w:rsid w:val="00F7274C"/>
    <w:rsid w:val="00F83154"/>
    <w:rsid w:val="00F83713"/>
    <w:rsid w:val="00F84DF4"/>
    <w:rsid w:val="00FB58C5"/>
    <w:rsid w:val="00FE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45588F-B6D4-4414-924F-89DB698C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DE7"/>
  </w:style>
  <w:style w:type="paragraph" w:styleId="Cabealho1">
    <w:name w:val="heading 1"/>
    <w:basedOn w:val="Normal"/>
    <w:link w:val="Cabealho1Carter"/>
    <w:uiPriority w:val="9"/>
    <w:qFormat/>
    <w:rsid w:val="00BE08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semiHidden/>
    <w:unhideWhenUsed/>
    <w:rsid w:val="008F2DE7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8F2DE7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unhideWhenUsed/>
    <w:rsid w:val="008F2DE7"/>
    <w:rPr>
      <w:vertAlign w:val="superscript"/>
    </w:rPr>
  </w:style>
  <w:style w:type="paragraph" w:customStyle="1" w:styleId="Default">
    <w:name w:val="Default"/>
    <w:rsid w:val="008254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8C69DD"/>
    <w:rPr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F7274C"/>
  </w:style>
  <w:style w:type="character" w:styleId="Forte">
    <w:name w:val="Strong"/>
    <w:basedOn w:val="Tipodeletrapredefinidodopargrafo"/>
    <w:uiPriority w:val="22"/>
    <w:qFormat/>
    <w:rsid w:val="00A840F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14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BE089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B164D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375B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75B28"/>
  </w:style>
  <w:style w:type="paragraph" w:styleId="Rodap">
    <w:name w:val="footer"/>
    <w:basedOn w:val="Normal"/>
    <w:link w:val="RodapCarter"/>
    <w:uiPriority w:val="99"/>
    <w:unhideWhenUsed/>
    <w:rsid w:val="00375B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75B28"/>
  </w:style>
  <w:style w:type="paragraph" w:styleId="Textodebalo">
    <w:name w:val="Balloon Text"/>
    <w:basedOn w:val="Normal"/>
    <w:link w:val="TextodebaloCarter"/>
    <w:uiPriority w:val="99"/>
    <w:semiHidden/>
    <w:unhideWhenUsed/>
    <w:rsid w:val="00375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75B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2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46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AAA68D"/>
            <w:right w:val="none" w:sz="0" w:space="0" w:color="auto"/>
          </w:divBdr>
        </w:div>
      </w:divsChild>
    </w:div>
    <w:div w:id="18326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5.172-1966?OpenDocument" TargetMode="External"/><Relationship Id="rId13" Type="http://schemas.openxmlformats.org/officeDocument/2006/relationships/hyperlink" Target="http://www.ambito-juridico.com.br/site/index.php?n_link=revista_artigos_leitura&amp;artigo_id=786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dtl.com.br/artigos/173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mbito-juridico.com.br/site/?n_link=revista_artigos_leitura&amp;artigo_id=1147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aja.net.br/Artigos_PDF/Art_1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fonsin.com.br/uso-deturpado-e-inconstitucional-do-iof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91924-A9EA-42FC-8B18-884CAC2D1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1642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</dc:creator>
  <cp:lastModifiedBy>Leticia de Lima Farias</cp:lastModifiedBy>
  <cp:revision>2</cp:revision>
  <dcterms:created xsi:type="dcterms:W3CDTF">2017-11-24T12:04:00Z</dcterms:created>
  <dcterms:modified xsi:type="dcterms:W3CDTF">2017-11-24T12:04:00Z</dcterms:modified>
</cp:coreProperties>
</file>