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DA4" w:rsidRPr="00132970" w:rsidRDefault="00AB3642" w:rsidP="00132970">
      <w:pPr>
        <w:spacing w:line="360" w:lineRule="auto"/>
        <w:jc w:val="both"/>
        <w:rPr>
          <w:rFonts w:ascii="Arial" w:hAnsi="Arial" w:cs="Arial"/>
          <w:sz w:val="24"/>
          <w:szCs w:val="24"/>
        </w:rPr>
      </w:pPr>
      <w:r w:rsidRPr="00132970">
        <w:rPr>
          <w:rFonts w:ascii="Arial" w:hAnsi="Arial" w:cs="Arial"/>
          <w:sz w:val="24"/>
          <w:szCs w:val="24"/>
        </w:rPr>
        <w:t>Resenha Crítica: Fluxo de Caixa – Ferramenta de Gestão Empresarial</w:t>
      </w:r>
    </w:p>
    <w:p w:rsidR="00AB3642" w:rsidRDefault="00AB3642" w:rsidP="00132970">
      <w:pPr>
        <w:spacing w:line="360" w:lineRule="auto"/>
        <w:jc w:val="both"/>
        <w:rPr>
          <w:rFonts w:ascii="Arial" w:hAnsi="Arial" w:cs="Arial"/>
          <w:sz w:val="24"/>
          <w:szCs w:val="24"/>
        </w:rPr>
      </w:pPr>
      <w:r w:rsidRPr="00132970">
        <w:rPr>
          <w:rFonts w:ascii="Arial" w:hAnsi="Arial" w:cs="Arial"/>
          <w:sz w:val="24"/>
          <w:szCs w:val="24"/>
        </w:rPr>
        <w:t xml:space="preserve">GONÇALVES, S.Q., </w:t>
      </w:r>
      <w:r w:rsidRPr="00240D48">
        <w:rPr>
          <w:rFonts w:ascii="Arial" w:hAnsi="Arial" w:cs="Arial"/>
          <w:sz w:val="24"/>
          <w:szCs w:val="24"/>
          <w:u w:val="single"/>
        </w:rPr>
        <w:t>Fluxo de Caixa – Ferramenta de Gestão Empresarial</w:t>
      </w:r>
      <w:r w:rsidRPr="00132970">
        <w:rPr>
          <w:rFonts w:ascii="Arial" w:hAnsi="Arial" w:cs="Arial"/>
          <w:sz w:val="24"/>
          <w:szCs w:val="24"/>
        </w:rPr>
        <w:t>. 2006</w:t>
      </w:r>
      <w:r w:rsidR="00132970" w:rsidRPr="00132970">
        <w:rPr>
          <w:rFonts w:ascii="Arial" w:hAnsi="Arial" w:cs="Arial"/>
          <w:sz w:val="24"/>
          <w:szCs w:val="24"/>
        </w:rPr>
        <w:t xml:space="preserve">. 28f. Monografia (Graduação em Contábeis). Faculdade de Ciências Contábeis, </w:t>
      </w:r>
      <w:proofErr w:type="spellStart"/>
      <w:r w:rsidR="00132970" w:rsidRPr="00132970">
        <w:rPr>
          <w:rFonts w:ascii="Arial" w:hAnsi="Arial" w:cs="Arial"/>
          <w:sz w:val="24"/>
          <w:szCs w:val="24"/>
        </w:rPr>
        <w:t>UniCEUB</w:t>
      </w:r>
      <w:proofErr w:type="spellEnd"/>
      <w:r w:rsidR="00132970" w:rsidRPr="00132970">
        <w:rPr>
          <w:rFonts w:ascii="Arial" w:hAnsi="Arial" w:cs="Arial"/>
          <w:sz w:val="24"/>
          <w:szCs w:val="24"/>
        </w:rPr>
        <w:t>, Brasília, 2006.</w:t>
      </w:r>
    </w:p>
    <w:p w:rsidR="00132970" w:rsidRDefault="00132970" w:rsidP="00132970">
      <w:pPr>
        <w:spacing w:line="360" w:lineRule="auto"/>
        <w:jc w:val="both"/>
        <w:rPr>
          <w:rFonts w:ascii="Arial" w:hAnsi="Arial" w:cs="Arial"/>
          <w:sz w:val="24"/>
          <w:szCs w:val="24"/>
        </w:rPr>
      </w:pPr>
      <w:r>
        <w:rPr>
          <w:rFonts w:ascii="Arial" w:hAnsi="Arial" w:cs="Arial"/>
          <w:sz w:val="24"/>
          <w:szCs w:val="24"/>
        </w:rPr>
        <w:t>Silvestre Queiroz Gonçalves – Sócio num escritório contábil em Brasília/DF (</w:t>
      </w:r>
      <w:hyperlink r:id="rId4" w:history="1">
        <w:r w:rsidRPr="00DD6BF0">
          <w:rPr>
            <w:rStyle w:val="Hyperlink"/>
            <w:rFonts w:ascii="Arial" w:hAnsi="Arial" w:cs="Arial"/>
            <w:sz w:val="24"/>
            <w:szCs w:val="24"/>
          </w:rPr>
          <w:t>http://www.consultasocio.com/q/sa/silvestre-queiroz-goncalves</w:t>
        </w:r>
      </w:hyperlink>
      <w:r>
        <w:rPr>
          <w:rFonts w:ascii="Arial" w:hAnsi="Arial" w:cs="Arial"/>
          <w:sz w:val="24"/>
          <w:szCs w:val="24"/>
        </w:rPr>
        <w:t>)</w:t>
      </w:r>
    </w:p>
    <w:p w:rsidR="00132970" w:rsidRDefault="00132970" w:rsidP="00A901FC">
      <w:pPr>
        <w:spacing w:line="360" w:lineRule="auto"/>
        <w:ind w:firstLine="708"/>
        <w:jc w:val="both"/>
        <w:rPr>
          <w:rFonts w:ascii="Arial" w:hAnsi="Arial" w:cs="Arial"/>
          <w:sz w:val="24"/>
          <w:szCs w:val="24"/>
        </w:rPr>
      </w:pPr>
      <w:r>
        <w:rPr>
          <w:rFonts w:ascii="Arial" w:hAnsi="Arial" w:cs="Arial"/>
          <w:sz w:val="24"/>
          <w:szCs w:val="24"/>
        </w:rPr>
        <w:t xml:space="preserve">A monografia de conclusão de curso de ciências contábeis, de Silvestre </w:t>
      </w:r>
      <w:r w:rsidR="00A901FC">
        <w:rPr>
          <w:rFonts w:ascii="Arial" w:hAnsi="Arial" w:cs="Arial"/>
          <w:sz w:val="24"/>
          <w:szCs w:val="24"/>
        </w:rPr>
        <w:t>Qu</w:t>
      </w:r>
      <w:r>
        <w:rPr>
          <w:rFonts w:ascii="Arial" w:hAnsi="Arial" w:cs="Arial"/>
          <w:sz w:val="24"/>
          <w:szCs w:val="24"/>
        </w:rPr>
        <w:t>eiroz Soares apresenta como tema o fluxo de caixa – ferramenta de gestão empresarial.</w:t>
      </w:r>
    </w:p>
    <w:p w:rsidR="00285BB8" w:rsidRDefault="00132970" w:rsidP="00A901FC">
      <w:pPr>
        <w:spacing w:line="360" w:lineRule="auto"/>
        <w:ind w:firstLine="708"/>
        <w:jc w:val="both"/>
        <w:rPr>
          <w:rFonts w:ascii="Arial" w:hAnsi="Arial" w:cs="Arial"/>
          <w:sz w:val="24"/>
          <w:szCs w:val="24"/>
        </w:rPr>
      </w:pPr>
      <w:r>
        <w:rPr>
          <w:rFonts w:ascii="Arial" w:hAnsi="Arial" w:cs="Arial"/>
          <w:sz w:val="24"/>
          <w:szCs w:val="24"/>
        </w:rPr>
        <w:t>O trabalho descreve a importância do fluxo de caixa como um dos instrumentos de gerenciamento financeiro, evidenciando uma estimativa</w:t>
      </w:r>
      <w:r w:rsidR="00A901FC">
        <w:rPr>
          <w:rFonts w:ascii="Arial" w:hAnsi="Arial" w:cs="Arial"/>
          <w:sz w:val="24"/>
          <w:szCs w:val="24"/>
        </w:rPr>
        <w:t xml:space="preserve"> de liquidez, um dos pontos relevantes </w:t>
      </w:r>
      <w:r w:rsidR="00285BB8">
        <w:rPr>
          <w:rFonts w:ascii="Arial" w:hAnsi="Arial" w:cs="Arial"/>
          <w:sz w:val="24"/>
          <w:szCs w:val="24"/>
        </w:rPr>
        <w:t xml:space="preserve">para </w:t>
      </w:r>
      <w:r w:rsidR="00A901FC">
        <w:rPr>
          <w:rFonts w:ascii="Arial" w:hAnsi="Arial" w:cs="Arial"/>
          <w:sz w:val="24"/>
          <w:szCs w:val="24"/>
        </w:rPr>
        <w:t xml:space="preserve">uma tomada de decisão. O </w:t>
      </w:r>
      <w:r w:rsidR="00285BB8">
        <w:rPr>
          <w:rFonts w:ascii="Arial" w:hAnsi="Arial" w:cs="Arial"/>
          <w:sz w:val="24"/>
          <w:szCs w:val="24"/>
        </w:rPr>
        <w:t>modelo citado</w:t>
      </w:r>
      <w:r w:rsidR="00A901FC">
        <w:rPr>
          <w:rFonts w:ascii="Arial" w:hAnsi="Arial" w:cs="Arial"/>
          <w:sz w:val="24"/>
          <w:szCs w:val="24"/>
        </w:rPr>
        <w:t xml:space="preserve"> permite uma visualização antecipada das necessidades ou sobras de caixa no curto prazo</w:t>
      </w:r>
      <w:r w:rsidR="00285BB8">
        <w:rPr>
          <w:rFonts w:ascii="Arial" w:hAnsi="Arial" w:cs="Arial"/>
          <w:sz w:val="24"/>
          <w:szCs w:val="24"/>
        </w:rPr>
        <w:t>, auxiliando o gestor a planejar o negócio da empresa. Evidencia as entradas e saídas d</w:t>
      </w:r>
      <w:r w:rsidR="00887E36">
        <w:rPr>
          <w:rFonts w:ascii="Arial" w:hAnsi="Arial" w:cs="Arial"/>
          <w:sz w:val="24"/>
          <w:szCs w:val="24"/>
        </w:rPr>
        <w:t>e</w:t>
      </w:r>
      <w:r w:rsidR="00285BB8">
        <w:rPr>
          <w:rFonts w:ascii="Arial" w:hAnsi="Arial" w:cs="Arial"/>
          <w:sz w:val="24"/>
          <w:szCs w:val="24"/>
        </w:rPr>
        <w:t xml:space="preserve"> caixa, como também o conjunto de tomada de decisões que atingem direta ou indiretamente a saúde financeira da instituição.</w:t>
      </w:r>
    </w:p>
    <w:p w:rsidR="00887E36" w:rsidRDefault="00887E36" w:rsidP="005143A6">
      <w:pPr>
        <w:spacing w:line="360" w:lineRule="auto"/>
        <w:ind w:firstLine="708"/>
        <w:jc w:val="both"/>
        <w:rPr>
          <w:rFonts w:ascii="Arial" w:hAnsi="Arial" w:cs="Arial"/>
          <w:sz w:val="24"/>
          <w:szCs w:val="24"/>
        </w:rPr>
      </w:pPr>
      <w:r>
        <w:rPr>
          <w:rFonts w:ascii="Arial" w:hAnsi="Arial" w:cs="Arial"/>
          <w:sz w:val="24"/>
          <w:szCs w:val="24"/>
        </w:rPr>
        <w:t xml:space="preserve">No </w:t>
      </w:r>
      <w:r w:rsidR="00A93915">
        <w:rPr>
          <w:rFonts w:ascii="Arial" w:hAnsi="Arial" w:cs="Arial"/>
          <w:sz w:val="24"/>
          <w:szCs w:val="24"/>
        </w:rPr>
        <w:t>decorrerawa</w:t>
      </w:r>
      <w:r w:rsidR="00C95AA5">
        <w:rPr>
          <w:rFonts w:ascii="Arial" w:hAnsi="Arial" w:cs="Arial"/>
          <w:sz w:val="24"/>
          <w:szCs w:val="24"/>
        </w:rPr>
        <w:t xml:space="preserve"> enfrentam diariamente, com a exigência da globalização econômica, a acelerada evolução tecnológica, o cliente cada vez mais exigente e conscientes de seus deveres aos quais são oferecidos. Há uma breve descrição teórica sobre a constituição de fluxo de caixa, que engloba alguns indicadores como os fluxos operacionais, os fluxos de investimentos e os fluxos de financiamento</w:t>
      </w:r>
      <w:r w:rsidR="005143A6">
        <w:rPr>
          <w:rFonts w:ascii="Arial" w:hAnsi="Arial" w:cs="Arial"/>
          <w:sz w:val="24"/>
          <w:szCs w:val="24"/>
        </w:rPr>
        <w:t>. Aborda, também, a importância de um bom planejamento com prazos e elaboração do fluxo de caixa. No fim usa tabelas como modelos ou exemplos a serem seguidos como forma de uma orientação aos gestores.</w:t>
      </w:r>
    </w:p>
    <w:p w:rsidR="00240D48" w:rsidRDefault="00285BB8" w:rsidP="00887E36">
      <w:pPr>
        <w:spacing w:line="360" w:lineRule="auto"/>
        <w:ind w:firstLine="708"/>
        <w:jc w:val="both"/>
        <w:rPr>
          <w:rFonts w:ascii="Arial" w:hAnsi="Arial" w:cs="Arial"/>
          <w:sz w:val="24"/>
          <w:szCs w:val="24"/>
        </w:rPr>
      </w:pPr>
      <w:r>
        <w:rPr>
          <w:rFonts w:ascii="Arial" w:hAnsi="Arial" w:cs="Arial"/>
          <w:sz w:val="24"/>
          <w:szCs w:val="24"/>
        </w:rPr>
        <w:t xml:space="preserve"> </w:t>
      </w:r>
      <w:r w:rsidR="00240D48">
        <w:rPr>
          <w:rFonts w:ascii="Arial" w:hAnsi="Arial" w:cs="Arial"/>
          <w:sz w:val="24"/>
          <w:szCs w:val="24"/>
        </w:rPr>
        <w:t>O autor usou a bibliografia como metodologia com revisões literárias para analisar os procedimentos e modelos adotados sobre a elaboração do fluxo de caixa. Utilizou também uma pesquisa explicativa visando uma proposição de instrumento para orientação à gestão financeira.</w:t>
      </w:r>
      <w:r w:rsidR="00887E36">
        <w:rPr>
          <w:rFonts w:ascii="Arial" w:hAnsi="Arial" w:cs="Arial"/>
          <w:sz w:val="24"/>
          <w:szCs w:val="24"/>
        </w:rPr>
        <w:t xml:space="preserve"> </w:t>
      </w:r>
      <w:r w:rsidR="003077EA">
        <w:rPr>
          <w:rFonts w:ascii="Arial" w:hAnsi="Arial" w:cs="Arial"/>
          <w:sz w:val="24"/>
          <w:szCs w:val="24"/>
        </w:rPr>
        <w:t xml:space="preserve">O </w:t>
      </w:r>
      <w:r w:rsidR="00887E36">
        <w:rPr>
          <w:rFonts w:ascii="Arial" w:hAnsi="Arial" w:cs="Arial"/>
          <w:sz w:val="24"/>
          <w:szCs w:val="24"/>
        </w:rPr>
        <w:t>texto traz uma revisão em</w:t>
      </w:r>
      <w:r w:rsidR="003077EA">
        <w:rPr>
          <w:rFonts w:ascii="Arial" w:hAnsi="Arial" w:cs="Arial"/>
          <w:sz w:val="24"/>
          <w:szCs w:val="24"/>
        </w:rPr>
        <w:t xml:space="preserve"> literatura e discussão de dados a respeito do fluxo de caixa, na qual é falado sobre a importância do mesmo, citando como uma ferramenta para uma boa </w:t>
      </w:r>
      <w:r w:rsidR="003077EA">
        <w:rPr>
          <w:rFonts w:ascii="Arial" w:hAnsi="Arial" w:cs="Arial"/>
          <w:sz w:val="24"/>
          <w:szCs w:val="24"/>
        </w:rPr>
        <w:lastRenderedPageBreak/>
        <w:t>gestão dos recursos financeiros evitando insolvência ou falta de liquidez na empresa.</w:t>
      </w:r>
    </w:p>
    <w:p w:rsidR="000E7E69" w:rsidRDefault="00C95AA5" w:rsidP="00887E36">
      <w:pPr>
        <w:spacing w:line="360" w:lineRule="auto"/>
        <w:ind w:firstLine="708"/>
        <w:jc w:val="both"/>
        <w:rPr>
          <w:rFonts w:ascii="Arial" w:hAnsi="Arial" w:cs="Arial"/>
          <w:sz w:val="24"/>
          <w:szCs w:val="24"/>
        </w:rPr>
      </w:pPr>
      <w:r>
        <w:rPr>
          <w:rFonts w:ascii="Arial" w:hAnsi="Arial" w:cs="Arial"/>
          <w:sz w:val="24"/>
          <w:szCs w:val="24"/>
        </w:rPr>
        <w:t xml:space="preserve">Recomento a leitura dessa monografia pois é uma linguagem simples, com citações de poucos autores, de fácil compreensão. No final do trabalho ele ilustra com três tabelas de caixa, dando como exemplo de como deve ser utilizada de maneira eficaz esse mecanismo. </w:t>
      </w:r>
      <w:r w:rsidR="003077EA">
        <w:rPr>
          <w:rFonts w:ascii="Arial" w:hAnsi="Arial" w:cs="Arial"/>
          <w:sz w:val="24"/>
          <w:szCs w:val="24"/>
        </w:rPr>
        <w:t xml:space="preserve">A relevância no processo de planejamento </w:t>
      </w:r>
      <w:r w:rsidR="000E7E69">
        <w:rPr>
          <w:rFonts w:ascii="Arial" w:hAnsi="Arial" w:cs="Arial"/>
          <w:sz w:val="24"/>
          <w:szCs w:val="24"/>
        </w:rPr>
        <w:t>junto com a elaboração e modelos de fluxo de caixa para as empresas utilizem esse meio como forma de sucesso num mercado de trabalho.</w:t>
      </w:r>
      <w:r w:rsidR="00887E36">
        <w:rPr>
          <w:rFonts w:ascii="Arial" w:hAnsi="Arial" w:cs="Arial"/>
          <w:sz w:val="24"/>
          <w:szCs w:val="24"/>
        </w:rPr>
        <w:t xml:space="preserve"> </w:t>
      </w:r>
    </w:p>
    <w:p w:rsidR="00B41A4A" w:rsidRDefault="00B41A4A" w:rsidP="00887E36">
      <w:pPr>
        <w:spacing w:line="360" w:lineRule="auto"/>
        <w:ind w:firstLine="708"/>
        <w:jc w:val="both"/>
        <w:rPr>
          <w:rFonts w:ascii="Arial" w:hAnsi="Arial" w:cs="Arial"/>
          <w:sz w:val="24"/>
          <w:szCs w:val="24"/>
        </w:rPr>
      </w:pPr>
    </w:p>
    <w:p w:rsidR="00B41A4A" w:rsidRDefault="00215F5D" w:rsidP="00B41A4A">
      <w:pPr>
        <w:spacing w:line="360" w:lineRule="auto"/>
        <w:jc w:val="both"/>
        <w:rPr>
          <w:rFonts w:ascii="Arial" w:hAnsi="Arial" w:cs="Arial"/>
          <w:sz w:val="24"/>
          <w:szCs w:val="24"/>
        </w:rPr>
      </w:pPr>
      <w:r>
        <w:rPr>
          <w:rFonts w:ascii="Arial" w:hAnsi="Arial" w:cs="Arial"/>
          <w:sz w:val="24"/>
          <w:szCs w:val="24"/>
        </w:rPr>
        <w:t>Danielle Guedes</w:t>
      </w:r>
      <w:bookmarkStart w:id="0" w:name="_GoBack"/>
      <w:bookmarkEnd w:id="0"/>
      <w:r w:rsidR="00B41A4A">
        <w:rPr>
          <w:rFonts w:ascii="Arial" w:hAnsi="Arial" w:cs="Arial"/>
          <w:sz w:val="24"/>
          <w:szCs w:val="24"/>
        </w:rPr>
        <w:t xml:space="preserve"> Ciências Contábeis. </w:t>
      </w:r>
      <w:proofErr w:type="spellStart"/>
      <w:r w:rsidR="00B41A4A">
        <w:rPr>
          <w:rFonts w:ascii="Arial" w:hAnsi="Arial" w:cs="Arial"/>
          <w:sz w:val="24"/>
          <w:szCs w:val="24"/>
        </w:rPr>
        <w:t>Fadergs</w:t>
      </w:r>
      <w:proofErr w:type="spellEnd"/>
      <w:r w:rsidR="00B41A4A">
        <w:rPr>
          <w:rFonts w:ascii="Arial" w:hAnsi="Arial" w:cs="Arial"/>
          <w:sz w:val="24"/>
          <w:szCs w:val="24"/>
        </w:rPr>
        <w:t>.</w:t>
      </w:r>
    </w:p>
    <w:p w:rsidR="00A901FC" w:rsidRPr="00132970" w:rsidRDefault="00A901FC" w:rsidP="00132970">
      <w:pPr>
        <w:spacing w:line="360" w:lineRule="auto"/>
        <w:jc w:val="both"/>
        <w:rPr>
          <w:rFonts w:ascii="Arial" w:hAnsi="Arial" w:cs="Arial"/>
          <w:sz w:val="24"/>
          <w:szCs w:val="24"/>
        </w:rPr>
      </w:pPr>
    </w:p>
    <w:sectPr w:rsidR="00A901FC" w:rsidRPr="001329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642"/>
    <w:rsid w:val="000E7E69"/>
    <w:rsid w:val="00132970"/>
    <w:rsid w:val="00215F5D"/>
    <w:rsid w:val="00240D48"/>
    <w:rsid w:val="00285BB8"/>
    <w:rsid w:val="003077EA"/>
    <w:rsid w:val="005143A6"/>
    <w:rsid w:val="00560DA4"/>
    <w:rsid w:val="00887E36"/>
    <w:rsid w:val="00A901FC"/>
    <w:rsid w:val="00A93915"/>
    <w:rsid w:val="00AB3642"/>
    <w:rsid w:val="00B41A4A"/>
    <w:rsid w:val="00C36F4D"/>
    <w:rsid w:val="00C95A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AC27F"/>
  <w15:chartTrackingRefBased/>
  <w15:docId w15:val="{60384F19-8D94-4429-B75E-41C30D3C7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329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nsultasocio.com/q/sa/silvestre-queiroz-goncalve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2317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ELVANIA SANTOS DA SILVEIRA</dc:creator>
  <cp:keywords/>
  <dc:description/>
  <cp:lastModifiedBy>Dany Guedes</cp:lastModifiedBy>
  <cp:revision>3</cp:revision>
  <dcterms:created xsi:type="dcterms:W3CDTF">2017-10-25T19:19:00Z</dcterms:created>
  <dcterms:modified xsi:type="dcterms:W3CDTF">2017-10-25T19:19:00Z</dcterms:modified>
</cp:coreProperties>
</file>