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22" w:rsidRPr="00E42308" w:rsidRDefault="00E42308" w:rsidP="00A63022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GoBack"/>
      <w:r w:rsidRPr="00E42308">
        <w:rPr>
          <w:rFonts w:ascii="Times New Roman" w:hAnsi="Times New Roman"/>
          <w:b/>
          <w:color w:val="auto"/>
          <w:sz w:val="24"/>
          <w:szCs w:val="24"/>
        </w:rPr>
        <w:t xml:space="preserve">QUANDO O ERRADO VIRA DUVIDOSO: Processo Cautelar e Procedimentos </w:t>
      </w:r>
      <w:bookmarkEnd w:id="0"/>
      <w:r w:rsidRPr="00E42308">
        <w:rPr>
          <w:rFonts w:ascii="Times New Roman" w:hAnsi="Times New Roman"/>
          <w:b/>
          <w:color w:val="auto"/>
          <w:sz w:val="24"/>
          <w:szCs w:val="24"/>
        </w:rPr>
        <w:t>Especiais</w:t>
      </w:r>
    </w:p>
    <w:p w:rsidR="003B2821" w:rsidRPr="00A61AF7" w:rsidRDefault="003B2821" w:rsidP="00A63022">
      <w:pPr>
        <w:widowControl w:val="0"/>
        <w:spacing w:after="0" w:line="360" w:lineRule="auto"/>
        <w:jc w:val="right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A61AF7">
        <w:rPr>
          <w:rFonts w:ascii="Times New Roman" w:hAnsi="Times New Roman"/>
          <w:color w:val="auto"/>
          <w:sz w:val="24"/>
          <w:szCs w:val="24"/>
        </w:rPr>
        <w:t>Elioenai</w:t>
      </w:r>
      <w:proofErr w:type="spellEnd"/>
      <w:r w:rsidRPr="00A61AF7">
        <w:rPr>
          <w:rFonts w:ascii="Times New Roman" w:hAnsi="Times New Roman"/>
          <w:color w:val="auto"/>
          <w:sz w:val="24"/>
          <w:szCs w:val="24"/>
        </w:rPr>
        <w:t xml:space="preserve"> Araújo Mendonça²</w:t>
      </w:r>
    </w:p>
    <w:p w:rsidR="00A22A12" w:rsidRPr="00A61AF7" w:rsidRDefault="00A22A12" w:rsidP="00A22A12">
      <w:pPr>
        <w:widowControl w:val="0"/>
        <w:spacing w:line="36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A0E39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color w:val="auto"/>
          <w:sz w:val="24"/>
          <w:szCs w:val="24"/>
        </w:rPr>
        <w:t xml:space="preserve"> DESCRIÇÃO DO CASO</w:t>
      </w:r>
    </w:p>
    <w:p w:rsidR="008A0E39" w:rsidRPr="0021071B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B1021E" w:rsidRDefault="00B1021E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Na residência do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Sr.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Bisão estava sendo construído um  sobrado. Entretanto, por conta dessa nova construção,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Sr.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Bisão foi acionado judicialmente por meio de uma ação com “obrigação de fazer ou não fazer” pela defensoria pública, pois a construção do sobrado estaria desrespeitando o direito de vizinhança. </w:t>
      </w:r>
    </w:p>
    <w:p w:rsidR="00B1021E" w:rsidRDefault="00B1021E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Noutra monta, o NPJ em representando o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Sr.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Bisão alegou uma preliminar usando do argumento de falta de interesse de agir. Isto porque a ação que a defensoria usou era de procedimento comum, e o CPC/73 detinha uma ação com especialidade para atende o caso em foco. </w:t>
      </w:r>
    </w:p>
    <w:p w:rsidR="00B1021E" w:rsidRDefault="00B1021E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Passados cinco anos e sem resolução do caso, a ação especifica que deveria ter sido usada não existe mais no atual Código de Processo Civil. </w:t>
      </w:r>
    </w:p>
    <w:p w:rsidR="008A0E39" w:rsidRPr="00474A95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74A95">
        <w:rPr>
          <w:rFonts w:ascii="Times New Roman" w:hAnsi="Times New Roman"/>
          <w:color w:val="auto"/>
          <w:sz w:val="24"/>
          <w:szCs w:val="24"/>
        </w:rPr>
        <w:t xml:space="preserve">Diante do exposto questiona-se: </w:t>
      </w:r>
      <w:r w:rsidR="002D0A30" w:rsidRPr="009C6C7B">
        <w:rPr>
          <w:rFonts w:ascii="Times New Roman" w:hAnsi="Times New Roman"/>
          <w:color w:val="auto"/>
          <w:sz w:val="24"/>
          <w:szCs w:val="24"/>
        </w:rPr>
        <w:t>Como o juiz deve apreciar a preliminar apontada?</w:t>
      </w:r>
    </w:p>
    <w:p w:rsidR="008A0E39" w:rsidRDefault="008A0E39" w:rsidP="008A0E39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450E78" w:rsidRDefault="008A0E39" w:rsidP="00A22A1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 w:rsidRPr="0021071B">
        <w:rPr>
          <w:rFonts w:ascii="Times New Roman" w:hAnsi="Times New Roman"/>
          <w:b/>
          <w:color w:val="auto"/>
          <w:sz w:val="24"/>
          <w:szCs w:val="24"/>
        </w:rPr>
        <w:t>2</w:t>
      </w:r>
      <w:proofErr w:type="gramEnd"/>
      <w:r w:rsidRPr="0021071B">
        <w:rPr>
          <w:rFonts w:ascii="Times New Roman" w:hAnsi="Times New Roman"/>
          <w:b/>
          <w:color w:val="auto"/>
          <w:sz w:val="24"/>
          <w:szCs w:val="24"/>
        </w:rPr>
        <w:t xml:space="preserve"> POSSÍVEIS DECISÕES</w:t>
      </w:r>
    </w:p>
    <w:p w:rsidR="008A0E39" w:rsidRPr="00D2643A" w:rsidRDefault="00D2643A" w:rsidP="00450E78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2.1</w:t>
      </w:r>
      <w:r w:rsidR="00450E78" w:rsidRPr="00D2643A">
        <w:rPr>
          <w:rFonts w:ascii="Times New Roman" w:hAnsi="Times New Roman"/>
          <w:color w:val="auto"/>
          <w:sz w:val="24"/>
          <w:szCs w:val="24"/>
        </w:rPr>
        <w:t xml:space="preserve"> O juiz pode apreciar a preliminar alegada pelo NPJ, sendo favorável ao feito e</w:t>
      </w:r>
      <w:proofErr w:type="gramStart"/>
      <w:r w:rsidR="00450E78" w:rsidRPr="00D2643A">
        <w:rPr>
          <w:rFonts w:ascii="Times New Roman" w:hAnsi="Times New Roman"/>
          <w:color w:val="auto"/>
          <w:sz w:val="24"/>
          <w:szCs w:val="24"/>
        </w:rPr>
        <w:t xml:space="preserve"> por conseguinte</w:t>
      </w:r>
      <w:proofErr w:type="gramEnd"/>
      <w:r w:rsidR="00450E78" w:rsidRPr="00D2643A">
        <w:rPr>
          <w:rFonts w:ascii="Times New Roman" w:hAnsi="Times New Roman"/>
          <w:color w:val="auto"/>
          <w:sz w:val="24"/>
          <w:szCs w:val="24"/>
        </w:rPr>
        <w:t>, deferir a tal.</w:t>
      </w:r>
    </w:p>
    <w:p w:rsidR="00D2643A" w:rsidRDefault="00D2643A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C0EEC" w:rsidRPr="00D2643A" w:rsidRDefault="00450E78" w:rsidP="008A0E39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2.2</w:t>
      </w:r>
      <w:r w:rsidR="008A0E39" w:rsidRPr="00D264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2643A">
        <w:rPr>
          <w:rFonts w:ascii="Times New Roman" w:hAnsi="Times New Roman"/>
          <w:color w:val="auto"/>
          <w:sz w:val="24"/>
          <w:szCs w:val="24"/>
        </w:rPr>
        <w:t>O juiz pode apreciar a preliminar alegada pelo NPJ, não sendo favorável ao feito e</w:t>
      </w:r>
      <w:proofErr w:type="gramStart"/>
      <w:r w:rsidRPr="00D2643A">
        <w:rPr>
          <w:rFonts w:ascii="Times New Roman" w:hAnsi="Times New Roman"/>
          <w:color w:val="auto"/>
          <w:sz w:val="24"/>
          <w:szCs w:val="24"/>
        </w:rPr>
        <w:t xml:space="preserve"> por conseguinte</w:t>
      </w:r>
      <w:proofErr w:type="gramEnd"/>
      <w:r w:rsidRPr="00D2643A">
        <w:rPr>
          <w:rFonts w:ascii="Times New Roman" w:hAnsi="Times New Roman"/>
          <w:color w:val="auto"/>
          <w:sz w:val="24"/>
          <w:szCs w:val="24"/>
        </w:rPr>
        <w:t>, indeferir a tal.</w:t>
      </w:r>
    </w:p>
    <w:p w:rsidR="00B71A4E" w:rsidRPr="008A0E39" w:rsidRDefault="00B71A4E" w:rsidP="009C6C7B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2643A" w:rsidRPr="00A22A12" w:rsidRDefault="009C6C7B" w:rsidP="00A22A1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auto"/>
          <w:sz w:val="24"/>
          <w:szCs w:val="24"/>
        </w:rPr>
        <w:t>3</w:t>
      </w:r>
      <w:proofErr w:type="gramEnd"/>
      <w:r w:rsidR="002967C1" w:rsidRPr="008A0E39">
        <w:rPr>
          <w:rFonts w:ascii="Times New Roman" w:hAnsi="Times New Roman"/>
          <w:b/>
          <w:color w:val="auto"/>
          <w:sz w:val="24"/>
          <w:szCs w:val="24"/>
        </w:rPr>
        <w:t xml:space="preserve"> QUESTÕES SECUNDARIAS</w:t>
      </w:r>
    </w:p>
    <w:p w:rsidR="00450E78" w:rsidRDefault="009C6C7B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</w:t>
      </w:r>
      <w:r w:rsidR="002967C1" w:rsidRPr="00450E78">
        <w:rPr>
          <w:b/>
          <w:color w:val="auto"/>
          <w:sz w:val="24"/>
          <w:szCs w:val="24"/>
        </w:rPr>
        <w:t xml:space="preserve">.1 </w:t>
      </w:r>
      <w:r w:rsidR="00EB743D" w:rsidRPr="00450E78">
        <w:rPr>
          <w:rFonts w:eastAsia="Calibri" w:cs="Calibri"/>
          <w:b/>
          <w:color w:val="auto"/>
          <w:sz w:val="24"/>
          <w:szCs w:val="24"/>
        </w:rPr>
        <w:t>Quais os fundamentos jurídicos utilizados para justificar a questão anterior</w:t>
      </w:r>
      <w:r w:rsidR="00450E78">
        <w:rPr>
          <w:rFonts w:eastAsia="Calibri" w:cs="Calibri"/>
          <w:b/>
          <w:color w:val="auto"/>
          <w:sz w:val="24"/>
          <w:szCs w:val="24"/>
        </w:rPr>
        <w:t>?</w:t>
      </w:r>
    </w:p>
    <w:p w:rsidR="00450E78" w:rsidRDefault="009C6C7B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450E78">
        <w:rPr>
          <w:color w:val="auto"/>
          <w:sz w:val="24"/>
          <w:szCs w:val="24"/>
        </w:rPr>
        <w:t>.1.1 Deferimento da preliminar</w:t>
      </w:r>
    </w:p>
    <w:p w:rsidR="00313E94" w:rsidRDefault="00450E78" w:rsidP="00A22A12">
      <w:pPr>
        <w:spacing w:after="0" w:line="360" w:lineRule="auto"/>
        <w:ind w:right="-1" w:firstLine="1134"/>
        <w:jc w:val="both"/>
        <w:rPr>
          <w:rFonts w:ascii="Times New Roman" w:hAnsi="Times New Roman"/>
          <w:sz w:val="24"/>
        </w:rPr>
      </w:pPr>
      <w:r w:rsidRPr="00313E94">
        <w:rPr>
          <w:rFonts w:ascii="Times New Roman" w:hAnsi="Times New Roman"/>
          <w:sz w:val="24"/>
          <w:shd w:val="clear" w:color="auto" w:fill="FFFFFF"/>
        </w:rPr>
        <w:t xml:space="preserve">De acordo com o exposto no presente caso o juiz deve deferir a o pedido da preliminar. Primeiramente é importante apresentar que ao tempo da propositura da ação estava em vigência o Código de Processo Civil (CPC) de 1973, e que possuía uma ação </w:t>
      </w:r>
      <w:r w:rsidRPr="00313E94">
        <w:rPr>
          <w:rFonts w:ascii="Times New Roman" w:hAnsi="Times New Roman"/>
          <w:sz w:val="24"/>
          <w:shd w:val="clear" w:color="auto" w:fill="FFFFFF"/>
        </w:rPr>
        <w:lastRenderedPageBreak/>
        <w:t>especifica ao caso em tela. Entretanto</w:t>
      </w:r>
      <w:r w:rsidR="00D2643A" w:rsidRPr="00313E94">
        <w:rPr>
          <w:rFonts w:ascii="Times New Roman" w:hAnsi="Times New Roman"/>
          <w:sz w:val="24"/>
          <w:shd w:val="clear" w:color="auto" w:fill="FFFFFF"/>
        </w:rPr>
        <w:t>,</w:t>
      </w:r>
      <w:r w:rsidRPr="00313E94">
        <w:rPr>
          <w:rFonts w:ascii="Times New Roman" w:hAnsi="Times New Roman"/>
          <w:sz w:val="24"/>
          <w:shd w:val="clear" w:color="auto" w:fill="FFFFFF"/>
        </w:rPr>
        <w:t xml:space="preserve"> por desaten</w:t>
      </w:r>
      <w:r w:rsidR="00313E94">
        <w:rPr>
          <w:rFonts w:ascii="Times New Roman" w:hAnsi="Times New Roman"/>
          <w:sz w:val="24"/>
          <w:shd w:val="clear" w:color="auto" w:fill="FFFFFF"/>
        </w:rPr>
        <w:t>to</w:t>
      </w:r>
      <w:r w:rsidRPr="00313E94">
        <w:rPr>
          <w:rFonts w:ascii="Times New Roman" w:hAnsi="Times New Roman"/>
          <w:sz w:val="24"/>
          <w:shd w:val="clear" w:color="auto" w:fill="FFFFFF"/>
        </w:rPr>
        <w:t xml:space="preserve"> da parte contraria, não foi interposta tal ação, e em seu lugar foi usada uma ação de procedimento comum com um pedido de antecipação de tutela. Visto que anteriormente não cabia a defesa </w:t>
      </w:r>
      <w:r w:rsidR="00313E94" w:rsidRPr="00313E94">
        <w:rPr>
          <w:rFonts w:ascii="Times New Roman" w:hAnsi="Times New Roman"/>
          <w:sz w:val="24"/>
          <w:shd w:val="clear" w:color="auto" w:fill="FFFFFF"/>
        </w:rPr>
        <w:t xml:space="preserve">da matéria pelo modo como foi proposto </w:t>
      </w:r>
      <w:proofErr w:type="gramStart"/>
      <w:r w:rsidR="00313E94" w:rsidRPr="00313E94">
        <w:rPr>
          <w:rFonts w:ascii="Times New Roman" w:hAnsi="Times New Roman"/>
          <w:sz w:val="24"/>
          <w:shd w:val="clear" w:color="auto" w:fill="FFFFFF"/>
        </w:rPr>
        <w:t>a</w:t>
      </w:r>
      <w:proofErr w:type="gramEnd"/>
      <w:r w:rsidR="00313E94" w:rsidRPr="00313E94">
        <w:rPr>
          <w:rFonts w:ascii="Times New Roman" w:hAnsi="Times New Roman"/>
          <w:sz w:val="24"/>
          <w:shd w:val="clear" w:color="auto" w:fill="FFFFFF"/>
        </w:rPr>
        <w:t xml:space="preserve"> ação, </w:t>
      </w:r>
      <w:r w:rsidR="00313E94">
        <w:rPr>
          <w:rFonts w:ascii="Times New Roman" w:hAnsi="Times New Roman"/>
          <w:sz w:val="24"/>
          <w:shd w:val="clear" w:color="auto" w:fill="FFFFFF"/>
        </w:rPr>
        <w:t xml:space="preserve">sabemos que a prestação jurisdicional feita por meio de processo tem a necessidade de preenchimento de requisitos indispensáveis a sua existência. Dito isto, e trazendo tal raciocínio para o caso em questão, não se percebe um dos requisitos essências a condição da ação que é o interesse de agir, pois o instrumento utilizado pelo autor deve ser adequado, o que não ocorre, visto que a Defensoria Pública utiliza-se de uma ação de “obrigação de não fazer com pedido de antecipação de tutela” quando deveria ter observado o procedimento adequado que seria a ação de Nunciação de Obra Nova a época do Código de Processo Civil de 1973. (BRASIL, 1973; </w:t>
      </w:r>
      <w:r w:rsidR="00313E94">
        <w:rPr>
          <w:rFonts w:ascii="Times New Roman" w:hAnsi="Times New Roman"/>
          <w:sz w:val="24"/>
        </w:rPr>
        <w:t>THEODORO, 2016). Tal exposto reafirma o deferimento da preliminar.</w:t>
      </w:r>
    </w:p>
    <w:p w:rsidR="00D2643A" w:rsidRDefault="00D2643A" w:rsidP="00313E94">
      <w:pPr>
        <w:pStyle w:val="NormalWeb"/>
        <w:shd w:val="clear" w:color="auto" w:fill="FFFFFF"/>
        <w:spacing w:beforeAutospacing="0" w:after="0" w:afterAutospacing="0" w:line="360" w:lineRule="auto"/>
        <w:jc w:val="both"/>
        <w:rPr>
          <w:color w:val="auto"/>
          <w:sz w:val="24"/>
          <w:szCs w:val="24"/>
        </w:rPr>
      </w:pPr>
    </w:p>
    <w:p w:rsidR="006779D6" w:rsidRDefault="006779D6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3.1.2</w:t>
      </w:r>
      <w:proofErr w:type="gramStart"/>
      <w:r>
        <w:rPr>
          <w:color w:val="auto"/>
          <w:sz w:val="24"/>
          <w:szCs w:val="24"/>
        </w:rPr>
        <w:t xml:space="preserve">  </w:t>
      </w:r>
      <w:proofErr w:type="gramEnd"/>
      <w:r>
        <w:rPr>
          <w:color w:val="auto"/>
          <w:sz w:val="24"/>
          <w:szCs w:val="24"/>
        </w:rPr>
        <w:t>Indeferimento da preliminar</w:t>
      </w:r>
    </w:p>
    <w:p w:rsidR="00CC2D9A" w:rsidRDefault="00CC2D9A" w:rsidP="0044745C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Através da vigência do Código de Processo Civil de 2015, </w:t>
      </w:r>
      <w:r w:rsidR="007D2EA3">
        <w:rPr>
          <w:color w:val="auto"/>
          <w:sz w:val="24"/>
          <w:szCs w:val="24"/>
        </w:rPr>
        <w:t xml:space="preserve">trouxe a premissa de maior aproveitamento dos atos processuais, não se atendo ao formalismo como impedimento para a continuidade do processo ou motivo maior da extinção deste. O processo civil passou a possibilitar a retificação de atos inadequados, tendo assim em ultima opção a nulidade processual. </w:t>
      </w:r>
    </w:p>
    <w:p w:rsidR="0044745C" w:rsidRDefault="00CC5FCD" w:rsidP="0044745C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</w:rPr>
        <w:t>Neste diapasão</w:t>
      </w:r>
      <w:r w:rsidR="007D2EA3">
        <w:rPr>
          <w:color w:val="auto"/>
          <w:sz w:val="24"/>
          <w:szCs w:val="24"/>
        </w:rPr>
        <w:t>, relacionando com o caso em comento, a propositura da ação de obrigação de não fazer foi proposta de forma equivocada. Tal f</w:t>
      </w:r>
      <w:r>
        <w:rPr>
          <w:color w:val="auto"/>
          <w:sz w:val="24"/>
          <w:szCs w:val="24"/>
        </w:rPr>
        <w:t xml:space="preserve">ato ocorre, pois no tempo da pretensão, caberia </w:t>
      </w:r>
      <w:r w:rsidR="007D2EA3">
        <w:rPr>
          <w:color w:val="auto"/>
          <w:sz w:val="24"/>
          <w:szCs w:val="24"/>
        </w:rPr>
        <w:t xml:space="preserve">a ação de nunciação de obra nova, versando a matéria mais especificadamente. </w:t>
      </w:r>
      <w:r>
        <w:rPr>
          <w:color w:val="auto"/>
          <w:sz w:val="24"/>
          <w:szCs w:val="24"/>
        </w:rPr>
        <w:t>Entretanto</w:t>
      </w:r>
      <w:r w:rsidR="00E71451">
        <w:rPr>
          <w:color w:val="auto"/>
          <w:sz w:val="24"/>
          <w:szCs w:val="24"/>
        </w:rPr>
        <w:t xml:space="preserve">, como </w:t>
      </w:r>
      <w:r>
        <w:rPr>
          <w:color w:val="auto"/>
          <w:sz w:val="24"/>
          <w:szCs w:val="24"/>
        </w:rPr>
        <w:t>disposto</w:t>
      </w:r>
      <w:r w:rsidR="00E71451">
        <w:rPr>
          <w:color w:val="auto"/>
          <w:sz w:val="24"/>
          <w:szCs w:val="24"/>
        </w:rPr>
        <w:t xml:space="preserve"> acima </w:t>
      </w:r>
      <w:r w:rsidR="0044745C">
        <w:rPr>
          <w:color w:val="auto"/>
          <w:sz w:val="24"/>
          <w:szCs w:val="24"/>
        </w:rPr>
        <w:t>à</w:t>
      </w:r>
      <w:r w:rsidR="00E7145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apreciação</w:t>
      </w:r>
      <w:r w:rsidR="00E71451">
        <w:rPr>
          <w:color w:val="auto"/>
          <w:sz w:val="24"/>
          <w:szCs w:val="24"/>
        </w:rPr>
        <w:t xml:space="preserve"> do </w:t>
      </w:r>
      <w:r>
        <w:rPr>
          <w:color w:val="auto"/>
          <w:sz w:val="24"/>
          <w:szCs w:val="24"/>
        </w:rPr>
        <w:t>magistrado</w:t>
      </w:r>
      <w:r w:rsidR="00E71451">
        <w:rPr>
          <w:color w:val="auto"/>
          <w:sz w:val="24"/>
          <w:szCs w:val="24"/>
        </w:rPr>
        <w:t xml:space="preserve"> deve levar em consideração prezar pela conservação processual, não extinguindo o feiro pelo erro do rito através da ação proposta. Devido a isto, mesmo com </w:t>
      </w:r>
      <w:r>
        <w:rPr>
          <w:color w:val="auto"/>
          <w:sz w:val="24"/>
          <w:szCs w:val="24"/>
        </w:rPr>
        <w:t xml:space="preserve">a inadequação da ação interposta, </w:t>
      </w:r>
      <w:r>
        <w:rPr>
          <w:sz w:val="24"/>
          <w:shd w:val="clear" w:color="auto" w:fill="FFFFFF"/>
        </w:rPr>
        <w:t>o juiz deve analisar o caso concreto e evitar sempre a anulação pura e simples dos atos, buscando a adaptação mais adequada, e não a mera nulidade processual.</w:t>
      </w:r>
      <w:r w:rsidR="0044745C">
        <w:rPr>
          <w:sz w:val="24"/>
          <w:shd w:val="clear" w:color="auto" w:fill="FFFFFF"/>
        </w:rPr>
        <w:t xml:space="preserve"> (</w:t>
      </w:r>
      <w:r w:rsidR="0044745C">
        <w:rPr>
          <w:rStyle w:val="Hyperlink"/>
          <w:color w:val="auto"/>
          <w:sz w:val="24"/>
          <w:szCs w:val="24"/>
          <w:u w:val="none"/>
        </w:rPr>
        <w:t>THEODORO, 2016)</w:t>
      </w:r>
    </w:p>
    <w:p w:rsidR="007D2EA3" w:rsidRDefault="0044745C" w:rsidP="0044745C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color w:val="auto"/>
          <w:sz w:val="24"/>
          <w:szCs w:val="24"/>
        </w:rPr>
      </w:pPr>
      <w:r>
        <w:rPr>
          <w:sz w:val="24"/>
          <w:shd w:val="clear" w:color="auto" w:fill="FFFFFF"/>
        </w:rPr>
        <w:t xml:space="preserve"> Como argumento de relação ao exposto acima, </w:t>
      </w:r>
      <w:proofErr w:type="spellStart"/>
      <w:r>
        <w:rPr>
          <w:sz w:val="24"/>
          <w:shd w:val="clear" w:color="auto" w:fill="FFFFFF"/>
        </w:rPr>
        <w:t>Donizzete</w:t>
      </w:r>
      <w:proofErr w:type="spellEnd"/>
      <w:r>
        <w:rPr>
          <w:sz w:val="24"/>
          <w:shd w:val="clear" w:color="auto" w:fill="FFFFFF"/>
        </w:rPr>
        <w:t xml:space="preserve"> preconiza, através do principio da instrumentalidade, a manutenção de atos inadequados mais cabíveis de aceitação, pela maior importância a matéria fática:</w:t>
      </w:r>
    </w:p>
    <w:p w:rsidR="009C108D" w:rsidRDefault="009C108D" w:rsidP="00DD388A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auto"/>
          <w:szCs w:val="24"/>
        </w:rPr>
      </w:pPr>
      <w:r w:rsidRPr="00DD388A">
        <w:rPr>
          <w:rFonts w:ascii="Times New Roman" w:hAnsi="Times New Roman"/>
          <w:color w:val="auto"/>
          <w:szCs w:val="24"/>
        </w:rPr>
        <w:t xml:space="preserve">O princípio da instrumentalidade representa a ligação entre o direito processual e o direito material: as normas processuais têm de ser pensadas e aplicadas como técnica de efetivação do direito material [...] Embora não conste do capítulo </w:t>
      </w:r>
      <w:proofErr w:type="spellStart"/>
      <w:r w:rsidRPr="00DD388A">
        <w:rPr>
          <w:rFonts w:ascii="Times New Roman" w:hAnsi="Times New Roman"/>
          <w:color w:val="auto"/>
          <w:szCs w:val="24"/>
        </w:rPr>
        <w:t>principiológico</w:t>
      </w:r>
      <w:proofErr w:type="spellEnd"/>
      <w:r w:rsidRPr="00DD388A">
        <w:rPr>
          <w:rFonts w:ascii="Times New Roman" w:hAnsi="Times New Roman"/>
          <w:color w:val="auto"/>
          <w:szCs w:val="24"/>
        </w:rPr>
        <w:t xml:space="preserve"> do novo CPC, o princípio da instrumentalidade das formas também foi observado pela nova legislação (art. 188), que manteve redação semelhante ao CPC de 1973[...] Em sendo </w:t>
      </w:r>
      <w:r w:rsidRPr="00DD388A">
        <w:rPr>
          <w:rFonts w:ascii="Times New Roman" w:hAnsi="Times New Roman"/>
          <w:color w:val="auto"/>
          <w:szCs w:val="24"/>
        </w:rPr>
        <w:lastRenderedPageBreak/>
        <w:t>assim, o que o princípio da instrumentalidade buscará evitar é “o abuso doformalismo</w:t>
      </w:r>
      <w:proofErr w:type="gramStart"/>
      <w:r w:rsidRPr="00DD388A">
        <w:rPr>
          <w:rFonts w:ascii="Times New Roman" w:hAnsi="Times New Roman"/>
          <w:color w:val="auto"/>
          <w:szCs w:val="24"/>
        </w:rPr>
        <w:t>”,</w:t>
      </w:r>
      <w:proofErr w:type="gramEnd"/>
      <w:r w:rsidRPr="00DD388A">
        <w:rPr>
          <w:rFonts w:ascii="Times New Roman" w:hAnsi="Times New Roman"/>
          <w:color w:val="auto"/>
          <w:szCs w:val="24"/>
        </w:rPr>
        <w:t>37 o fetichismo das fórmulas em detrimento da essência e finalidade dos atos processuais; quer dizer, buscará a efetividade processual. (DONIZETTI, 2016. p. 104-105)</w:t>
      </w:r>
    </w:p>
    <w:p w:rsidR="0044745C" w:rsidRDefault="0044745C" w:rsidP="00DD388A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auto"/>
          <w:szCs w:val="24"/>
        </w:rPr>
      </w:pPr>
    </w:p>
    <w:p w:rsidR="0044745C" w:rsidRPr="00D756C3" w:rsidRDefault="00D756C3" w:rsidP="00A22A12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D756C3">
        <w:rPr>
          <w:rFonts w:ascii="Times New Roman" w:hAnsi="Times New Roman"/>
          <w:color w:val="auto"/>
          <w:sz w:val="24"/>
          <w:szCs w:val="24"/>
        </w:rPr>
        <w:t>Ainda, tendo como embasamento legal aos preceitos elencados anteriormente está o</w:t>
      </w:r>
      <w:r w:rsidRPr="00D756C3">
        <w:rPr>
          <w:rFonts w:ascii="Times New Roman" w:hAnsi="Times New Roman"/>
          <w:sz w:val="24"/>
          <w:szCs w:val="24"/>
        </w:rPr>
        <w:t xml:space="preserve"> art. 283, parágrafo único, do Código de Processo Civil, o qual preceitua: "Dar-se-á o aproveitamento dos atos praticados desde que não resulte preju</w:t>
      </w:r>
      <w:r w:rsidR="0027621C">
        <w:rPr>
          <w:rFonts w:ascii="Times New Roman" w:hAnsi="Times New Roman"/>
          <w:sz w:val="24"/>
          <w:szCs w:val="24"/>
        </w:rPr>
        <w:t>ízo à defesa de qualquer parte" e o art. 188 do mesmo código, preceitua a instrumentalidade das formas:</w:t>
      </w:r>
      <w:r w:rsidR="0027621C" w:rsidRPr="0027621C">
        <w:rPr>
          <w:rFonts w:ascii="Arial" w:hAnsi="Arial" w:cs="Arial"/>
          <w:color w:val="000000"/>
        </w:rPr>
        <w:t xml:space="preserve"> </w:t>
      </w:r>
      <w:r w:rsidR="0027621C" w:rsidRPr="0027621C">
        <w:rPr>
          <w:rFonts w:ascii="Times New Roman" w:hAnsi="Times New Roman"/>
          <w:color w:val="000000"/>
          <w:sz w:val="24"/>
        </w:rPr>
        <w:t>“Os atos e os termos processuais independem de forma determinada, salvo quando a lei expressamente a exigir, considerando-se válidos os que, realizados de outro modo, lhe preencham a finalidade essencial”.</w:t>
      </w:r>
      <w:r w:rsidRPr="0027621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(BRASIL, 2015). Aproveitando o ensejo</w:t>
      </w:r>
      <w:r>
        <w:rPr>
          <w:rFonts w:ascii="Times New Roman" w:hAnsi="Times New Roman"/>
          <w:sz w:val="24"/>
        </w:rPr>
        <w:t xml:space="preserve">, através </w:t>
      </w:r>
      <w:r w:rsidR="009E6AD9">
        <w:rPr>
          <w:rFonts w:ascii="Times New Roman" w:hAnsi="Times New Roman"/>
          <w:sz w:val="24"/>
        </w:rPr>
        <w:t>de julgado do STJ</w:t>
      </w:r>
      <w:r>
        <w:rPr>
          <w:rFonts w:ascii="Times New Roman" w:hAnsi="Times New Roman"/>
          <w:sz w:val="24"/>
        </w:rPr>
        <w:t>, o Ministro Claudio Santos, preleciona que o erro na escolha do procedimento não deve acarretar na invalidação do processo por inteiro, mas somente dos atos, que de forma alguma, puderem ser reaproveitados. (STJ, 1996). Corroborando tal entendimento a outro jurisprudência do STJ, que frisa-se: " o erro na forma do processo só não possibilita o aproveitamento dos atos praticados se dele resultar violação do direito fundamental ao contraditório". (STJ, 2006). Reafirma-se o caráter da continuidade processual e indeferimento da preliminar</w:t>
      </w:r>
    </w:p>
    <w:p w:rsidR="006779D6" w:rsidRPr="00450E78" w:rsidRDefault="006779D6" w:rsidP="00450E78">
      <w:pPr>
        <w:pStyle w:val="NormalWeb"/>
        <w:shd w:val="clear" w:color="auto" w:fill="FFFFFF"/>
        <w:spacing w:beforeAutospacing="0" w:after="0" w:afterAutospacing="0" w:line="360" w:lineRule="auto"/>
        <w:ind w:firstLine="840"/>
        <w:jc w:val="both"/>
        <w:rPr>
          <w:rFonts w:eastAsia="Calibri" w:cs="Calibri"/>
          <w:b/>
          <w:color w:val="auto"/>
          <w:sz w:val="24"/>
          <w:szCs w:val="24"/>
        </w:rPr>
      </w:pPr>
    </w:p>
    <w:p w:rsidR="00196950" w:rsidRPr="00450E78" w:rsidRDefault="009C6C7B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b/>
          <w:color w:val="auto"/>
          <w:sz w:val="24"/>
          <w:szCs w:val="24"/>
        </w:rPr>
      </w:pPr>
      <w:proofErr w:type="gramStart"/>
      <w:r>
        <w:rPr>
          <w:b/>
          <w:color w:val="auto"/>
          <w:sz w:val="24"/>
          <w:szCs w:val="24"/>
        </w:rPr>
        <w:t>3</w:t>
      </w:r>
      <w:r w:rsidR="00196950" w:rsidRPr="00450E78">
        <w:rPr>
          <w:b/>
          <w:color w:val="auto"/>
          <w:sz w:val="24"/>
          <w:szCs w:val="24"/>
        </w:rPr>
        <w:t xml:space="preserve">.2 </w:t>
      </w:r>
      <w:r w:rsidR="00196950" w:rsidRPr="00450E78">
        <w:rPr>
          <w:rFonts w:eastAsia="Calibri" w:cs="Calibri"/>
          <w:b/>
          <w:color w:val="auto"/>
          <w:sz w:val="24"/>
          <w:szCs w:val="24"/>
        </w:rPr>
        <w:t>Qual</w:t>
      </w:r>
      <w:proofErr w:type="gramEnd"/>
      <w:r w:rsidR="00196950" w:rsidRPr="00450E78">
        <w:rPr>
          <w:rFonts w:eastAsia="Calibri" w:cs="Calibri"/>
          <w:b/>
          <w:color w:val="auto"/>
          <w:sz w:val="24"/>
          <w:szCs w:val="24"/>
        </w:rPr>
        <w:t xml:space="preserve"> seria a ação que a defensoria deveria ter entrado na época?</w:t>
      </w:r>
    </w:p>
    <w:p w:rsidR="004F7272" w:rsidRPr="00450E78" w:rsidRDefault="004F7272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color w:val="auto"/>
          <w:sz w:val="24"/>
          <w:szCs w:val="24"/>
        </w:rPr>
      </w:pPr>
      <w:r w:rsidRPr="00450E78">
        <w:rPr>
          <w:rFonts w:eastAsia="Calibri" w:cs="Calibri"/>
          <w:color w:val="auto"/>
          <w:sz w:val="24"/>
          <w:szCs w:val="24"/>
        </w:rPr>
        <w:t xml:space="preserve">Tendo como base o </w:t>
      </w:r>
      <w:r w:rsidR="00450E78" w:rsidRPr="00450E78">
        <w:rPr>
          <w:rFonts w:eastAsia="Calibri" w:cs="Calibri"/>
          <w:color w:val="auto"/>
          <w:sz w:val="24"/>
          <w:szCs w:val="24"/>
        </w:rPr>
        <w:t>Código</w:t>
      </w:r>
      <w:r w:rsidRPr="00450E78">
        <w:rPr>
          <w:rFonts w:eastAsia="Calibri" w:cs="Calibri"/>
          <w:color w:val="auto"/>
          <w:sz w:val="24"/>
          <w:szCs w:val="24"/>
        </w:rPr>
        <w:t xml:space="preserve"> de Processo Civil (CPC) de 1973 e o caso tratando de uma </w:t>
      </w:r>
      <w:r w:rsidR="00450E78" w:rsidRPr="00450E78">
        <w:rPr>
          <w:rFonts w:eastAsia="Calibri" w:cs="Calibri"/>
          <w:color w:val="auto"/>
          <w:sz w:val="24"/>
          <w:szCs w:val="24"/>
        </w:rPr>
        <w:t>construção</w:t>
      </w:r>
      <w:r w:rsidRPr="00450E78">
        <w:rPr>
          <w:rFonts w:eastAsia="Calibri" w:cs="Calibri"/>
          <w:color w:val="auto"/>
          <w:sz w:val="24"/>
          <w:szCs w:val="24"/>
        </w:rPr>
        <w:t xml:space="preserve"> de um sobrado que estaria desrespeitando o direito de vizinhança, a ação prevista pelo CPC/73 é </w:t>
      </w:r>
      <w:r w:rsidR="00333613" w:rsidRPr="00450E78">
        <w:rPr>
          <w:rFonts w:eastAsia="Calibri" w:cs="Calibri"/>
          <w:color w:val="auto"/>
          <w:sz w:val="24"/>
          <w:szCs w:val="24"/>
        </w:rPr>
        <w:t>especificamente</w:t>
      </w:r>
      <w:r w:rsidRPr="00450E78">
        <w:rPr>
          <w:rFonts w:eastAsia="Calibri" w:cs="Calibri"/>
          <w:color w:val="auto"/>
          <w:sz w:val="24"/>
          <w:szCs w:val="24"/>
        </w:rPr>
        <w:t xml:space="preserve"> a ação de nunciação de obra nova. Tal ação dispõe</w:t>
      </w:r>
      <w:r w:rsidR="00333613" w:rsidRPr="00450E78">
        <w:rPr>
          <w:rFonts w:eastAsia="Calibri" w:cs="Calibri"/>
          <w:color w:val="auto"/>
          <w:sz w:val="24"/>
          <w:szCs w:val="24"/>
        </w:rPr>
        <w:t xml:space="preserve"> em seu art</w:t>
      </w:r>
      <w:r w:rsidR="00450E78" w:rsidRPr="00450E78">
        <w:rPr>
          <w:rFonts w:eastAsia="Calibri" w:cs="Calibri"/>
          <w:color w:val="auto"/>
          <w:sz w:val="24"/>
          <w:szCs w:val="24"/>
        </w:rPr>
        <w:t>.</w:t>
      </w:r>
      <w:r w:rsidR="00333613" w:rsidRPr="00450E78">
        <w:rPr>
          <w:rFonts w:eastAsia="Calibri" w:cs="Calibri"/>
          <w:color w:val="auto"/>
          <w:sz w:val="24"/>
          <w:szCs w:val="24"/>
        </w:rPr>
        <w:t xml:space="preserve"> 934 CPC/73</w:t>
      </w:r>
      <w:r w:rsidRPr="00450E78">
        <w:rPr>
          <w:rFonts w:eastAsia="Calibri" w:cs="Calibri"/>
          <w:color w:val="auto"/>
          <w:sz w:val="24"/>
          <w:szCs w:val="24"/>
        </w:rPr>
        <w:t>:</w:t>
      </w:r>
    </w:p>
    <w:p w:rsidR="00333613" w:rsidRPr="00333613" w:rsidRDefault="00333613" w:rsidP="00450E78">
      <w:pPr>
        <w:shd w:val="clear" w:color="auto" w:fill="FFFFFF"/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</w:rPr>
      </w:pPr>
      <w:r w:rsidRPr="00333613">
        <w:rPr>
          <w:rFonts w:ascii="Times New Roman" w:hAnsi="Times New Roman"/>
          <w:color w:val="auto"/>
          <w:sz w:val="20"/>
          <w:szCs w:val="20"/>
        </w:rPr>
        <w:t>Art. 934. Compete esta ação:</w:t>
      </w:r>
    </w:p>
    <w:p w:rsidR="00333613" w:rsidRPr="00333613" w:rsidRDefault="00333613" w:rsidP="00333613">
      <w:pPr>
        <w:shd w:val="clear" w:color="auto" w:fill="FFFFFF"/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</w:rPr>
      </w:pPr>
      <w:bookmarkStart w:id="1" w:name="art934i"/>
      <w:bookmarkEnd w:id="1"/>
      <w:r w:rsidRPr="00333613">
        <w:rPr>
          <w:rFonts w:ascii="Times New Roman" w:hAnsi="Times New Roman"/>
          <w:color w:val="auto"/>
          <w:sz w:val="20"/>
          <w:szCs w:val="20"/>
        </w:rPr>
        <w:t xml:space="preserve">I - ao proprietário ou possuidor, a fim de impedir que a edificação de obra nova em imóvel vizinho </w:t>
      </w:r>
      <w:proofErr w:type="spellStart"/>
      <w:r w:rsidRPr="00333613">
        <w:rPr>
          <w:rFonts w:ascii="Times New Roman" w:hAnsi="Times New Roman"/>
          <w:color w:val="auto"/>
          <w:sz w:val="20"/>
          <w:szCs w:val="20"/>
        </w:rPr>
        <w:t>Ihe</w:t>
      </w:r>
      <w:proofErr w:type="spellEnd"/>
      <w:r w:rsidRPr="00333613">
        <w:rPr>
          <w:rFonts w:ascii="Times New Roman" w:hAnsi="Times New Roman"/>
          <w:color w:val="auto"/>
          <w:sz w:val="20"/>
          <w:szCs w:val="20"/>
        </w:rPr>
        <w:t xml:space="preserve"> prejudique o prédio, suas servidões ou fins a que é destinado;</w:t>
      </w:r>
    </w:p>
    <w:p w:rsidR="00333613" w:rsidRPr="00333613" w:rsidRDefault="00333613" w:rsidP="00333613">
      <w:pPr>
        <w:shd w:val="clear" w:color="auto" w:fill="FFFFFF"/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</w:rPr>
      </w:pPr>
      <w:bookmarkStart w:id="2" w:name="art934ii"/>
      <w:bookmarkEnd w:id="2"/>
      <w:r w:rsidRPr="00333613">
        <w:rPr>
          <w:rFonts w:ascii="Times New Roman" w:hAnsi="Times New Roman"/>
          <w:color w:val="auto"/>
          <w:sz w:val="20"/>
          <w:szCs w:val="20"/>
        </w:rPr>
        <w:t xml:space="preserve">II - ao condômino, para impedir que o </w:t>
      </w:r>
      <w:proofErr w:type="spellStart"/>
      <w:proofErr w:type="gramStart"/>
      <w:r w:rsidRPr="00333613">
        <w:rPr>
          <w:rFonts w:ascii="Times New Roman" w:hAnsi="Times New Roman"/>
          <w:color w:val="auto"/>
          <w:sz w:val="20"/>
          <w:szCs w:val="20"/>
        </w:rPr>
        <w:t>co-proprietário</w:t>
      </w:r>
      <w:proofErr w:type="spellEnd"/>
      <w:proofErr w:type="gramEnd"/>
      <w:r w:rsidRPr="00333613">
        <w:rPr>
          <w:rFonts w:ascii="Times New Roman" w:hAnsi="Times New Roman"/>
          <w:color w:val="auto"/>
          <w:sz w:val="20"/>
          <w:szCs w:val="20"/>
        </w:rPr>
        <w:t xml:space="preserve"> execute alguma obra com prejuízo ou alteração da coisa comum;</w:t>
      </w:r>
    </w:p>
    <w:p w:rsidR="00333613" w:rsidRDefault="00333613" w:rsidP="00450E78">
      <w:pPr>
        <w:shd w:val="clear" w:color="auto" w:fill="FFFFFF"/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</w:rPr>
      </w:pPr>
      <w:bookmarkStart w:id="3" w:name="art934iii"/>
      <w:bookmarkEnd w:id="3"/>
      <w:r w:rsidRPr="00333613">
        <w:rPr>
          <w:rFonts w:ascii="Times New Roman" w:hAnsi="Times New Roman"/>
          <w:color w:val="auto"/>
          <w:sz w:val="20"/>
          <w:szCs w:val="20"/>
        </w:rPr>
        <w:t>III - ao Município, a fim de impedir que o particular construa em contravenção da lei, do regulamento ou de postura.</w:t>
      </w:r>
      <w:r>
        <w:rPr>
          <w:rFonts w:ascii="Times New Roman" w:hAnsi="Times New Roman"/>
          <w:color w:val="auto"/>
          <w:sz w:val="20"/>
          <w:szCs w:val="20"/>
        </w:rPr>
        <w:t xml:space="preserve"> (BRASIL, 1973)</w:t>
      </w:r>
    </w:p>
    <w:p w:rsidR="00450E78" w:rsidRDefault="00450E78" w:rsidP="00450E78">
      <w:pPr>
        <w:shd w:val="clear" w:color="auto" w:fill="FFFFFF"/>
        <w:suppressAutoHyphens w:val="0"/>
        <w:spacing w:after="0" w:line="240" w:lineRule="auto"/>
        <w:ind w:left="2268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50E78" w:rsidRPr="00450E78" w:rsidRDefault="00450E78" w:rsidP="00450E78">
      <w:pPr>
        <w:shd w:val="clear" w:color="auto" w:fill="FFFFFF"/>
        <w:suppressAutoHyphens w:val="0"/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450E78">
        <w:rPr>
          <w:rFonts w:ascii="Times New Roman" w:hAnsi="Times New Roman"/>
          <w:color w:val="auto"/>
          <w:sz w:val="24"/>
          <w:szCs w:val="24"/>
        </w:rPr>
        <w:t>Diante do caso em comento a feitura do sobrado estava prejudicando a proprietária do terreno que estava ao lado do imóvel onde estava sendo realização a nova obra. Desta feita enquadra-se expressamente no dispositivo citado.</w:t>
      </w:r>
    </w:p>
    <w:p w:rsidR="004F7272" w:rsidRDefault="004F7272" w:rsidP="00B2738A">
      <w:pPr>
        <w:pStyle w:val="NormalWeb"/>
        <w:shd w:val="clear" w:color="auto" w:fill="FFFFFF"/>
        <w:spacing w:beforeAutospacing="0" w:after="0" w:afterAutospacing="0" w:line="360" w:lineRule="auto"/>
        <w:ind w:firstLine="840"/>
        <w:jc w:val="both"/>
        <w:rPr>
          <w:rFonts w:eastAsia="Calibri" w:cs="Calibri"/>
          <w:color w:val="auto"/>
          <w:sz w:val="20"/>
          <w:szCs w:val="20"/>
        </w:rPr>
      </w:pPr>
    </w:p>
    <w:p w:rsidR="00196950" w:rsidRDefault="009C6C7B" w:rsidP="00A22A12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b/>
          <w:color w:val="auto"/>
          <w:sz w:val="24"/>
          <w:szCs w:val="24"/>
        </w:rPr>
      </w:pPr>
      <w:proofErr w:type="gramStart"/>
      <w:r>
        <w:rPr>
          <w:rFonts w:eastAsia="Calibri" w:cs="Calibri"/>
          <w:b/>
          <w:color w:val="auto"/>
          <w:sz w:val="24"/>
          <w:szCs w:val="24"/>
        </w:rPr>
        <w:t>3</w:t>
      </w:r>
      <w:r w:rsidR="00196950" w:rsidRPr="00450E78">
        <w:rPr>
          <w:rFonts w:eastAsia="Calibri" w:cs="Calibri"/>
          <w:b/>
          <w:color w:val="auto"/>
          <w:sz w:val="24"/>
          <w:szCs w:val="24"/>
        </w:rPr>
        <w:t>.3 Com o código novo, qual</w:t>
      </w:r>
      <w:proofErr w:type="gramEnd"/>
      <w:r w:rsidR="00196950" w:rsidRPr="00450E78">
        <w:rPr>
          <w:rFonts w:eastAsia="Calibri" w:cs="Calibri"/>
          <w:b/>
          <w:color w:val="auto"/>
          <w:sz w:val="24"/>
          <w:szCs w:val="24"/>
        </w:rPr>
        <w:t xml:space="preserve"> seria ação que deveria</w:t>
      </w:r>
      <w:r w:rsidR="00450E78">
        <w:rPr>
          <w:rFonts w:eastAsia="Calibri" w:cs="Calibri"/>
          <w:b/>
          <w:color w:val="auto"/>
          <w:sz w:val="24"/>
          <w:szCs w:val="24"/>
        </w:rPr>
        <w:t xml:space="preserve"> ser utilizada hoje e as consequ</w:t>
      </w:r>
      <w:r w:rsidR="00196950" w:rsidRPr="00450E78">
        <w:rPr>
          <w:rFonts w:eastAsia="Calibri" w:cs="Calibri"/>
          <w:b/>
          <w:color w:val="auto"/>
          <w:sz w:val="24"/>
          <w:szCs w:val="24"/>
        </w:rPr>
        <w:t>ências da não utilização no caso concreto?</w:t>
      </w:r>
    </w:p>
    <w:p w:rsidR="00797892" w:rsidRPr="0093339B" w:rsidRDefault="00797892" w:rsidP="00924E6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color w:val="auto"/>
          <w:sz w:val="24"/>
          <w:szCs w:val="24"/>
        </w:rPr>
      </w:pPr>
      <w:r w:rsidRPr="0093339B">
        <w:rPr>
          <w:rFonts w:eastAsia="Calibri" w:cs="Calibri"/>
          <w:color w:val="auto"/>
          <w:sz w:val="24"/>
          <w:szCs w:val="24"/>
        </w:rPr>
        <w:lastRenderedPageBreak/>
        <w:t>A ação a ser utilizada hoje deveria ser a de Nunciação de Obra Nova com tutela antecipada. Tal ação tem como natureza o direito material de evitar a edificação de obra nova que causa dano, tendo o objetivo de embargar a obra em inicio.</w:t>
      </w:r>
      <w:r w:rsidR="00924E6F">
        <w:rPr>
          <w:rFonts w:eastAsia="Calibri" w:cs="Calibri"/>
          <w:color w:val="auto"/>
          <w:sz w:val="24"/>
          <w:szCs w:val="24"/>
        </w:rPr>
        <w:t xml:space="preserve"> N</w:t>
      </w:r>
      <w:r w:rsidRPr="0093339B">
        <w:rPr>
          <w:rFonts w:eastAsia="Calibri" w:cs="Calibri"/>
          <w:color w:val="auto"/>
          <w:sz w:val="24"/>
          <w:szCs w:val="24"/>
        </w:rPr>
        <w:t>o entant</w:t>
      </w:r>
      <w:r w:rsidR="00924E6F">
        <w:rPr>
          <w:rFonts w:eastAsia="Calibri" w:cs="Calibri"/>
          <w:color w:val="auto"/>
          <w:sz w:val="24"/>
          <w:szCs w:val="24"/>
        </w:rPr>
        <w:t>o, há</w:t>
      </w:r>
      <w:r w:rsidRPr="0093339B">
        <w:rPr>
          <w:rFonts w:eastAsia="Calibri" w:cs="Calibri"/>
          <w:color w:val="auto"/>
          <w:sz w:val="24"/>
          <w:szCs w:val="24"/>
        </w:rPr>
        <w:t xml:space="preserve"> diferença com a ação de obrigação de não fazer, a qual visa o desfazimento do que já se foi feito ou concluído. Entretanto, como ao caso em tela não se tinha a finalização da obra, ressaltava-se o enquadramento para a matéria de embarga-la através da ação de nunciação de obra nova.</w:t>
      </w:r>
      <w:r w:rsidR="0093339B" w:rsidRPr="0093339B">
        <w:rPr>
          <w:rFonts w:eastAsia="Calibri" w:cs="Calibri"/>
          <w:color w:val="auto"/>
          <w:sz w:val="24"/>
          <w:szCs w:val="24"/>
        </w:rPr>
        <w:t xml:space="preserve"> (BRASIL, 1973</w:t>
      </w:r>
      <w:r w:rsidR="00BC5992">
        <w:rPr>
          <w:rFonts w:eastAsia="Calibri" w:cs="Calibri"/>
          <w:color w:val="auto"/>
          <w:sz w:val="24"/>
          <w:szCs w:val="24"/>
        </w:rPr>
        <w:t>, BRASIL, 2002</w:t>
      </w:r>
      <w:r w:rsidR="0093339B" w:rsidRPr="0093339B">
        <w:rPr>
          <w:rFonts w:eastAsia="Calibri" w:cs="Calibri"/>
          <w:color w:val="auto"/>
          <w:sz w:val="24"/>
          <w:szCs w:val="24"/>
        </w:rPr>
        <w:t>)</w:t>
      </w:r>
    </w:p>
    <w:p w:rsidR="00797892" w:rsidRDefault="00797892" w:rsidP="00924E6F">
      <w:pPr>
        <w:pStyle w:val="NormalWeb"/>
        <w:shd w:val="clear" w:color="auto" w:fill="FFFFFF"/>
        <w:spacing w:beforeAutospacing="0" w:after="0" w:afterAutospacing="0" w:line="360" w:lineRule="auto"/>
        <w:ind w:firstLine="1134"/>
        <w:jc w:val="both"/>
        <w:rPr>
          <w:rFonts w:eastAsia="Calibri" w:cs="Calibri"/>
          <w:b/>
          <w:color w:val="auto"/>
          <w:sz w:val="24"/>
          <w:szCs w:val="24"/>
        </w:rPr>
      </w:pPr>
      <w:r w:rsidRPr="0093339B">
        <w:rPr>
          <w:rFonts w:eastAsia="Calibri" w:cs="Calibri"/>
          <w:color w:val="auto"/>
          <w:sz w:val="24"/>
          <w:szCs w:val="24"/>
        </w:rPr>
        <w:t xml:space="preserve">Noutro sim, usar tal ação na atualidade, teria algumas consequências, visto que a mesma não se encontra mais no </w:t>
      </w:r>
      <w:r w:rsidR="0093339B" w:rsidRPr="0093339B">
        <w:rPr>
          <w:rFonts w:eastAsia="Calibri" w:cs="Calibri"/>
          <w:color w:val="auto"/>
          <w:sz w:val="24"/>
          <w:szCs w:val="24"/>
        </w:rPr>
        <w:t>Código</w:t>
      </w:r>
      <w:r w:rsidRPr="0093339B">
        <w:rPr>
          <w:rFonts w:eastAsia="Calibri" w:cs="Calibri"/>
          <w:color w:val="auto"/>
          <w:sz w:val="24"/>
          <w:szCs w:val="24"/>
        </w:rPr>
        <w:t xml:space="preserve"> de Processo Civil de 2015. </w:t>
      </w:r>
      <w:r w:rsidR="00256395" w:rsidRPr="0093339B">
        <w:rPr>
          <w:rFonts w:eastAsia="Calibri" w:cs="Calibri"/>
          <w:color w:val="auto"/>
          <w:sz w:val="24"/>
          <w:szCs w:val="24"/>
        </w:rPr>
        <w:t>Ocorrerá que, a ação interposta seguirá o rito comum conforme o art. 318, e levando em consideração o lapso temporal entre o inicio da obra e a analise atual do caso (</w:t>
      </w:r>
      <w:proofErr w:type="gramStart"/>
      <w:r w:rsidR="00256395" w:rsidRPr="0093339B">
        <w:rPr>
          <w:rFonts w:eastAsia="Calibri" w:cs="Calibri"/>
          <w:color w:val="auto"/>
          <w:sz w:val="24"/>
          <w:szCs w:val="24"/>
        </w:rPr>
        <w:t>5</w:t>
      </w:r>
      <w:proofErr w:type="gramEnd"/>
      <w:r w:rsidR="00256395" w:rsidRPr="0093339B">
        <w:rPr>
          <w:rFonts w:eastAsia="Calibri" w:cs="Calibri"/>
          <w:color w:val="auto"/>
          <w:sz w:val="24"/>
          <w:szCs w:val="24"/>
        </w:rPr>
        <w:t xml:space="preserve"> anos)</w:t>
      </w:r>
      <w:r w:rsidRPr="0093339B">
        <w:rPr>
          <w:rFonts w:eastAsia="Calibri" w:cs="Calibri"/>
          <w:color w:val="auto"/>
          <w:sz w:val="24"/>
          <w:szCs w:val="24"/>
        </w:rPr>
        <w:t xml:space="preserve"> </w:t>
      </w:r>
      <w:r w:rsidR="00256395" w:rsidRPr="0093339B">
        <w:rPr>
          <w:rFonts w:eastAsia="Calibri" w:cs="Calibri"/>
          <w:color w:val="auto"/>
          <w:sz w:val="24"/>
          <w:szCs w:val="24"/>
        </w:rPr>
        <w:t xml:space="preserve">pode a obra já ter sido finalizada. Em caso a obra já ter sido finalizada pelo decurso do tempo, cabe </w:t>
      </w:r>
      <w:proofErr w:type="gramStart"/>
      <w:r w:rsidR="00256395" w:rsidRPr="0093339B">
        <w:rPr>
          <w:rFonts w:eastAsia="Calibri" w:cs="Calibri"/>
          <w:color w:val="auto"/>
          <w:sz w:val="24"/>
          <w:szCs w:val="24"/>
        </w:rPr>
        <w:t>a</w:t>
      </w:r>
      <w:proofErr w:type="gramEnd"/>
      <w:r w:rsidR="00256395" w:rsidRPr="0093339B">
        <w:rPr>
          <w:rFonts w:eastAsia="Calibri" w:cs="Calibri"/>
          <w:color w:val="auto"/>
          <w:sz w:val="24"/>
          <w:szCs w:val="24"/>
        </w:rPr>
        <w:t xml:space="preserve"> conversão em ação demolitória, visto que ao tempo que o CPC possuía a ação de nunciação de obra nova, esta não foi proposta e invés dessa foi proposta ação de obrigação de não fazer</w:t>
      </w:r>
      <w:r w:rsidR="0093339B" w:rsidRPr="0093339B">
        <w:rPr>
          <w:rFonts w:eastAsia="Calibri" w:cs="Calibri"/>
          <w:color w:val="auto"/>
          <w:sz w:val="24"/>
          <w:szCs w:val="24"/>
        </w:rPr>
        <w:t xml:space="preserve"> (BRASIL, 2015; SCAVONE, </w:t>
      </w:r>
      <w:r w:rsidR="003452A4">
        <w:rPr>
          <w:rFonts w:eastAsia="Calibri" w:cs="Calibri"/>
          <w:color w:val="auto"/>
          <w:sz w:val="24"/>
          <w:szCs w:val="24"/>
        </w:rPr>
        <w:t>2016</w:t>
      </w:r>
      <w:r w:rsidR="0093339B" w:rsidRPr="0093339B">
        <w:rPr>
          <w:rFonts w:eastAsia="Calibri" w:cs="Calibri"/>
          <w:color w:val="auto"/>
          <w:sz w:val="24"/>
          <w:szCs w:val="24"/>
        </w:rPr>
        <w:t>)</w:t>
      </w:r>
      <w:r w:rsidR="00256395" w:rsidRPr="0093339B">
        <w:rPr>
          <w:rFonts w:eastAsia="Calibri" w:cs="Calibri"/>
          <w:color w:val="auto"/>
          <w:sz w:val="24"/>
          <w:szCs w:val="24"/>
        </w:rPr>
        <w:t xml:space="preserve">. </w:t>
      </w:r>
      <w:r w:rsidR="0093339B" w:rsidRPr="0093339B">
        <w:rPr>
          <w:rFonts w:eastAsia="Calibri" w:cs="Calibri"/>
          <w:color w:val="auto"/>
          <w:sz w:val="24"/>
          <w:szCs w:val="24"/>
        </w:rPr>
        <w:t>Tal conversão encontra supedâneo no disposto abaixo:</w:t>
      </w:r>
    </w:p>
    <w:p w:rsidR="0093339B" w:rsidRDefault="0093339B" w:rsidP="0093339B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Calibri" w:hAnsi="Times New Roman"/>
          <w:color w:val="auto"/>
          <w:sz w:val="20"/>
          <w:szCs w:val="20"/>
        </w:rPr>
      </w:pPr>
      <w:r w:rsidRPr="0093339B">
        <w:rPr>
          <w:rFonts w:ascii="Times New Roman" w:eastAsia="Calibri" w:hAnsi="Times New Roman"/>
          <w:color w:val="auto"/>
          <w:sz w:val="20"/>
          <w:szCs w:val="20"/>
        </w:rPr>
        <w:t xml:space="preserve">Assim, segundo o mesmo lexicógrafo, nunciação de obra nova </w:t>
      </w:r>
      <w:r w:rsidRPr="0093339B">
        <w:rPr>
          <w:rFonts w:ascii="Times New Roman" w:eastAsia="Calibri" w:hAnsi="Times New Roman"/>
          <w:iCs/>
          <w:color w:val="auto"/>
          <w:sz w:val="20"/>
          <w:szCs w:val="20"/>
        </w:rPr>
        <w:t>designa a ação que tem por finalidade intimar a pessoa que está construindo em prejuízo a interesse alheio, para que não continue com a construção</w:t>
      </w:r>
      <w:r w:rsidRPr="0093339B">
        <w:rPr>
          <w:rFonts w:ascii="Times New Roman" w:eastAsia="Calibri" w:hAnsi="Times New Roman"/>
          <w:color w:val="auto"/>
          <w:sz w:val="20"/>
          <w:szCs w:val="20"/>
        </w:rPr>
        <w:t>. É uma forma de proteção aos direitos de vizinhança por obra abusiva ou ilegal através da cominação de multa (</w:t>
      </w:r>
      <w:proofErr w:type="spellStart"/>
      <w:r w:rsidRPr="0093339B">
        <w:rPr>
          <w:rFonts w:ascii="Times New Roman" w:eastAsia="Calibri" w:hAnsi="Times New Roman"/>
          <w:color w:val="auto"/>
          <w:sz w:val="20"/>
          <w:szCs w:val="20"/>
        </w:rPr>
        <w:t>astreinte</w:t>
      </w:r>
      <w:proofErr w:type="spellEnd"/>
      <w:r w:rsidRPr="0093339B">
        <w:rPr>
          <w:rFonts w:ascii="Times New Roman" w:eastAsia="Calibri" w:hAnsi="Times New Roman"/>
          <w:color w:val="auto"/>
          <w:sz w:val="20"/>
          <w:szCs w:val="20"/>
        </w:rPr>
        <w:t xml:space="preserve">) com o intuito de paralisar a obra. </w:t>
      </w:r>
      <w:r w:rsidRPr="0093339B">
        <w:rPr>
          <w:rFonts w:ascii="Times New Roman" w:eastAsia="Calibri" w:hAnsi="Times New Roman"/>
          <w:b/>
          <w:color w:val="auto"/>
          <w:sz w:val="20"/>
          <w:szCs w:val="20"/>
        </w:rPr>
        <w:t>É preciso observar que, após a conclusão, a obra não pode ser considerada nova. Portanto, não cabe o embargo da construção, mas, apenas a ação demolitória.</w:t>
      </w:r>
      <w:r>
        <w:rPr>
          <w:rFonts w:ascii="Times New Roman" w:eastAsia="Calibri" w:hAnsi="Times New Roman"/>
          <w:b/>
          <w:color w:val="auto"/>
          <w:sz w:val="20"/>
          <w:szCs w:val="20"/>
        </w:rPr>
        <w:t xml:space="preserve"> </w:t>
      </w:r>
      <w:r w:rsidRPr="0093339B">
        <w:rPr>
          <w:rFonts w:ascii="Times New Roman" w:eastAsia="Calibri" w:hAnsi="Times New Roman"/>
          <w:color w:val="auto"/>
          <w:sz w:val="20"/>
          <w:szCs w:val="20"/>
        </w:rPr>
        <w:t>[...</w:t>
      </w:r>
      <w:proofErr w:type="gramStart"/>
      <w:r w:rsidRPr="0093339B">
        <w:rPr>
          <w:rFonts w:ascii="Times New Roman" w:eastAsia="Calibri" w:hAnsi="Times New Roman"/>
          <w:color w:val="auto"/>
          <w:sz w:val="20"/>
          <w:szCs w:val="20"/>
        </w:rPr>
        <w:t>]</w:t>
      </w:r>
      <w:r w:rsidRPr="0093339B">
        <w:rPr>
          <w:rFonts w:ascii="Times New Roman" w:eastAsia="Calibri" w:hAnsi="Times New Roman"/>
          <w:b/>
          <w:color w:val="auto"/>
          <w:sz w:val="20"/>
          <w:szCs w:val="20"/>
        </w:rPr>
        <w:t>Concluída</w:t>
      </w:r>
      <w:proofErr w:type="gramEnd"/>
      <w:r w:rsidRPr="0093339B">
        <w:rPr>
          <w:rFonts w:ascii="Times New Roman" w:eastAsia="Calibri" w:hAnsi="Times New Roman"/>
          <w:b/>
          <w:color w:val="auto"/>
          <w:sz w:val="20"/>
          <w:szCs w:val="20"/>
        </w:rPr>
        <w:t xml:space="preserve"> a obra, ainda que esteja na fase de acabamento, não é cabível a ação de nunciação, mas, apenas, ação demolitória, com o pedido de desfazimento da obra pronta.</w:t>
      </w:r>
      <w:r>
        <w:rPr>
          <w:rFonts w:ascii="Times New Roman" w:eastAsia="Calibri" w:hAnsi="Times New Roman"/>
          <w:b/>
          <w:color w:val="auto"/>
          <w:sz w:val="20"/>
          <w:szCs w:val="20"/>
        </w:rPr>
        <w:t xml:space="preserve"> </w:t>
      </w:r>
      <w:r w:rsidRPr="0093339B">
        <w:rPr>
          <w:rFonts w:ascii="Times New Roman" w:eastAsia="Calibri" w:hAnsi="Times New Roman"/>
          <w:color w:val="auto"/>
          <w:sz w:val="20"/>
          <w:szCs w:val="20"/>
        </w:rPr>
        <w:t>(SCAVONE, 201</w:t>
      </w:r>
      <w:r w:rsidR="003452A4">
        <w:rPr>
          <w:rFonts w:ascii="Times New Roman" w:eastAsia="Calibri" w:hAnsi="Times New Roman"/>
          <w:color w:val="auto"/>
          <w:sz w:val="20"/>
          <w:szCs w:val="20"/>
        </w:rPr>
        <w:t>6</w:t>
      </w:r>
      <w:r w:rsidRPr="0093339B">
        <w:rPr>
          <w:rFonts w:ascii="Times New Roman" w:eastAsia="Calibri" w:hAnsi="Times New Roman"/>
          <w:color w:val="auto"/>
          <w:sz w:val="20"/>
          <w:szCs w:val="20"/>
        </w:rPr>
        <w:t>. p.1025-1029)</w:t>
      </w:r>
    </w:p>
    <w:p w:rsidR="0093339B" w:rsidRDefault="0093339B" w:rsidP="0093339B">
      <w:pPr>
        <w:suppressAutoHyphens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="Calibri" w:hAnsi="Times New Roman"/>
          <w:color w:val="auto"/>
          <w:sz w:val="20"/>
          <w:szCs w:val="20"/>
        </w:rPr>
      </w:pPr>
    </w:p>
    <w:p w:rsidR="002271A1" w:rsidRPr="002271A1" w:rsidRDefault="002271A1" w:rsidP="002271A1">
      <w:pPr>
        <w:suppressAutoHyphens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2271A1">
        <w:rPr>
          <w:rFonts w:ascii="Times New Roman" w:eastAsia="Calibri" w:hAnsi="Times New Roman"/>
          <w:color w:val="auto"/>
          <w:sz w:val="24"/>
          <w:szCs w:val="24"/>
        </w:rPr>
        <w:t>No que se refere à cominação da ação com o pedido de tutela antecipada, torna-se visível à adequação desta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 tutela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</w:rPr>
        <w:t>com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fato da busca pela satisfação do direito </w:t>
      </w:r>
      <w:r>
        <w:rPr>
          <w:rFonts w:ascii="Times New Roman" w:eastAsia="Calibri" w:hAnsi="Times New Roman"/>
          <w:color w:val="auto"/>
          <w:sz w:val="24"/>
          <w:szCs w:val="24"/>
        </w:rPr>
        <w:t>através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do 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risco de dano. </w:t>
      </w:r>
      <w:r w:rsidR="00924E6F">
        <w:rPr>
          <w:rFonts w:ascii="Times New Roman" w:eastAsia="Calibri" w:hAnsi="Times New Roman"/>
          <w:color w:val="auto"/>
          <w:sz w:val="24"/>
          <w:szCs w:val="24"/>
        </w:rPr>
        <w:t>Tal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924E6F">
        <w:rPr>
          <w:rFonts w:ascii="Times New Roman" w:eastAsia="Calibri" w:hAnsi="Times New Roman"/>
          <w:color w:val="auto"/>
          <w:sz w:val="24"/>
          <w:szCs w:val="24"/>
        </w:rPr>
        <w:t>espécie de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tutela de urgência difere da tutela cautelar, onde a </w:t>
      </w:r>
      <w:r w:rsidR="00924E6F">
        <w:rPr>
          <w:rFonts w:ascii="Times New Roman" w:eastAsia="Calibri" w:hAnsi="Times New Roman"/>
          <w:color w:val="auto"/>
          <w:sz w:val="24"/>
          <w:szCs w:val="24"/>
        </w:rPr>
        <w:t>ultima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 visa ga</w:t>
      </w:r>
      <w:r>
        <w:rPr>
          <w:rFonts w:ascii="Times New Roman" w:eastAsia="Calibri" w:hAnsi="Times New Roman"/>
          <w:color w:val="auto"/>
          <w:sz w:val="24"/>
          <w:szCs w:val="24"/>
        </w:rPr>
        <w:t>ra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ntir o resultado útil do processo, como a </w:t>
      </w:r>
      <w:r>
        <w:rPr>
          <w:rFonts w:ascii="Times New Roman" w:eastAsia="Calibri" w:hAnsi="Times New Roman"/>
          <w:color w:val="auto"/>
          <w:sz w:val="24"/>
          <w:szCs w:val="24"/>
        </w:rPr>
        <w:t>garanti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>a de uma pen</w:t>
      </w:r>
      <w:r>
        <w:rPr>
          <w:rFonts w:ascii="Times New Roman" w:eastAsia="Calibri" w:hAnsi="Times New Roman"/>
          <w:color w:val="auto"/>
          <w:sz w:val="24"/>
          <w:szCs w:val="24"/>
        </w:rPr>
        <w:t>hora. Entretant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 xml:space="preserve">o, como ao caso a finalidade não é garantia especifica do resultado útil do processo e sim da satisfação de um direito, visto que a outra parte corre risco de dano, reafirma-se o cabimento da espécie da tutela de urgência em se tratando de tutela antecipada de </w:t>
      </w:r>
      <w:r w:rsidR="00924E6F" w:rsidRPr="002271A1">
        <w:rPr>
          <w:rFonts w:ascii="Times New Roman" w:eastAsia="Calibri" w:hAnsi="Times New Roman"/>
          <w:color w:val="auto"/>
          <w:sz w:val="24"/>
          <w:szCs w:val="24"/>
        </w:rPr>
        <w:t>urgência</w:t>
      </w:r>
      <w:r w:rsidRPr="002271A1">
        <w:rPr>
          <w:rFonts w:ascii="Times New Roman" w:eastAsia="Calibri" w:hAnsi="Times New Roman"/>
          <w:color w:val="auto"/>
          <w:sz w:val="24"/>
          <w:szCs w:val="24"/>
        </w:rPr>
        <w:t>. (CÂMARA, 2017)</w:t>
      </w:r>
    </w:p>
    <w:p w:rsidR="00797892" w:rsidRPr="0093339B" w:rsidRDefault="00797892" w:rsidP="0093339B">
      <w:pPr>
        <w:pStyle w:val="NormalWeb"/>
        <w:shd w:val="clear" w:color="auto" w:fill="FFFFFF"/>
        <w:spacing w:beforeAutospacing="0" w:after="0" w:afterAutospacing="0"/>
        <w:ind w:firstLine="840"/>
        <w:jc w:val="both"/>
        <w:rPr>
          <w:b/>
          <w:color w:val="auto"/>
          <w:sz w:val="20"/>
          <w:szCs w:val="20"/>
        </w:rPr>
      </w:pPr>
      <w:r w:rsidRPr="0093339B">
        <w:rPr>
          <w:rFonts w:eastAsia="Calibri"/>
          <w:b/>
          <w:color w:val="auto"/>
          <w:sz w:val="20"/>
          <w:szCs w:val="20"/>
        </w:rPr>
        <w:t xml:space="preserve"> </w:t>
      </w:r>
    </w:p>
    <w:p w:rsidR="00BB44B2" w:rsidRPr="0093339B" w:rsidRDefault="00BB44B2" w:rsidP="0093339B">
      <w:pPr>
        <w:widowControl w:val="0"/>
        <w:tabs>
          <w:tab w:val="left" w:pos="0"/>
          <w:tab w:val="right" w:pos="9356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0"/>
          <w:szCs w:val="20"/>
        </w:rPr>
      </w:pPr>
    </w:p>
    <w:p w:rsidR="003467BA" w:rsidRPr="00A61AF7" w:rsidRDefault="009C6C7B" w:rsidP="00BB44B2">
      <w:pPr>
        <w:widowControl w:val="0"/>
        <w:tabs>
          <w:tab w:val="left" w:pos="0"/>
          <w:tab w:val="right" w:pos="9356"/>
        </w:tabs>
        <w:spacing w:after="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4</w:t>
      </w:r>
      <w:r w:rsidR="003467BA" w:rsidRPr="00A61AF7">
        <w:rPr>
          <w:rFonts w:ascii="Times New Roman" w:hAnsi="Times New Roman"/>
          <w:b/>
          <w:color w:val="auto"/>
          <w:sz w:val="24"/>
          <w:szCs w:val="24"/>
        </w:rPr>
        <w:t>. CRITÉRIOS E VALORES</w:t>
      </w:r>
    </w:p>
    <w:p w:rsidR="00986E04" w:rsidRPr="00A61AF7" w:rsidRDefault="0021071B" w:rsidP="00313E94">
      <w:pPr>
        <w:widowControl w:val="0"/>
        <w:tabs>
          <w:tab w:val="left" w:pos="0"/>
          <w:tab w:val="right" w:pos="9356"/>
        </w:tabs>
        <w:spacing w:after="0" w:line="360" w:lineRule="auto"/>
        <w:ind w:firstLine="1134"/>
        <w:jc w:val="both"/>
        <w:rPr>
          <w:rFonts w:ascii="Times New Roman" w:hAnsi="Times New Roman"/>
          <w:color w:val="auto"/>
          <w:sz w:val="24"/>
          <w:szCs w:val="24"/>
        </w:rPr>
      </w:pPr>
      <w:r w:rsidRPr="00A61AF7">
        <w:rPr>
          <w:rFonts w:ascii="Times New Roman" w:hAnsi="Times New Roman"/>
          <w:color w:val="auto"/>
          <w:sz w:val="24"/>
          <w:szCs w:val="24"/>
        </w:rPr>
        <w:t>Os critérios u</w:t>
      </w:r>
      <w:r w:rsidR="006F6E0A">
        <w:rPr>
          <w:rFonts w:ascii="Times New Roman" w:hAnsi="Times New Roman"/>
          <w:color w:val="auto"/>
          <w:sz w:val="24"/>
          <w:szCs w:val="24"/>
        </w:rPr>
        <w:t xml:space="preserve">tilizados no presente trabalho </w:t>
      </w:r>
      <w:r w:rsidRPr="00A61AF7">
        <w:rPr>
          <w:rFonts w:ascii="Times New Roman" w:hAnsi="Times New Roman"/>
          <w:color w:val="auto"/>
          <w:sz w:val="24"/>
          <w:szCs w:val="24"/>
        </w:rPr>
        <w:t>tiveram como base, p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rincípios fundamentais</w:t>
      </w:r>
      <w:r w:rsidR="005B6536">
        <w:rPr>
          <w:rFonts w:ascii="Times New Roman" w:hAnsi="Times New Roman"/>
          <w:color w:val="auto"/>
          <w:sz w:val="24"/>
          <w:szCs w:val="24"/>
        </w:rPr>
        <w:t xml:space="preserve"> do Direito Processual Civil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,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elencados no decorrer da pesquisa. Aind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>a, posições doutrinárias sobre o enqu</w:t>
      </w:r>
      <w:r w:rsidR="005B6536">
        <w:rPr>
          <w:rFonts w:ascii="Times New Roman" w:hAnsi="Times New Roman"/>
          <w:color w:val="auto"/>
          <w:sz w:val="24"/>
          <w:szCs w:val="24"/>
        </w:rPr>
        <w:t>adramento do caso em questão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. E como suplementação, </w:t>
      </w:r>
      <w:r w:rsidRPr="00A61AF7">
        <w:rPr>
          <w:rFonts w:ascii="Times New Roman" w:hAnsi="Times New Roman"/>
          <w:color w:val="auto"/>
          <w:sz w:val="24"/>
          <w:szCs w:val="24"/>
        </w:rPr>
        <w:lastRenderedPageBreak/>
        <w:t xml:space="preserve">posicionamento do Supremo Tribunal </w:t>
      </w:r>
      <w:r w:rsidR="005B6536">
        <w:rPr>
          <w:rFonts w:ascii="Times New Roman" w:hAnsi="Times New Roman"/>
          <w:color w:val="auto"/>
          <w:sz w:val="24"/>
          <w:szCs w:val="24"/>
        </w:rPr>
        <w:t>de Justiça</w:t>
      </w:r>
      <w:r w:rsidR="00926ACF" w:rsidRPr="00A61AF7">
        <w:rPr>
          <w:rFonts w:ascii="Times New Roman" w:hAnsi="Times New Roman"/>
          <w:color w:val="auto"/>
          <w:sz w:val="24"/>
          <w:szCs w:val="24"/>
        </w:rPr>
        <w:t xml:space="preserve"> em </w:t>
      </w:r>
      <w:r w:rsidR="005B6536">
        <w:rPr>
          <w:rFonts w:ascii="Times New Roman" w:hAnsi="Times New Roman"/>
          <w:color w:val="auto"/>
          <w:sz w:val="24"/>
          <w:szCs w:val="24"/>
        </w:rPr>
        <w:t>Recurso Especial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, para </w:t>
      </w:r>
      <w:r w:rsidR="005B6536">
        <w:rPr>
          <w:rFonts w:ascii="Times New Roman" w:hAnsi="Times New Roman"/>
          <w:color w:val="auto"/>
          <w:sz w:val="24"/>
          <w:szCs w:val="24"/>
        </w:rPr>
        <w:t>dar maior embasamento prático ao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fato. </w:t>
      </w:r>
    </w:p>
    <w:p w:rsidR="00D2643A" w:rsidRDefault="00D2643A" w:rsidP="00313E94">
      <w:pPr>
        <w:widowControl w:val="0"/>
        <w:tabs>
          <w:tab w:val="left" w:pos="1725"/>
          <w:tab w:val="right" w:pos="8838"/>
        </w:tabs>
        <w:spacing w:after="0"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03E75" w:rsidRPr="00A61AF7" w:rsidRDefault="007248B2" w:rsidP="00313E94">
      <w:pPr>
        <w:widowControl w:val="0"/>
        <w:tabs>
          <w:tab w:val="left" w:pos="1725"/>
          <w:tab w:val="right" w:pos="8838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61AF7">
        <w:rPr>
          <w:rFonts w:ascii="Times New Roman" w:hAnsi="Times New Roman"/>
          <w:b/>
          <w:color w:val="auto"/>
          <w:sz w:val="24"/>
          <w:szCs w:val="24"/>
        </w:rPr>
        <w:t>REFERÊNCIAS</w:t>
      </w:r>
    </w:p>
    <w:p w:rsidR="001C0AE2" w:rsidRPr="00A61AF7" w:rsidRDefault="001C0AE2" w:rsidP="00CE289A">
      <w:pPr>
        <w:widowControl w:val="0"/>
        <w:tabs>
          <w:tab w:val="left" w:pos="1725"/>
          <w:tab w:val="right" w:pos="8838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C6EC7" w:rsidRPr="00A61AF7" w:rsidRDefault="003C6EC7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DD3086" w:rsidRPr="00A61AF7" w:rsidRDefault="00DD3086" w:rsidP="00CE289A">
      <w:pPr>
        <w:tabs>
          <w:tab w:val="left" w:pos="3402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1AF7">
        <w:rPr>
          <w:rFonts w:ascii="Times New Roman" w:hAnsi="Times New Roman"/>
          <w:bCs/>
          <w:color w:val="auto"/>
          <w:sz w:val="24"/>
          <w:szCs w:val="24"/>
        </w:rPr>
        <w:t xml:space="preserve">BRASIL. </w:t>
      </w:r>
      <w:r w:rsidR="00B2738A" w:rsidRPr="005B6536">
        <w:rPr>
          <w:rStyle w:val="Forte"/>
          <w:rFonts w:ascii="Times New Roman" w:hAnsi="Times New Roman"/>
          <w:color w:val="auto"/>
          <w:sz w:val="24"/>
          <w:szCs w:val="24"/>
        </w:rPr>
        <w:t>LEI Nº 13.105, DE 16 DE MARÇO DE 2015.</w:t>
      </w:r>
      <w:r w:rsidR="00B2738A" w:rsidRPr="005B6536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B2738A">
        <w:rPr>
          <w:rFonts w:ascii="Times New Roman" w:hAnsi="Times New Roman"/>
          <w:bCs/>
          <w:color w:val="auto"/>
          <w:sz w:val="24"/>
          <w:szCs w:val="24"/>
        </w:rPr>
        <w:t xml:space="preserve">Dispões sobre o Novo </w:t>
      </w:r>
      <w:r w:rsidR="005B6536">
        <w:rPr>
          <w:rFonts w:ascii="Times New Roman" w:hAnsi="Times New Roman"/>
          <w:bCs/>
          <w:color w:val="auto"/>
          <w:sz w:val="24"/>
          <w:szCs w:val="24"/>
        </w:rPr>
        <w:t>Código</w:t>
      </w:r>
      <w:r w:rsidR="00B2738A">
        <w:rPr>
          <w:rFonts w:ascii="Times New Roman" w:hAnsi="Times New Roman"/>
          <w:bCs/>
          <w:color w:val="auto"/>
          <w:sz w:val="24"/>
          <w:szCs w:val="24"/>
        </w:rPr>
        <w:t xml:space="preserve"> de Processo Civil.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Disponível em: &lt;</w:t>
      </w:r>
      <w:r w:rsidR="00B2738A" w:rsidRPr="00B2738A">
        <w:rPr>
          <w:rFonts w:ascii="Times New Roman" w:hAnsi="Times New Roman"/>
          <w:color w:val="auto"/>
          <w:sz w:val="24"/>
          <w:szCs w:val="24"/>
        </w:rPr>
        <w:t>http://www.planalto.gov.br/ccivil_03/_ato2015-2018/2015/lei/l13105.htm</w:t>
      </w:r>
      <w:r w:rsidRPr="00A61AF7">
        <w:rPr>
          <w:rFonts w:ascii="Times New Roman" w:hAnsi="Times New Roman"/>
          <w:color w:val="auto"/>
          <w:sz w:val="24"/>
          <w:szCs w:val="24"/>
        </w:rPr>
        <w:t>&gt;. Acesso em:</w:t>
      </w:r>
      <w:r w:rsidR="00450E78">
        <w:rPr>
          <w:rFonts w:ascii="Times New Roman" w:hAnsi="Times New Roman"/>
          <w:color w:val="auto"/>
          <w:sz w:val="24"/>
          <w:szCs w:val="24"/>
        </w:rPr>
        <w:t xml:space="preserve"> 31 mar. 2017</w:t>
      </w:r>
    </w:p>
    <w:p w:rsidR="00DD3086" w:rsidRDefault="00450E78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31 mar. 2017</w:t>
      </w:r>
    </w:p>
    <w:p w:rsidR="009C6C7B" w:rsidRDefault="009C6C7B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621336" w:rsidRDefault="00621336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1AF7">
        <w:rPr>
          <w:rFonts w:ascii="Times New Roman" w:hAnsi="Times New Roman"/>
          <w:bCs/>
          <w:color w:val="auto"/>
          <w:sz w:val="24"/>
          <w:szCs w:val="24"/>
        </w:rPr>
        <w:t xml:space="preserve">BRASIL. </w:t>
      </w:r>
      <w:hyperlink r:id="rId9" w:history="1">
        <w:r w:rsidRPr="005B6536">
          <w:rPr>
            <w:rStyle w:val="Forte"/>
            <w:rFonts w:ascii="Times New Roman" w:hAnsi="Times New Roman"/>
            <w:color w:val="auto"/>
            <w:sz w:val="24"/>
            <w:szCs w:val="24"/>
          </w:rPr>
          <w:t>LEI Nº</w:t>
        </w:r>
        <w:r w:rsidRPr="005B6536">
          <w:rPr>
            <w:rStyle w:val="Forte"/>
            <w:rFonts w:ascii="Times New Roman" w:hAnsi="Times New Roman"/>
            <w:b w:val="0"/>
            <w:bCs w:val="0"/>
            <w:color w:val="auto"/>
            <w:sz w:val="24"/>
            <w:szCs w:val="24"/>
          </w:rPr>
          <w:t> </w:t>
        </w:r>
        <w:r w:rsidRPr="005B6536">
          <w:rPr>
            <w:rStyle w:val="Forte"/>
            <w:rFonts w:ascii="Times New Roman" w:hAnsi="Times New Roman"/>
            <w:color w:val="auto"/>
            <w:sz w:val="24"/>
            <w:szCs w:val="24"/>
          </w:rPr>
          <w:t>10.406, DE 10 DE JANEIRO DE 2002.</w:t>
        </w:r>
      </w:hyperlink>
      <w:r>
        <w:rPr>
          <w:rFonts w:ascii="Times New Roman" w:hAnsi="Times New Roman"/>
          <w:bCs/>
          <w:color w:val="auto"/>
          <w:sz w:val="24"/>
          <w:szCs w:val="24"/>
        </w:rPr>
        <w:t xml:space="preserve"> Dispões sobre o </w:t>
      </w:r>
      <w:r w:rsidR="005B6536">
        <w:rPr>
          <w:rFonts w:ascii="Times New Roman" w:hAnsi="Times New Roman"/>
          <w:bCs/>
          <w:color w:val="auto"/>
          <w:sz w:val="24"/>
          <w:szCs w:val="24"/>
        </w:rPr>
        <w:t>Código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Civil.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Disponível em: &lt;</w:t>
      </w:r>
      <w:r w:rsidRPr="00621336">
        <w:t xml:space="preserve"> </w:t>
      </w:r>
      <w:r w:rsidRPr="00621336">
        <w:rPr>
          <w:rFonts w:ascii="Times New Roman" w:hAnsi="Times New Roman"/>
          <w:color w:val="auto"/>
          <w:sz w:val="24"/>
          <w:szCs w:val="24"/>
        </w:rPr>
        <w:t>http://www.planalto.gov.br/ccivil_03/leis/2002/L10406.htm</w:t>
      </w:r>
      <w:r w:rsidRPr="00A61AF7">
        <w:rPr>
          <w:rFonts w:ascii="Times New Roman" w:hAnsi="Times New Roman"/>
          <w:color w:val="auto"/>
          <w:sz w:val="24"/>
          <w:szCs w:val="24"/>
        </w:rPr>
        <w:t>&gt;. Acesso em: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0E78">
        <w:rPr>
          <w:rFonts w:ascii="Times New Roman" w:hAnsi="Times New Roman"/>
          <w:color w:val="auto"/>
          <w:sz w:val="24"/>
          <w:szCs w:val="24"/>
        </w:rPr>
        <w:t>31 mar. 2017</w:t>
      </w:r>
    </w:p>
    <w:p w:rsidR="00333613" w:rsidRDefault="00333613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333613" w:rsidRPr="00A61AF7" w:rsidRDefault="00333613" w:rsidP="00CE289A">
      <w:pPr>
        <w:tabs>
          <w:tab w:val="left" w:pos="3402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A61AF7">
        <w:rPr>
          <w:rFonts w:ascii="Times New Roman" w:hAnsi="Times New Roman"/>
          <w:bCs/>
          <w:color w:val="auto"/>
          <w:sz w:val="24"/>
          <w:szCs w:val="24"/>
        </w:rPr>
        <w:t xml:space="preserve">BRASIL. </w:t>
      </w:r>
      <w:r>
        <w:rPr>
          <w:rStyle w:val="Forte"/>
          <w:rFonts w:ascii="Times New Roman" w:hAnsi="Times New Roman"/>
          <w:color w:val="auto"/>
          <w:sz w:val="24"/>
          <w:szCs w:val="24"/>
        </w:rPr>
        <w:t>LEI Nº 5.869, DE 11</w:t>
      </w:r>
      <w:r w:rsidRPr="005B6536">
        <w:rPr>
          <w:rStyle w:val="Forte"/>
          <w:rFonts w:ascii="Times New Roman" w:hAnsi="Times New Roman"/>
          <w:color w:val="auto"/>
          <w:sz w:val="24"/>
          <w:szCs w:val="24"/>
        </w:rPr>
        <w:t xml:space="preserve"> DE</w:t>
      </w:r>
      <w:r>
        <w:rPr>
          <w:rStyle w:val="Forte"/>
          <w:rFonts w:ascii="Times New Roman" w:hAnsi="Times New Roman"/>
          <w:color w:val="auto"/>
          <w:sz w:val="24"/>
          <w:szCs w:val="24"/>
        </w:rPr>
        <w:t xml:space="preserve"> JANEIRO</w:t>
      </w:r>
      <w:r w:rsidRPr="005B6536">
        <w:rPr>
          <w:rStyle w:val="Forte"/>
          <w:rFonts w:ascii="Times New Roman" w:hAnsi="Times New Roman"/>
          <w:color w:val="auto"/>
          <w:sz w:val="24"/>
          <w:szCs w:val="24"/>
        </w:rPr>
        <w:t xml:space="preserve"> DE </w:t>
      </w:r>
      <w:r>
        <w:rPr>
          <w:rStyle w:val="Forte"/>
          <w:rFonts w:ascii="Times New Roman" w:hAnsi="Times New Roman"/>
          <w:color w:val="auto"/>
          <w:sz w:val="24"/>
          <w:szCs w:val="24"/>
        </w:rPr>
        <w:t>1973</w:t>
      </w:r>
      <w:r w:rsidRPr="005B6536">
        <w:rPr>
          <w:rStyle w:val="Forte"/>
          <w:rFonts w:ascii="Times New Roman" w:hAnsi="Times New Roman"/>
          <w:color w:val="auto"/>
          <w:sz w:val="24"/>
          <w:szCs w:val="24"/>
        </w:rPr>
        <w:t>.</w:t>
      </w:r>
      <w:r w:rsidRPr="005B6536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450E78">
        <w:rPr>
          <w:rFonts w:ascii="Times New Roman" w:hAnsi="Times New Roman"/>
          <w:bCs/>
          <w:color w:val="auto"/>
          <w:sz w:val="24"/>
          <w:szCs w:val="24"/>
        </w:rPr>
        <w:t>Institui o Código de Processo Civil</w:t>
      </w:r>
      <w:r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A61AF7">
        <w:rPr>
          <w:rFonts w:ascii="Times New Roman" w:hAnsi="Times New Roman"/>
          <w:color w:val="auto"/>
          <w:sz w:val="24"/>
          <w:szCs w:val="24"/>
        </w:rPr>
        <w:t xml:space="preserve"> Disponível em: &lt;</w:t>
      </w:r>
      <w:r w:rsidR="00450E78" w:rsidRPr="00450E78">
        <w:t xml:space="preserve"> </w:t>
      </w:r>
      <w:r w:rsidR="00450E78" w:rsidRPr="00450E78">
        <w:rPr>
          <w:rFonts w:ascii="Times New Roman" w:hAnsi="Times New Roman"/>
          <w:color w:val="auto"/>
          <w:sz w:val="24"/>
          <w:szCs w:val="24"/>
        </w:rPr>
        <w:t>http://www.planalto.gov.br/ccivil_03/leis/L5869impressao.htm</w:t>
      </w:r>
      <w:r w:rsidRPr="00A61AF7">
        <w:rPr>
          <w:rFonts w:ascii="Times New Roman" w:hAnsi="Times New Roman"/>
          <w:color w:val="auto"/>
          <w:sz w:val="24"/>
          <w:szCs w:val="24"/>
        </w:rPr>
        <w:t>&gt;. Acesso em: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0E78">
        <w:rPr>
          <w:rFonts w:ascii="Times New Roman" w:hAnsi="Times New Roman"/>
          <w:color w:val="auto"/>
          <w:sz w:val="24"/>
          <w:szCs w:val="24"/>
        </w:rPr>
        <w:t>31 mar. 2017</w:t>
      </w:r>
    </w:p>
    <w:p w:rsidR="00CE289A" w:rsidRDefault="00CE289A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CE289A" w:rsidRDefault="00CE289A" w:rsidP="00CE289A">
      <w:pPr>
        <w:spacing w:after="0" w:line="240" w:lineRule="auto"/>
        <w:rPr>
          <w:rFonts w:ascii="Times New Roman" w:hAnsi="Times New Roman"/>
          <w:sz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BRASIL</w:t>
      </w:r>
      <w:r>
        <w:rPr>
          <w:rFonts w:ascii="Times New Roman" w:hAnsi="Times New Roman"/>
          <w:sz w:val="24"/>
        </w:rPr>
        <w:t xml:space="preserve"> STJ, </w:t>
      </w:r>
      <w:r w:rsidRPr="00CE289A">
        <w:rPr>
          <w:rFonts w:ascii="Times New Roman" w:hAnsi="Times New Roman"/>
          <w:b/>
          <w:sz w:val="24"/>
        </w:rPr>
        <w:t>Agravo nº</w:t>
      </w:r>
      <w:r>
        <w:rPr>
          <w:rFonts w:ascii="Times New Roman" w:hAnsi="Times New Roman"/>
          <w:b/>
          <w:sz w:val="24"/>
        </w:rPr>
        <w:t xml:space="preserve"> 701.492 - </w:t>
      </w:r>
      <w:r w:rsidRPr="00CE289A">
        <w:rPr>
          <w:rFonts w:ascii="Times New Roman" w:hAnsi="Times New Roman"/>
          <w:b/>
          <w:sz w:val="24"/>
        </w:rPr>
        <w:t>RJ</w:t>
      </w:r>
      <w:r>
        <w:rPr>
          <w:rFonts w:ascii="Times New Roman" w:hAnsi="Times New Roman"/>
          <w:sz w:val="24"/>
        </w:rPr>
        <w:t xml:space="preserve">, rel. </w:t>
      </w:r>
      <w:r w:rsidRPr="00CE289A">
        <w:rPr>
          <w:rFonts w:ascii="Times New Roman" w:hAnsi="Times New Roman"/>
          <w:sz w:val="24"/>
        </w:rPr>
        <w:t xml:space="preserve">Min. Ari </w:t>
      </w:r>
      <w:proofErr w:type="spellStart"/>
      <w:r w:rsidRPr="00CE289A">
        <w:rPr>
          <w:rFonts w:ascii="Times New Roman" w:hAnsi="Times New Roman"/>
          <w:sz w:val="24"/>
        </w:rPr>
        <w:t>Pargendler</w:t>
      </w:r>
      <w:proofErr w:type="spellEnd"/>
      <w:r w:rsidRPr="00CE289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3ª Turma, </w:t>
      </w:r>
      <w:r w:rsidRPr="00CE289A">
        <w:rPr>
          <w:rFonts w:ascii="Times New Roman" w:hAnsi="Times New Roman"/>
          <w:sz w:val="24"/>
        </w:rPr>
        <w:t>j. 07.08.2006, DJ 15.08.2006.</w:t>
      </w:r>
      <w:r>
        <w:rPr>
          <w:rFonts w:ascii="Times New Roman" w:hAnsi="Times New Roman"/>
          <w:sz w:val="24"/>
        </w:rPr>
        <w:t xml:space="preserve"> Disponível em: &lt;</w:t>
      </w:r>
      <w:r w:rsidRPr="00CE289A">
        <w:rPr>
          <w:rFonts w:ascii="Times New Roman" w:hAnsi="Times New Roman"/>
          <w:sz w:val="24"/>
        </w:rPr>
        <w:t>www.stj.jus.br/</w:t>
      </w:r>
      <w:proofErr w:type="spellStart"/>
      <w:r w:rsidRPr="00CE289A">
        <w:rPr>
          <w:rFonts w:ascii="Times New Roman" w:hAnsi="Times New Roman"/>
          <w:sz w:val="24"/>
        </w:rPr>
        <w:t>docs_internet</w:t>
      </w:r>
      <w:proofErr w:type="spellEnd"/>
      <w:r w:rsidRPr="00CE289A">
        <w:rPr>
          <w:rFonts w:ascii="Times New Roman" w:hAnsi="Times New Roman"/>
          <w:sz w:val="24"/>
        </w:rPr>
        <w:t>/informativos/RTF/Inf0363.rtf&gt;</w:t>
      </w:r>
      <w:r>
        <w:rPr>
          <w:rFonts w:ascii="Times New Roman" w:hAnsi="Times New Roman"/>
          <w:sz w:val="24"/>
        </w:rPr>
        <w:t xml:space="preserve">. Acesso em </w:t>
      </w:r>
      <w:proofErr w:type="gramStart"/>
      <w:r>
        <w:rPr>
          <w:rFonts w:ascii="Times New Roman" w:hAnsi="Times New Roman"/>
          <w:sz w:val="24"/>
        </w:rPr>
        <w:t>1</w:t>
      </w:r>
      <w:proofErr w:type="gramEnd"/>
      <w:r>
        <w:rPr>
          <w:rFonts w:ascii="Times New Roman" w:hAnsi="Times New Roman"/>
          <w:sz w:val="24"/>
        </w:rPr>
        <w:t xml:space="preserve"> de abril de 2017.</w:t>
      </w:r>
    </w:p>
    <w:p w:rsidR="00CE289A" w:rsidRPr="00CE289A" w:rsidRDefault="00CE289A" w:rsidP="00CE289A">
      <w:pPr>
        <w:spacing w:after="0" w:line="240" w:lineRule="auto"/>
        <w:rPr>
          <w:rFonts w:ascii="Times New Roman" w:hAnsi="Times New Roman"/>
          <w:sz w:val="24"/>
        </w:rPr>
      </w:pPr>
    </w:p>
    <w:p w:rsidR="00CE289A" w:rsidRDefault="00CE289A" w:rsidP="00CE289A">
      <w:pPr>
        <w:spacing w:line="240" w:lineRule="auto"/>
        <w:rPr>
          <w:rFonts w:ascii="Times New Roman" w:hAnsi="Times New Roman"/>
          <w:sz w:val="24"/>
        </w:rPr>
      </w:pPr>
      <w:r w:rsidRPr="00D2643A">
        <w:rPr>
          <w:rFonts w:ascii="Times New Roman" w:hAnsi="Times New Roman"/>
          <w:color w:val="auto"/>
          <w:sz w:val="24"/>
          <w:szCs w:val="24"/>
        </w:rPr>
        <w:t>BRASIL</w:t>
      </w:r>
      <w:r>
        <w:rPr>
          <w:rFonts w:ascii="Times New Roman" w:hAnsi="Times New Roman"/>
          <w:sz w:val="24"/>
        </w:rPr>
        <w:t xml:space="preserve"> STJ, </w:t>
      </w:r>
      <w:r w:rsidRPr="00D2643A">
        <w:rPr>
          <w:rFonts w:ascii="Times New Roman" w:hAnsi="Times New Roman"/>
          <w:b/>
          <w:sz w:val="24"/>
        </w:rPr>
        <w:t>Recurso Especial nº 42.170-BA</w:t>
      </w:r>
      <w:r>
        <w:rPr>
          <w:rFonts w:ascii="Times New Roman" w:hAnsi="Times New Roman"/>
          <w:sz w:val="24"/>
        </w:rPr>
        <w:t xml:space="preserve">, rel. Min. Claudio Santos, 3ª Turma. </w:t>
      </w:r>
      <w:proofErr w:type="gramStart"/>
      <w:r>
        <w:rPr>
          <w:rFonts w:ascii="Times New Roman" w:hAnsi="Times New Roman"/>
          <w:sz w:val="24"/>
        </w:rPr>
        <w:t>j</w:t>
      </w:r>
      <w:proofErr w:type="gramEnd"/>
      <w:r>
        <w:rPr>
          <w:rFonts w:ascii="Times New Roman" w:hAnsi="Times New Roman"/>
          <w:sz w:val="24"/>
        </w:rPr>
        <w:t>. 14.11.1995, DJ 26.02.1996. Disponível em: &lt;</w:t>
      </w:r>
      <w:r w:rsidRPr="00CE289A">
        <w:t xml:space="preserve"> </w:t>
      </w:r>
      <w:hyperlink r:id="rId10" w:history="1">
        <w:r w:rsidRPr="00CE289A">
          <w:rPr>
            <w:rStyle w:val="Hyperlink"/>
            <w:rFonts w:ascii="Times New Roman" w:hAnsi="Times New Roman"/>
            <w:color w:val="auto"/>
            <w:sz w:val="24"/>
            <w:u w:val="none"/>
          </w:rPr>
          <w:t>http://dj.stj.jus.br/20120925.pdf</w:t>
        </w:r>
      </w:hyperlink>
      <w:r w:rsidRPr="00CE289A">
        <w:rPr>
          <w:rFonts w:ascii="Times New Roman" w:hAnsi="Times New Roman"/>
          <w:color w:val="auto"/>
          <w:sz w:val="24"/>
        </w:rPr>
        <w:t xml:space="preserve">&gt;. </w:t>
      </w:r>
      <w:r>
        <w:rPr>
          <w:rFonts w:ascii="Times New Roman" w:hAnsi="Times New Roman"/>
          <w:sz w:val="24"/>
        </w:rPr>
        <w:t xml:space="preserve">Acesso em </w:t>
      </w:r>
      <w:proofErr w:type="gramStart"/>
      <w:r>
        <w:rPr>
          <w:rFonts w:ascii="Times New Roman" w:hAnsi="Times New Roman"/>
          <w:sz w:val="24"/>
        </w:rPr>
        <w:t>1</w:t>
      </w:r>
      <w:proofErr w:type="gramEnd"/>
      <w:r>
        <w:rPr>
          <w:rFonts w:ascii="Times New Roman" w:hAnsi="Times New Roman"/>
          <w:sz w:val="24"/>
        </w:rPr>
        <w:t xml:space="preserve"> de abril de 2017.</w:t>
      </w:r>
    </w:p>
    <w:p w:rsidR="00CE289A" w:rsidRPr="00B71A4E" w:rsidRDefault="00CE289A" w:rsidP="00CE289A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CÂMARA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Alexandre Freitas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 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O 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Novo</w:t>
      </w:r>
      <w:r w:rsidRPr="00754F95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Processo Civil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Brasileiro</w:t>
      </w:r>
      <w:r w:rsidRPr="00754F95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3ª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ed. São Paulo: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Atlas, 2017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621336" w:rsidRDefault="00621336" w:rsidP="00CE289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A61AF7" w:rsidRPr="008A0E39" w:rsidRDefault="009C108D" w:rsidP="00CE289A">
      <w:pPr>
        <w:widowControl w:val="0"/>
        <w:tabs>
          <w:tab w:val="right" w:pos="9356"/>
        </w:tabs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DNIZETTI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</w:t>
      </w:r>
      <w:r w:rsidR="00754F9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="00754F9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Elpdio</w:t>
      </w:r>
      <w:proofErr w:type="spellEnd"/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="00A61AF7" w:rsidRPr="008A0E39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="00754F95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Curso Didático de Direito Processual Civil</w:t>
      </w:r>
      <w:r w:rsidR="00A61AF7" w:rsidRPr="008A0E39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São Paulo: </w:t>
      </w:r>
      <w:r w:rsidR="00754F9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Atlas, </w:t>
      </w:r>
      <w:proofErr w:type="gramStart"/>
      <w:r w:rsidR="00754F9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2016</w:t>
      </w:r>
      <w:proofErr w:type="gramEnd"/>
    </w:p>
    <w:p w:rsidR="00B2738A" w:rsidRPr="008A0E39" w:rsidRDefault="00754F95" w:rsidP="00CE289A">
      <w:pPr>
        <w:widowControl w:val="0"/>
        <w:tabs>
          <w:tab w:val="left" w:pos="7929"/>
        </w:tabs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</w:p>
    <w:p w:rsidR="00986E04" w:rsidRDefault="00754F95" w:rsidP="00CE289A">
      <w:pPr>
        <w:widowControl w:val="0"/>
        <w:tabs>
          <w:tab w:val="right" w:pos="9356"/>
        </w:tabs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THEODORO JUNIOR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Humberto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 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Novo Código</w:t>
      </w:r>
      <w:r w:rsidRPr="00754F95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de Processo Civil.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20</w:t>
      </w:r>
      <w:r w:rsidR="00924E6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ª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ed. São Paulo: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Atlas, 2016</w:t>
      </w:r>
      <w:r w:rsidR="00A61AF7"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924E6F" w:rsidRDefault="00924E6F" w:rsidP="00CE289A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</w:p>
    <w:p w:rsidR="003452A4" w:rsidRPr="00B71A4E" w:rsidRDefault="003452A4" w:rsidP="00CE289A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SCAVONE JUNIOR,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Luis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Antonio</w:t>
      </w:r>
      <w:proofErr w:type="spellEnd"/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 </w:t>
      </w:r>
      <w:r w:rsidRPr="003452A4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Direito Imobiliário – Teoria e Prática.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9ª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ed.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Rio de Janeiro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: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Atlas, 2016</w:t>
      </w:r>
      <w:r w:rsidRPr="008A0E3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3452A4" w:rsidRDefault="003452A4" w:rsidP="00CE289A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</w:p>
    <w:p w:rsidR="009E6AD9" w:rsidRPr="00B71A4E" w:rsidRDefault="009E6AD9" w:rsidP="00B71A4E">
      <w:pPr>
        <w:widowControl w:val="0"/>
        <w:tabs>
          <w:tab w:val="right" w:pos="9356"/>
        </w:tabs>
        <w:spacing w:after="0" w:line="240" w:lineRule="auto"/>
        <w:rPr>
          <w:color w:val="auto"/>
        </w:rPr>
      </w:pPr>
    </w:p>
    <w:sectPr w:rsidR="009E6AD9" w:rsidRPr="00B71A4E" w:rsidSect="00ED3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9A" w:rsidRDefault="00A31F9A">
      <w:pPr>
        <w:spacing w:after="0" w:line="240" w:lineRule="auto"/>
      </w:pPr>
      <w:r>
        <w:separator/>
      </w:r>
    </w:p>
  </w:endnote>
  <w:endnote w:type="continuationSeparator" w:id="0">
    <w:p w:rsidR="00A31F9A" w:rsidRDefault="00A3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01" w:rsidRDefault="005F51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01" w:rsidRDefault="005F51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09" w:rsidRDefault="00ED3609" w:rsidP="00ED3609">
    <w:pPr>
      <w:pStyle w:val="Rodap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_______________________</w:t>
    </w:r>
  </w:p>
  <w:p w:rsidR="00ED3609" w:rsidRPr="00ED3609" w:rsidRDefault="00ED3609" w:rsidP="00ED3609">
    <w:pPr>
      <w:pStyle w:val="Rodap"/>
      <w:rPr>
        <w:rFonts w:ascii="Times New Roman" w:hAnsi="Times New Roman"/>
        <w:color w:val="000000"/>
        <w:sz w:val="20"/>
        <w:szCs w:val="20"/>
      </w:rPr>
    </w:pPr>
    <w:proofErr w:type="gramStart"/>
    <w:r w:rsidRPr="00ED3609">
      <w:rPr>
        <w:rFonts w:ascii="Times New Roman" w:hAnsi="Times New Roman"/>
        <w:color w:val="000000"/>
        <w:sz w:val="20"/>
        <w:szCs w:val="20"/>
      </w:rPr>
      <w:t>1</w:t>
    </w:r>
    <w:proofErr w:type="gramEnd"/>
    <w:r w:rsidRPr="00ED3609">
      <w:rPr>
        <w:rFonts w:ascii="Times New Roman" w:hAnsi="Times New Roman"/>
        <w:color w:val="000000"/>
        <w:sz w:val="20"/>
        <w:szCs w:val="20"/>
      </w:rPr>
      <w:t xml:space="preserve"> Case apresentado à disciplina </w:t>
    </w:r>
    <w:r w:rsidR="00C215B3">
      <w:rPr>
        <w:rFonts w:ascii="Times New Roman" w:hAnsi="Times New Roman"/>
        <w:color w:val="000000"/>
        <w:sz w:val="20"/>
        <w:szCs w:val="20"/>
      </w:rPr>
      <w:t>Processo Cautelar e Procedimentos Especiais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ED3609">
      <w:rPr>
        <w:rFonts w:ascii="Times New Roman" w:hAnsi="Times New Roman"/>
        <w:color w:val="000000"/>
        <w:sz w:val="20"/>
        <w:szCs w:val="20"/>
      </w:rPr>
      <w:t>na Unidade de Ensino Superior Dom Bosco – UNDB.</w:t>
    </w:r>
  </w:p>
  <w:p w:rsidR="00ED3609" w:rsidRPr="00ED3609" w:rsidRDefault="00ED3609" w:rsidP="00ED3609">
    <w:pPr>
      <w:pStyle w:val="Rodap"/>
      <w:rPr>
        <w:rFonts w:ascii="Times New Roman" w:hAnsi="Times New Roman"/>
        <w:color w:val="000000"/>
        <w:sz w:val="20"/>
        <w:szCs w:val="20"/>
      </w:rPr>
    </w:pPr>
    <w:proofErr w:type="gramStart"/>
    <w:r w:rsidRPr="00ED3609">
      <w:rPr>
        <w:rFonts w:ascii="Times New Roman" w:hAnsi="Times New Roman"/>
        <w:color w:val="000000"/>
        <w:sz w:val="20"/>
        <w:szCs w:val="20"/>
      </w:rPr>
      <w:t>2</w:t>
    </w:r>
    <w:proofErr w:type="gramEnd"/>
    <w:r w:rsidRPr="00ED3609">
      <w:rPr>
        <w:rFonts w:ascii="Times New Roman" w:hAnsi="Times New Roman"/>
        <w:color w:val="000000"/>
        <w:sz w:val="20"/>
        <w:szCs w:val="20"/>
      </w:rPr>
      <w:t xml:space="preserve"> Aluno(a) do </w:t>
    </w:r>
    <w:r w:rsidR="00DD388A">
      <w:rPr>
        <w:rFonts w:ascii="Times New Roman" w:hAnsi="Times New Roman"/>
        <w:color w:val="000000"/>
        <w:sz w:val="20"/>
        <w:szCs w:val="20"/>
      </w:rPr>
      <w:t>oitavo</w:t>
    </w:r>
    <w:r w:rsidRPr="00ED3609">
      <w:rPr>
        <w:rFonts w:ascii="Times New Roman" w:hAnsi="Times New Roman"/>
        <w:color w:val="000000"/>
        <w:sz w:val="20"/>
        <w:szCs w:val="20"/>
      </w:rPr>
      <w:t xml:space="preserve"> período, do curso de Direito, da UNDB.</w:t>
    </w:r>
  </w:p>
  <w:p w:rsidR="00ED3609" w:rsidRPr="00C330BE" w:rsidRDefault="00ED3609" w:rsidP="00ED3609">
    <w:pPr>
      <w:pStyle w:val="Rodap"/>
      <w:rPr>
        <w:rFonts w:ascii="Times New Roman" w:hAnsi="Times New Roman"/>
        <w:sz w:val="24"/>
        <w:szCs w:val="24"/>
      </w:rPr>
    </w:pPr>
  </w:p>
  <w:p w:rsidR="00ED3609" w:rsidRDefault="00ED36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9A" w:rsidRDefault="00A31F9A">
      <w:r>
        <w:separator/>
      </w:r>
    </w:p>
  </w:footnote>
  <w:footnote w:type="continuationSeparator" w:id="0">
    <w:p w:rsidR="00A31F9A" w:rsidRDefault="00A3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01" w:rsidRDefault="005F51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01" w:rsidRDefault="005F51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01" w:rsidRDefault="005F51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240"/>
    <w:multiLevelType w:val="multilevel"/>
    <w:tmpl w:val="0F2A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62ABC"/>
    <w:multiLevelType w:val="multilevel"/>
    <w:tmpl w:val="4164F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014A08"/>
    <w:multiLevelType w:val="multilevel"/>
    <w:tmpl w:val="99724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2"/>
    <w:rsid w:val="000004AD"/>
    <w:rsid w:val="00003E75"/>
    <w:rsid w:val="00004D23"/>
    <w:rsid w:val="00005CE8"/>
    <w:rsid w:val="000170DD"/>
    <w:rsid w:val="000204CD"/>
    <w:rsid w:val="00037266"/>
    <w:rsid w:val="0004711F"/>
    <w:rsid w:val="000844C2"/>
    <w:rsid w:val="000924C5"/>
    <w:rsid w:val="000B366B"/>
    <w:rsid w:val="000C0B6B"/>
    <w:rsid w:val="000E1A6F"/>
    <w:rsid w:val="000E3FC5"/>
    <w:rsid w:val="000F2C7C"/>
    <w:rsid w:val="00103DC4"/>
    <w:rsid w:val="00111B18"/>
    <w:rsid w:val="00133666"/>
    <w:rsid w:val="00141EFE"/>
    <w:rsid w:val="00153139"/>
    <w:rsid w:val="00156F54"/>
    <w:rsid w:val="00157FA7"/>
    <w:rsid w:val="00196950"/>
    <w:rsid w:val="001C0AE2"/>
    <w:rsid w:val="001C6D3F"/>
    <w:rsid w:val="001C6DAE"/>
    <w:rsid w:val="001D6503"/>
    <w:rsid w:val="0021071B"/>
    <w:rsid w:val="00213CE4"/>
    <w:rsid w:val="00220DEB"/>
    <w:rsid w:val="002271A1"/>
    <w:rsid w:val="00256395"/>
    <w:rsid w:val="0027621C"/>
    <w:rsid w:val="0028307E"/>
    <w:rsid w:val="00292485"/>
    <w:rsid w:val="002967C1"/>
    <w:rsid w:val="002A6A31"/>
    <w:rsid w:val="002B1C42"/>
    <w:rsid w:val="002C0EEC"/>
    <w:rsid w:val="002C48C5"/>
    <w:rsid w:val="002C6A23"/>
    <w:rsid w:val="002D0A30"/>
    <w:rsid w:val="002D7339"/>
    <w:rsid w:val="002F0C63"/>
    <w:rsid w:val="00305561"/>
    <w:rsid w:val="00313E94"/>
    <w:rsid w:val="00317E87"/>
    <w:rsid w:val="00320FB5"/>
    <w:rsid w:val="00333613"/>
    <w:rsid w:val="003452A4"/>
    <w:rsid w:val="003467BA"/>
    <w:rsid w:val="0038441C"/>
    <w:rsid w:val="003B2821"/>
    <w:rsid w:val="003C6EC7"/>
    <w:rsid w:val="003E0118"/>
    <w:rsid w:val="004163D5"/>
    <w:rsid w:val="004252A7"/>
    <w:rsid w:val="00432696"/>
    <w:rsid w:val="0044745C"/>
    <w:rsid w:val="00450E78"/>
    <w:rsid w:val="00483257"/>
    <w:rsid w:val="004C4742"/>
    <w:rsid w:val="004C781C"/>
    <w:rsid w:val="004D5AAE"/>
    <w:rsid w:val="004E1146"/>
    <w:rsid w:val="004E62A4"/>
    <w:rsid w:val="004F7272"/>
    <w:rsid w:val="00524482"/>
    <w:rsid w:val="005B6536"/>
    <w:rsid w:val="005E0837"/>
    <w:rsid w:val="005E7851"/>
    <w:rsid w:val="005F5101"/>
    <w:rsid w:val="00621336"/>
    <w:rsid w:val="00675D71"/>
    <w:rsid w:val="006779D6"/>
    <w:rsid w:val="006A7401"/>
    <w:rsid w:val="006C4ABF"/>
    <w:rsid w:val="006D1FAA"/>
    <w:rsid w:val="006F6E0A"/>
    <w:rsid w:val="007248B2"/>
    <w:rsid w:val="007419A0"/>
    <w:rsid w:val="00754F95"/>
    <w:rsid w:val="007870CA"/>
    <w:rsid w:val="00797892"/>
    <w:rsid w:val="007C4570"/>
    <w:rsid w:val="007C56E1"/>
    <w:rsid w:val="007D2EA3"/>
    <w:rsid w:val="0080128B"/>
    <w:rsid w:val="00827656"/>
    <w:rsid w:val="00844CC7"/>
    <w:rsid w:val="00862851"/>
    <w:rsid w:val="0088190C"/>
    <w:rsid w:val="008841AD"/>
    <w:rsid w:val="008A0E39"/>
    <w:rsid w:val="008A19DB"/>
    <w:rsid w:val="008D125F"/>
    <w:rsid w:val="008D2951"/>
    <w:rsid w:val="00917B28"/>
    <w:rsid w:val="00924E6F"/>
    <w:rsid w:val="00926ACF"/>
    <w:rsid w:val="0093339B"/>
    <w:rsid w:val="00942630"/>
    <w:rsid w:val="00946708"/>
    <w:rsid w:val="00961088"/>
    <w:rsid w:val="00986E04"/>
    <w:rsid w:val="009C108D"/>
    <w:rsid w:val="009C2B09"/>
    <w:rsid w:val="009C6C7B"/>
    <w:rsid w:val="009E6AD9"/>
    <w:rsid w:val="009F2BC1"/>
    <w:rsid w:val="00A22A12"/>
    <w:rsid w:val="00A31804"/>
    <w:rsid w:val="00A31F9A"/>
    <w:rsid w:val="00A37639"/>
    <w:rsid w:val="00A42678"/>
    <w:rsid w:val="00A61AF7"/>
    <w:rsid w:val="00A63022"/>
    <w:rsid w:val="00A7262A"/>
    <w:rsid w:val="00AA54A7"/>
    <w:rsid w:val="00AC3851"/>
    <w:rsid w:val="00AF0A0F"/>
    <w:rsid w:val="00AF6669"/>
    <w:rsid w:val="00B1021E"/>
    <w:rsid w:val="00B159D9"/>
    <w:rsid w:val="00B20AF1"/>
    <w:rsid w:val="00B25A05"/>
    <w:rsid w:val="00B2738A"/>
    <w:rsid w:val="00B51387"/>
    <w:rsid w:val="00B519FB"/>
    <w:rsid w:val="00B52DCC"/>
    <w:rsid w:val="00B633C5"/>
    <w:rsid w:val="00B71A4E"/>
    <w:rsid w:val="00BA0B2E"/>
    <w:rsid w:val="00BA55AE"/>
    <w:rsid w:val="00BB44B2"/>
    <w:rsid w:val="00BC5506"/>
    <w:rsid w:val="00BC5992"/>
    <w:rsid w:val="00C13260"/>
    <w:rsid w:val="00C215B3"/>
    <w:rsid w:val="00C36E5E"/>
    <w:rsid w:val="00C4171A"/>
    <w:rsid w:val="00C43D93"/>
    <w:rsid w:val="00C51A0F"/>
    <w:rsid w:val="00C940CF"/>
    <w:rsid w:val="00CB19B4"/>
    <w:rsid w:val="00CB548D"/>
    <w:rsid w:val="00CC2D9A"/>
    <w:rsid w:val="00CC5FCD"/>
    <w:rsid w:val="00CE1597"/>
    <w:rsid w:val="00CE289A"/>
    <w:rsid w:val="00D13E4E"/>
    <w:rsid w:val="00D15F8A"/>
    <w:rsid w:val="00D2643A"/>
    <w:rsid w:val="00D276FD"/>
    <w:rsid w:val="00D57258"/>
    <w:rsid w:val="00D7318F"/>
    <w:rsid w:val="00D756C3"/>
    <w:rsid w:val="00D933A8"/>
    <w:rsid w:val="00DD1436"/>
    <w:rsid w:val="00DD3086"/>
    <w:rsid w:val="00DD388A"/>
    <w:rsid w:val="00DD5707"/>
    <w:rsid w:val="00E15AAF"/>
    <w:rsid w:val="00E207EB"/>
    <w:rsid w:val="00E23554"/>
    <w:rsid w:val="00E42308"/>
    <w:rsid w:val="00E44EBF"/>
    <w:rsid w:val="00E577C6"/>
    <w:rsid w:val="00E65789"/>
    <w:rsid w:val="00E71451"/>
    <w:rsid w:val="00EA27B6"/>
    <w:rsid w:val="00EB743D"/>
    <w:rsid w:val="00ED3609"/>
    <w:rsid w:val="00EF369F"/>
    <w:rsid w:val="00F03F47"/>
    <w:rsid w:val="00F167F8"/>
    <w:rsid w:val="00F168F4"/>
    <w:rsid w:val="00F20657"/>
    <w:rsid w:val="00F34CAA"/>
    <w:rsid w:val="00F6792C"/>
    <w:rsid w:val="00F94BE6"/>
    <w:rsid w:val="00FA13EE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D"/>
    <w:pPr>
      <w:suppressAutoHyphens/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010D"/>
  </w:style>
  <w:style w:type="character" w:customStyle="1" w:styleId="RodapChar">
    <w:name w:val="Rodapé Char"/>
    <w:basedOn w:val="Fontepargpadro"/>
    <w:link w:val="Rodap"/>
    <w:uiPriority w:val="99"/>
    <w:qFormat/>
    <w:rsid w:val="00A5010D"/>
  </w:style>
  <w:style w:type="character" w:customStyle="1" w:styleId="TextodenotaderodapChar">
    <w:name w:val="Texto de nota de rodapé Char"/>
    <w:link w:val="Textodenotaderodap"/>
    <w:uiPriority w:val="99"/>
    <w:qFormat/>
    <w:rsid w:val="00A5010D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qFormat/>
    <w:rsid w:val="00A5010D"/>
    <w:rPr>
      <w:rFonts w:cs="Times New Roman"/>
      <w:vertAlign w:val="superscript"/>
    </w:rPr>
  </w:style>
  <w:style w:type="character" w:customStyle="1" w:styleId="apple-converted-space">
    <w:name w:val="apple-converted-space"/>
    <w:qFormat/>
    <w:rsid w:val="00A5010D"/>
  </w:style>
  <w:style w:type="character" w:styleId="Forte">
    <w:name w:val="Strong"/>
    <w:uiPriority w:val="22"/>
    <w:qFormat/>
    <w:rsid w:val="003A420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A5010D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A5010D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A5010D"/>
    <w:pPr>
      <w:spacing w:beforeAutospacing="1" w:afterAutospacing="1" w:line="240" w:lineRule="auto"/>
    </w:pPr>
    <w:rPr>
      <w:rFonts w:ascii="Times New Roman" w:hAnsi="Times New Roman"/>
      <w:sz w:val="23"/>
      <w:szCs w:val="23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uiPriority w:val="99"/>
    <w:unhideWhenUsed/>
    <w:rsid w:val="003E0118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37266"/>
    <w:rPr>
      <w:color w:val="800080"/>
      <w:u w:val="single"/>
    </w:rPr>
  </w:style>
  <w:style w:type="paragraph" w:customStyle="1" w:styleId="Standard">
    <w:name w:val="Standard"/>
    <w:rsid w:val="00111B1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004D23"/>
    <w:rPr>
      <w:i/>
      <w:iCs/>
    </w:rPr>
  </w:style>
  <w:style w:type="paragraph" w:customStyle="1" w:styleId="artigo">
    <w:name w:val="artigo"/>
    <w:basedOn w:val="Normal"/>
    <w:rsid w:val="00A61A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CE2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D"/>
    <w:pPr>
      <w:suppressAutoHyphens/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010D"/>
  </w:style>
  <w:style w:type="character" w:customStyle="1" w:styleId="RodapChar">
    <w:name w:val="Rodapé Char"/>
    <w:basedOn w:val="Fontepargpadro"/>
    <w:link w:val="Rodap"/>
    <w:uiPriority w:val="99"/>
    <w:qFormat/>
    <w:rsid w:val="00A5010D"/>
  </w:style>
  <w:style w:type="character" w:customStyle="1" w:styleId="TextodenotaderodapChar">
    <w:name w:val="Texto de nota de rodapé Char"/>
    <w:link w:val="Textodenotaderodap"/>
    <w:uiPriority w:val="99"/>
    <w:qFormat/>
    <w:rsid w:val="00A5010D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qFormat/>
    <w:rsid w:val="00A5010D"/>
    <w:rPr>
      <w:rFonts w:cs="Times New Roman"/>
      <w:vertAlign w:val="superscript"/>
    </w:rPr>
  </w:style>
  <w:style w:type="character" w:customStyle="1" w:styleId="apple-converted-space">
    <w:name w:val="apple-converted-space"/>
    <w:qFormat/>
    <w:rsid w:val="00A5010D"/>
  </w:style>
  <w:style w:type="character" w:styleId="Forte">
    <w:name w:val="Strong"/>
    <w:uiPriority w:val="22"/>
    <w:qFormat/>
    <w:rsid w:val="003A420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010D"/>
    <w:pPr>
      <w:tabs>
        <w:tab w:val="center" w:pos="4513"/>
        <w:tab w:val="right" w:pos="9026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A5010D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A5010D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A5010D"/>
    <w:pPr>
      <w:spacing w:beforeAutospacing="1" w:afterAutospacing="1" w:line="240" w:lineRule="auto"/>
    </w:pPr>
    <w:rPr>
      <w:rFonts w:ascii="Times New Roman" w:hAnsi="Times New Roman"/>
      <w:sz w:val="23"/>
      <w:szCs w:val="23"/>
    </w:rPr>
  </w:style>
  <w:style w:type="paragraph" w:customStyle="1" w:styleId="Notaderodap">
    <w:name w:val="Nota de rodapé"/>
    <w:basedOn w:val="Normal"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uiPriority w:val="99"/>
    <w:unhideWhenUsed/>
    <w:rsid w:val="003E0118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037266"/>
    <w:rPr>
      <w:color w:val="800080"/>
      <w:u w:val="single"/>
    </w:rPr>
  </w:style>
  <w:style w:type="paragraph" w:customStyle="1" w:styleId="Standard">
    <w:name w:val="Standard"/>
    <w:rsid w:val="00111B1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uiPriority w:val="20"/>
    <w:qFormat/>
    <w:rsid w:val="00004D23"/>
    <w:rPr>
      <w:i/>
      <w:iCs/>
    </w:rPr>
  </w:style>
  <w:style w:type="paragraph" w:customStyle="1" w:styleId="artigo">
    <w:name w:val="artigo"/>
    <w:basedOn w:val="Normal"/>
    <w:rsid w:val="00A61AF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CE2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8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dj.stj.jus.br/201209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lei%2010.406-2002?OpenDocumen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\Downloads\SINOPSE%20DO%20CASE%20excu&#231;&#245;es.dot%201w2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6C35-C47A-46DB-B805-DFD0E64D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SINOPSE DO CASE excuções.dot 1w2 (1)</Template>
  <TotalTime>6</TotalTime>
  <Pages>5</Pages>
  <Words>1777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Links>
    <vt:vector size="24" baseType="variant">
      <vt:variant>
        <vt:i4>7864432</vt:i4>
      </vt:variant>
      <vt:variant>
        <vt:i4>9</vt:i4>
      </vt:variant>
      <vt:variant>
        <vt:i4>0</vt:i4>
      </vt:variant>
      <vt:variant>
        <vt:i4>5</vt:i4>
      </vt:variant>
      <vt:variant>
        <vt:lpwstr>https://jus.com.br/tudo/direito-constitucional</vt:lpwstr>
      </vt:variant>
      <vt:variant>
        <vt:lpwstr/>
      </vt:variant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http://stj.jusbrasil.com.br/jurisprudencia/7148569/recurso-especial-resp-795635-pb-2005-0181124-1/relatorio-e-voto-12867469</vt:lpwstr>
      </vt:variant>
      <vt:variant>
        <vt:lpwstr/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http://legislacao.planalto.gov.br/legisla/legislacao.nsf/Viw_Identificacao/lei 10.406-2002?OpenDocument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http://www.jusbrasil.com.br/legislacao/109854/lei-de-execu%C3%A7%C3%A3o-fiscal-lei-6830-80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User</cp:lastModifiedBy>
  <cp:revision>5</cp:revision>
  <cp:lastPrinted>2017-04-07T18:09:00Z</cp:lastPrinted>
  <dcterms:created xsi:type="dcterms:W3CDTF">2017-04-07T18:09:00Z</dcterms:created>
  <dcterms:modified xsi:type="dcterms:W3CDTF">2017-09-10T22:44:00Z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