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414" w:rsidRPr="004F6414" w:rsidRDefault="004F6414" w:rsidP="004F6414">
      <w:pPr>
        <w:tabs>
          <w:tab w:val="left" w:pos="284"/>
          <w:tab w:val="left" w:pos="426"/>
        </w:tabs>
        <w:spacing w:line="360" w:lineRule="auto"/>
        <w:jc w:val="both"/>
        <w:rPr>
          <w:rFonts w:ascii="Arial" w:hAnsi="Arial" w:cs="Arial"/>
        </w:rPr>
      </w:pPr>
      <w:r w:rsidRPr="00BD09D1">
        <w:rPr>
          <w:rFonts w:ascii="Arial" w:hAnsi="Arial" w:cs="Arial"/>
          <w:b/>
          <w:sz w:val="24"/>
          <w:szCs w:val="24"/>
        </w:rPr>
        <w:t>Resenha do T</w:t>
      </w:r>
      <w:r>
        <w:rPr>
          <w:rFonts w:ascii="Arial" w:hAnsi="Arial" w:cs="Arial"/>
          <w:b/>
          <w:sz w:val="24"/>
          <w:szCs w:val="24"/>
        </w:rPr>
        <w:t>exto:</w:t>
      </w:r>
      <w:proofErr w:type="gramStart"/>
      <w:r>
        <w:rPr>
          <w:rFonts w:ascii="Arial" w:hAnsi="Arial" w:cs="Arial"/>
          <w:b/>
          <w:sz w:val="24"/>
          <w:szCs w:val="24"/>
        </w:rPr>
        <w:t xml:space="preserve"> </w:t>
      </w:r>
      <w:r>
        <w:rPr>
          <w:rFonts w:ascii="Arial" w:hAnsi="Arial" w:cs="Arial"/>
        </w:rPr>
        <w:t xml:space="preserve"> </w:t>
      </w:r>
      <w:proofErr w:type="gramEnd"/>
      <w:r>
        <w:rPr>
          <w:rFonts w:ascii="Arial" w:hAnsi="Arial" w:cs="Arial"/>
          <w:b/>
          <w:sz w:val="24"/>
          <w:szCs w:val="24"/>
        </w:rPr>
        <w:t>Utilizando</w:t>
      </w:r>
      <w:r w:rsidRPr="006B49AC">
        <w:rPr>
          <w:rFonts w:ascii="Arial" w:hAnsi="Arial" w:cs="Arial"/>
          <w:b/>
          <w:sz w:val="24"/>
          <w:szCs w:val="24"/>
        </w:rPr>
        <w:t xml:space="preserve"> o modelo do circuito </w:t>
      </w:r>
      <w:proofErr w:type="spellStart"/>
      <w:r w:rsidRPr="006B49AC">
        <w:rPr>
          <w:rFonts w:ascii="Arial" w:hAnsi="Arial" w:cs="Arial"/>
          <w:b/>
          <w:sz w:val="24"/>
          <w:szCs w:val="24"/>
        </w:rPr>
        <w:t>finance-investimento-poupança-funding</w:t>
      </w:r>
      <w:proofErr w:type="spellEnd"/>
      <w:r w:rsidRPr="006B49AC">
        <w:rPr>
          <w:rFonts w:ascii="Arial" w:hAnsi="Arial" w:cs="Arial"/>
          <w:b/>
          <w:sz w:val="24"/>
          <w:szCs w:val="24"/>
        </w:rPr>
        <w:t xml:space="preserve"> para explicar como a preferência pela liquidez dos bancos atua como um condicionante do investimento privado, e como a inexistência de um mercado de capitais profundo, com um amplo e volumoso mercado secundário para títulos </w:t>
      </w:r>
      <w:proofErr w:type="spellStart"/>
      <w:r w:rsidRPr="006B49AC">
        <w:rPr>
          <w:rFonts w:ascii="Arial" w:hAnsi="Arial" w:cs="Arial"/>
          <w:b/>
          <w:sz w:val="24"/>
          <w:szCs w:val="24"/>
        </w:rPr>
        <w:t>securitizados</w:t>
      </w:r>
      <w:proofErr w:type="spellEnd"/>
      <w:r w:rsidRPr="006B49AC">
        <w:rPr>
          <w:rFonts w:ascii="Arial" w:hAnsi="Arial" w:cs="Arial"/>
          <w:b/>
          <w:sz w:val="24"/>
          <w:szCs w:val="24"/>
        </w:rPr>
        <w:t xml:space="preserve"> (debêntures), cria uma tendência ao aumento da fragilidade de crises financeiras que interrompam a dinâmica de expansão do capital produtivo. </w:t>
      </w:r>
    </w:p>
    <w:p w:rsidR="004F6414" w:rsidRDefault="004F6414" w:rsidP="004F6414">
      <w:pPr>
        <w:autoSpaceDE w:val="0"/>
        <w:autoSpaceDN w:val="0"/>
        <w:adjustRightInd w:val="0"/>
        <w:spacing w:after="0" w:line="240" w:lineRule="auto"/>
        <w:rPr>
          <w:rFonts w:ascii="Arial" w:hAnsi="Arial" w:cs="Arial"/>
          <w:b/>
          <w:sz w:val="24"/>
          <w:szCs w:val="24"/>
        </w:rPr>
      </w:pPr>
    </w:p>
    <w:p w:rsidR="004F6414" w:rsidRPr="00BD09D1" w:rsidRDefault="004F6414" w:rsidP="004F6414">
      <w:pPr>
        <w:spacing w:after="0"/>
        <w:jc w:val="right"/>
        <w:rPr>
          <w:rFonts w:ascii="Arial" w:hAnsi="Arial" w:cs="Arial"/>
          <w:b/>
          <w:sz w:val="24"/>
          <w:szCs w:val="24"/>
        </w:rPr>
      </w:pPr>
      <w:r w:rsidRPr="00BD09D1">
        <w:rPr>
          <w:rFonts w:ascii="Arial" w:hAnsi="Arial" w:cs="Arial"/>
          <w:b/>
          <w:sz w:val="24"/>
          <w:szCs w:val="24"/>
        </w:rPr>
        <w:t>Natália Carolina Tavares Ribeiro</w:t>
      </w:r>
    </w:p>
    <w:p w:rsidR="006B49AC" w:rsidRPr="006B49AC" w:rsidRDefault="006B49AC" w:rsidP="006B49AC">
      <w:pPr>
        <w:tabs>
          <w:tab w:val="left" w:pos="284"/>
          <w:tab w:val="left" w:pos="426"/>
        </w:tabs>
        <w:spacing w:line="360" w:lineRule="auto"/>
        <w:jc w:val="center"/>
        <w:rPr>
          <w:rFonts w:ascii="Arial" w:hAnsi="Arial" w:cs="Arial"/>
          <w:bCs/>
        </w:rPr>
      </w:pPr>
    </w:p>
    <w:p w:rsidR="00657316" w:rsidRPr="004F6414" w:rsidRDefault="0062337D" w:rsidP="004F6414">
      <w:pPr>
        <w:jc w:val="both"/>
        <w:rPr>
          <w:rFonts w:ascii="Arial" w:hAnsi="Arial" w:cs="Arial"/>
          <w:b/>
          <w:sz w:val="24"/>
          <w:szCs w:val="24"/>
        </w:rPr>
      </w:pPr>
      <w:r w:rsidRPr="004F6414">
        <w:rPr>
          <w:rFonts w:ascii="Arial" w:hAnsi="Arial" w:cs="Arial"/>
          <w:b/>
          <w:sz w:val="24"/>
          <w:szCs w:val="24"/>
        </w:rPr>
        <w:t>INTRODUÇÃ</w:t>
      </w:r>
      <w:r w:rsidR="00657316" w:rsidRPr="004F6414">
        <w:rPr>
          <w:rFonts w:ascii="Arial" w:hAnsi="Arial" w:cs="Arial"/>
          <w:b/>
          <w:sz w:val="24"/>
          <w:szCs w:val="24"/>
        </w:rPr>
        <w:t>O</w:t>
      </w:r>
    </w:p>
    <w:p w:rsidR="00772404" w:rsidRPr="006B49AC" w:rsidRDefault="00772404" w:rsidP="000D72DD">
      <w:pPr>
        <w:spacing w:line="360" w:lineRule="auto"/>
        <w:ind w:firstLine="709"/>
        <w:jc w:val="both"/>
        <w:rPr>
          <w:rFonts w:ascii="Arial" w:hAnsi="Arial" w:cs="Arial"/>
          <w:sz w:val="24"/>
          <w:szCs w:val="24"/>
        </w:rPr>
      </w:pPr>
      <w:r w:rsidRPr="006B49AC">
        <w:rPr>
          <w:rFonts w:ascii="Arial" w:hAnsi="Arial" w:cs="Arial"/>
          <w:sz w:val="24"/>
          <w:szCs w:val="24"/>
        </w:rPr>
        <w:t xml:space="preserve">A concepção de poupança tem sido objeto de discussão entre os economistas que se guiam pela ótica da teoria dos fundos emprestáveis e aqueles defensores do </w:t>
      </w:r>
      <w:proofErr w:type="spellStart"/>
      <w:r w:rsidRPr="006B49AC">
        <w:rPr>
          <w:rFonts w:ascii="Arial" w:hAnsi="Arial" w:cs="Arial"/>
          <w:sz w:val="24"/>
          <w:szCs w:val="24"/>
        </w:rPr>
        <w:t>circuito-finance-investimento-renda-aplicações-funding</w:t>
      </w:r>
      <w:proofErr w:type="spellEnd"/>
      <w:r w:rsidRPr="006B49AC">
        <w:rPr>
          <w:rFonts w:ascii="Arial" w:hAnsi="Arial" w:cs="Arial"/>
          <w:sz w:val="24"/>
          <w:szCs w:val="24"/>
        </w:rPr>
        <w:t>.</w:t>
      </w:r>
    </w:p>
    <w:p w:rsidR="00462608" w:rsidRPr="006B49AC" w:rsidRDefault="00462608" w:rsidP="000D72DD">
      <w:pPr>
        <w:spacing w:line="360" w:lineRule="auto"/>
        <w:ind w:firstLine="709"/>
        <w:jc w:val="both"/>
        <w:rPr>
          <w:rFonts w:ascii="Arial" w:hAnsi="Arial" w:cs="Arial"/>
          <w:sz w:val="24"/>
          <w:szCs w:val="24"/>
        </w:rPr>
      </w:pPr>
      <w:r w:rsidRPr="006B49AC">
        <w:rPr>
          <w:rFonts w:ascii="Arial" w:hAnsi="Arial" w:cs="Arial"/>
          <w:sz w:val="24"/>
          <w:szCs w:val="24"/>
        </w:rPr>
        <w:t>Na</w:t>
      </w:r>
      <w:r w:rsidR="009D26CB" w:rsidRPr="006B49AC">
        <w:rPr>
          <w:rFonts w:ascii="Arial" w:hAnsi="Arial" w:cs="Arial"/>
          <w:sz w:val="24"/>
          <w:szCs w:val="24"/>
        </w:rPr>
        <w:t xml:space="preserve"> visão</w:t>
      </w:r>
      <w:r w:rsidRPr="006B49AC">
        <w:rPr>
          <w:rFonts w:ascii="Arial" w:hAnsi="Arial" w:cs="Arial"/>
          <w:sz w:val="24"/>
          <w:szCs w:val="24"/>
        </w:rPr>
        <w:t xml:space="preserve"> neoclássica, a poupança é o diferencial entre a renda e consumo (Y-C =S). Como a renda (Y=C+I) é a soma do consumo e do investimento, tem-se por aritmética que a poupança é igual ao investimento (S=I).  </w:t>
      </w:r>
    </w:p>
    <w:p w:rsidR="00725CA8" w:rsidRPr="006B49AC" w:rsidRDefault="00462608" w:rsidP="000D72DD">
      <w:pPr>
        <w:spacing w:line="360" w:lineRule="auto"/>
        <w:ind w:firstLine="709"/>
        <w:jc w:val="both"/>
        <w:rPr>
          <w:rFonts w:ascii="Arial" w:hAnsi="Arial" w:cs="Arial"/>
          <w:sz w:val="24"/>
          <w:szCs w:val="24"/>
        </w:rPr>
      </w:pPr>
      <w:r w:rsidRPr="006B49AC">
        <w:rPr>
          <w:rFonts w:ascii="Arial" w:hAnsi="Arial" w:cs="Arial"/>
          <w:sz w:val="24"/>
          <w:szCs w:val="24"/>
        </w:rPr>
        <w:t>Em uma visão Keynesiana, entretanto, ao contrário do que defendia os neoclássicos, a sociedade não enriqueceria caso a população passasse a poupar mais (ou a consumir menos). Na verdade, um menor consumo diminuiria utilização da capacidade produtiva, desestimulando o investimento, obtendo consequentemente uma menor renda e emprego.</w:t>
      </w:r>
      <w:r w:rsidR="00725CA8" w:rsidRPr="006B49AC">
        <w:rPr>
          <w:rFonts w:ascii="Arial" w:hAnsi="Arial" w:cs="Arial"/>
          <w:sz w:val="24"/>
          <w:szCs w:val="24"/>
        </w:rPr>
        <w:t xml:space="preserve"> </w:t>
      </w:r>
    </w:p>
    <w:p w:rsidR="000022F0" w:rsidRPr="006B49AC" w:rsidRDefault="00354EE6" w:rsidP="000D72DD">
      <w:pPr>
        <w:spacing w:line="360" w:lineRule="auto"/>
        <w:ind w:firstLine="709"/>
        <w:jc w:val="both"/>
        <w:rPr>
          <w:rFonts w:ascii="Arial" w:hAnsi="Arial" w:cs="Arial"/>
          <w:sz w:val="24"/>
          <w:szCs w:val="24"/>
        </w:rPr>
      </w:pPr>
      <w:r w:rsidRPr="006B49AC">
        <w:rPr>
          <w:rFonts w:ascii="Arial" w:hAnsi="Arial" w:cs="Arial"/>
          <w:sz w:val="24"/>
          <w:szCs w:val="24"/>
        </w:rPr>
        <w:t xml:space="preserve"> </w:t>
      </w:r>
      <w:r w:rsidR="000022F0" w:rsidRPr="006B49AC">
        <w:rPr>
          <w:rFonts w:ascii="Arial" w:hAnsi="Arial" w:cs="Arial"/>
          <w:sz w:val="24"/>
          <w:szCs w:val="24"/>
        </w:rPr>
        <w:t>A</w:t>
      </w:r>
      <w:r w:rsidR="00772404" w:rsidRPr="006B49AC">
        <w:rPr>
          <w:rFonts w:ascii="Arial" w:hAnsi="Arial" w:cs="Arial"/>
          <w:sz w:val="24"/>
          <w:szCs w:val="24"/>
        </w:rPr>
        <w:t xml:space="preserve"> partir desta nova concepção, a definição </w:t>
      </w:r>
      <w:r w:rsidR="000022F0" w:rsidRPr="006B49AC">
        <w:rPr>
          <w:rFonts w:ascii="Arial" w:hAnsi="Arial" w:cs="Arial"/>
          <w:sz w:val="24"/>
          <w:szCs w:val="24"/>
        </w:rPr>
        <w:t xml:space="preserve">de poupança financeira como saldo de aplicações financeiras </w:t>
      </w:r>
      <w:r w:rsidR="00E42536" w:rsidRPr="006B49AC">
        <w:rPr>
          <w:rFonts w:ascii="Arial" w:hAnsi="Arial" w:cs="Arial"/>
          <w:sz w:val="24"/>
          <w:szCs w:val="24"/>
        </w:rPr>
        <w:t>diferencia-se em diversos aspectos</w:t>
      </w:r>
      <w:r w:rsidR="000022F0" w:rsidRPr="006B49AC">
        <w:rPr>
          <w:rFonts w:ascii="Arial" w:hAnsi="Arial" w:cs="Arial"/>
          <w:sz w:val="24"/>
          <w:szCs w:val="24"/>
        </w:rPr>
        <w:t xml:space="preserve"> da definição convencional de poupança.</w:t>
      </w:r>
    </w:p>
    <w:p w:rsidR="00657316" w:rsidRPr="00D65214" w:rsidRDefault="00657316" w:rsidP="00657316">
      <w:pPr>
        <w:jc w:val="both"/>
        <w:rPr>
          <w:rFonts w:ascii="Arial" w:hAnsi="Arial" w:cs="Arial"/>
          <w:b/>
          <w:sz w:val="24"/>
          <w:szCs w:val="24"/>
        </w:rPr>
      </w:pPr>
    </w:p>
    <w:p w:rsidR="009B14F0" w:rsidRPr="004F6414" w:rsidRDefault="009B14F0" w:rsidP="004F6414">
      <w:pPr>
        <w:jc w:val="both"/>
        <w:rPr>
          <w:sz w:val="24"/>
          <w:szCs w:val="24"/>
        </w:rPr>
      </w:pPr>
      <w:r w:rsidRPr="004F6414">
        <w:rPr>
          <w:rFonts w:ascii="Arial" w:hAnsi="Arial" w:cs="Arial"/>
          <w:b/>
          <w:sz w:val="24"/>
          <w:szCs w:val="24"/>
        </w:rPr>
        <w:t>O CIRCUITO FINANCE-INVESTIMENTO-RENDA-APLICAÇÕES FUNDING</w:t>
      </w:r>
    </w:p>
    <w:p w:rsidR="005B3B41" w:rsidRPr="006B49AC" w:rsidRDefault="009B14F0" w:rsidP="000D72DD">
      <w:pPr>
        <w:spacing w:line="360" w:lineRule="auto"/>
        <w:ind w:firstLine="709"/>
        <w:jc w:val="both"/>
        <w:rPr>
          <w:rFonts w:ascii="Arial" w:hAnsi="Arial" w:cs="Arial"/>
          <w:sz w:val="24"/>
          <w:szCs w:val="24"/>
        </w:rPr>
      </w:pPr>
      <w:r w:rsidRPr="006B49AC">
        <w:rPr>
          <w:rFonts w:ascii="Arial" w:hAnsi="Arial" w:cs="Arial"/>
          <w:sz w:val="24"/>
          <w:szCs w:val="24"/>
        </w:rPr>
        <w:t xml:space="preserve">A criação de liquidez representa a primeira fase do circuito monetário, </w:t>
      </w:r>
      <w:r w:rsidR="005B3B41" w:rsidRPr="006B49AC">
        <w:rPr>
          <w:rFonts w:ascii="Arial" w:hAnsi="Arial" w:cs="Arial"/>
          <w:sz w:val="24"/>
          <w:szCs w:val="24"/>
        </w:rPr>
        <w:t>e é representada</w:t>
      </w:r>
      <w:r w:rsidR="002F3E27" w:rsidRPr="006B49AC">
        <w:rPr>
          <w:rFonts w:ascii="Arial" w:hAnsi="Arial" w:cs="Arial"/>
          <w:sz w:val="24"/>
          <w:szCs w:val="24"/>
        </w:rPr>
        <w:t xml:space="preserve"> de um lado</w:t>
      </w:r>
      <w:r w:rsidR="005B3B41" w:rsidRPr="006B49AC">
        <w:rPr>
          <w:rFonts w:ascii="Arial" w:hAnsi="Arial" w:cs="Arial"/>
          <w:sz w:val="24"/>
          <w:szCs w:val="24"/>
        </w:rPr>
        <w:t xml:space="preserve"> pela concessão de empréstimos às empresas para</w:t>
      </w:r>
      <w:r w:rsidR="002F3E27" w:rsidRPr="006B49AC">
        <w:rPr>
          <w:rFonts w:ascii="Arial" w:hAnsi="Arial" w:cs="Arial"/>
          <w:sz w:val="24"/>
          <w:szCs w:val="24"/>
        </w:rPr>
        <w:t xml:space="preserve"> </w:t>
      </w:r>
      <w:r w:rsidR="002F3E27" w:rsidRPr="006B49AC">
        <w:rPr>
          <w:rFonts w:ascii="Arial" w:hAnsi="Arial" w:cs="Arial"/>
          <w:sz w:val="24"/>
          <w:szCs w:val="24"/>
        </w:rPr>
        <w:lastRenderedPageBreak/>
        <w:t xml:space="preserve">cobrirem os custos de produção e por outro pelo lançamento </w:t>
      </w:r>
      <w:r w:rsidR="005B3B41" w:rsidRPr="006B49AC">
        <w:rPr>
          <w:rFonts w:ascii="Arial" w:hAnsi="Arial" w:cs="Arial"/>
          <w:sz w:val="24"/>
          <w:szCs w:val="24"/>
        </w:rPr>
        <w:t>de títulos e/ou ativos</w:t>
      </w:r>
      <w:r w:rsidR="002F3E27" w:rsidRPr="006B49AC">
        <w:rPr>
          <w:rFonts w:ascii="Arial" w:hAnsi="Arial" w:cs="Arial"/>
          <w:sz w:val="24"/>
          <w:szCs w:val="24"/>
        </w:rPr>
        <w:t xml:space="preserve"> por estas empresas,</w:t>
      </w:r>
      <w:r w:rsidR="005B3B41" w:rsidRPr="006B49AC">
        <w:rPr>
          <w:rFonts w:ascii="Arial" w:hAnsi="Arial" w:cs="Arial"/>
          <w:sz w:val="24"/>
          <w:szCs w:val="24"/>
        </w:rPr>
        <w:t xml:space="preserve"> no mercado de capitais.</w:t>
      </w:r>
    </w:p>
    <w:p w:rsidR="00033D5E" w:rsidRPr="006B49AC" w:rsidRDefault="00033D5E" w:rsidP="000D72DD">
      <w:pPr>
        <w:spacing w:line="360" w:lineRule="auto"/>
        <w:ind w:firstLine="709"/>
        <w:jc w:val="both"/>
        <w:rPr>
          <w:rFonts w:ascii="Arial" w:hAnsi="Arial" w:cs="Arial"/>
          <w:sz w:val="24"/>
          <w:szCs w:val="24"/>
        </w:rPr>
      </w:pPr>
      <w:r w:rsidRPr="006B49AC">
        <w:rPr>
          <w:rFonts w:ascii="Arial" w:hAnsi="Arial" w:cs="Arial"/>
          <w:sz w:val="24"/>
          <w:szCs w:val="24"/>
        </w:rPr>
        <w:t>A segunda fase do circuito consiste na utilização dos empréstimos recebidos, ou seja, no financiamento da produção.</w:t>
      </w:r>
    </w:p>
    <w:p w:rsidR="00033D5E" w:rsidRPr="006B49AC" w:rsidRDefault="00033D5E" w:rsidP="000D72DD">
      <w:pPr>
        <w:spacing w:line="360" w:lineRule="auto"/>
        <w:ind w:firstLine="709"/>
        <w:jc w:val="both"/>
        <w:rPr>
          <w:rFonts w:ascii="Arial" w:hAnsi="Arial" w:cs="Arial"/>
          <w:sz w:val="24"/>
          <w:szCs w:val="24"/>
        </w:rPr>
      </w:pPr>
      <w:r w:rsidRPr="006B49AC">
        <w:rPr>
          <w:rFonts w:ascii="Arial" w:hAnsi="Arial" w:cs="Arial"/>
          <w:sz w:val="24"/>
          <w:szCs w:val="24"/>
        </w:rPr>
        <w:t>O financiamento inicial (</w:t>
      </w:r>
      <w:proofErr w:type="spellStart"/>
      <w:r w:rsidRPr="006B49AC">
        <w:rPr>
          <w:rFonts w:ascii="Arial" w:hAnsi="Arial" w:cs="Arial"/>
          <w:sz w:val="24"/>
          <w:szCs w:val="24"/>
        </w:rPr>
        <w:t>finance</w:t>
      </w:r>
      <w:proofErr w:type="spellEnd"/>
      <w:r w:rsidRPr="006B49AC">
        <w:rPr>
          <w:rFonts w:ascii="Arial" w:hAnsi="Arial" w:cs="Arial"/>
          <w:sz w:val="24"/>
          <w:szCs w:val="24"/>
        </w:rPr>
        <w:t>) é um empréstimo de capital de giro fornecido pelo crédito bancário e utilizado pelas empresas para o financiamento da produção. Sua fonte não é a despesa dos consumidores.</w:t>
      </w:r>
    </w:p>
    <w:p w:rsidR="00033D5E" w:rsidRPr="006B49AC" w:rsidRDefault="00033D5E" w:rsidP="000D72DD">
      <w:pPr>
        <w:spacing w:line="360" w:lineRule="auto"/>
        <w:ind w:firstLine="709"/>
        <w:jc w:val="both"/>
        <w:rPr>
          <w:rFonts w:ascii="Arial" w:hAnsi="Arial" w:cs="Arial"/>
          <w:sz w:val="24"/>
          <w:szCs w:val="24"/>
        </w:rPr>
      </w:pPr>
      <w:r w:rsidRPr="006B49AC">
        <w:rPr>
          <w:rFonts w:ascii="Arial" w:hAnsi="Arial" w:cs="Arial"/>
          <w:sz w:val="24"/>
          <w:szCs w:val="24"/>
        </w:rPr>
        <w:t>O financiamento final (</w:t>
      </w:r>
      <w:proofErr w:type="spellStart"/>
      <w:r w:rsidRPr="006B49AC">
        <w:rPr>
          <w:rFonts w:ascii="Arial" w:hAnsi="Arial" w:cs="Arial"/>
          <w:sz w:val="24"/>
          <w:szCs w:val="24"/>
        </w:rPr>
        <w:t>funding</w:t>
      </w:r>
      <w:proofErr w:type="spellEnd"/>
      <w:r w:rsidRPr="006B49AC">
        <w:rPr>
          <w:rFonts w:ascii="Arial" w:hAnsi="Arial" w:cs="Arial"/>
          <w:sz w:val="24"/>
          <w:szCs w:val="24"/>
        </w:rPr>
        <w:t>) corresponde aos fundos que as empresas arrecadam co</w:t>
      </w:r>
      <w:r w:rsidR="00BE1512" w:rsidRPr="006B49AC">
        <w:rPr>
          <w:rFonts w:ascii="Arial" w:hAnsi="Arial" w:cs="Arial"/>
          <w:sz w:val="24"/>
          <w:szCs w:val="24"/>
        </w:rPr>
        <w:t>m a venda de títulos e/ou bens, de forma a possibilitar</w:t>
      </w:r>
      <w:r w:rsidRPr="006B49AC">
        <w:rPr>
          <w:rFonts w:ascii="Arial" w:hAnsi="Arial" w:cs="Arial"/>
          <w:sz w:val="24"/>
          <w:szCs w:val="24"/>
        </w:rPr>
        <w:t xml:space="preserve"> às empresas </w:t>
      </w:r>
      <w:r w:rsidR="00BE1512" w:rsidRPr="006B49AC">
        <w:rPr>
          <w:rFonts w:ascii="Arial" w:hAnsi="Arial" w:cs="Arial"/>
          <w:sz w:val="24"/>
          <w:szCs w:val="24"/>
        </w:rPr>
        <w:t>o reembolso de dívidas aos bancos.</w:t>
      </w:r>
    </w:p>
    <w:p w:rsidR="00725CA8" w:rsidRPr="006B49AC" w:rsidRDefault="00B63997" w:rsidP="000D72DD">
      <w:pPr>
        <w:spacing w:line="360" w:lineRule="auto"/>
        <w:ind w:firstLine="709"/>
        <w:jc w:val="both"/>
        <w:rPr>
          <w:rFonts w:ascii="Arial" w:hAnsi="Arial" w:cs="Arial"/>
          <w:sz w:val="24"/>
          <w:szCs w:val="24"/>
        </w:rPr>
      </w:pPr>
      <w:r w:rsidRPr="006B49AC">
        <w:rPr>
          <w:rFonts w:ascii="Arial" w:hAnsi="Arial" w:cs="Arial"/>
          <w:sz w:val="24"/>
          <w:szCs w:val="24"/>
        </w:rPr>
        <w:t>O</w:t>
      </w:r>
      <w:r w:rsidR="00C201E3" w:rsidRPr="006B49AC">
        <w:rPr>
          <w:rFonts w:ascii="Arial" w:hAnsi="Arial" w:cs="Arial"/>
          <w:sz w:val="24"/>
          <w:szCs w:val="24"/>
        </w:rPr>
        <w:t>s depósitos à vista</w:t>
      </w:r>
      <w:r w:rsidRPr="006B49AC">
        <w:rPr>
          <w:rFonts w:ascii="Arial" w:hAnsi="Arial" w:cs="Arial"/>
          <w:sz w:val="24"/>
          <w:szCs w:val="24"/>
        </w:rPr>
        <w:t xml:space="preserve">, sob a ótica de poupança financeira, </w:t>
      </w:r>
      <w:r w:rsidR="00495EF7" w:rsidRPr="006B49AC">
        <w:rPr>
          <w:rFonts w:ascii="Arial" w:hAnsi="Arial" w:cs="Arial"/>
          <w:sz w:val="24"/>
          <w:szCs w:val="24"/>
        </w:rPr>
        <w:t xml:space="preserve">não representam renda não consumida e </w:t>
      </w:r>
      <w:r w:rsidR="000022F0" w:rsidRPr="006B49AC">
        <w:rPr>
          <w:rFonts w:ascii="Arial" w:hAnsi="Arial" w:cs="Arial"/>
          <w:sz w:val="24"/>
          <w:szCs w:val="24"/>
        </w:rPr>
        <w:t xml:space="preserve">se multiplicam a partir do </w:t>
      </w:r>
      <w:proofErr w:type="spellStart"/>
      <w:r w:rsidR="000022F0" w:rsidRPr="006B49AC">
        <w:rPr>
          <w:rFonts w:ascii="Arial" w:hAnsi="Arial" w:cs="Arial"/>
          <w:sz w:val="24"/>
          <w:szCs w:val="24"/>
        </w:rPr>
        <w:t>finance</w:t>
      </w:r>
      <w:proofErr w:type="spellEnd"/>
      <w:r w:rsidR="000022F0" w:rsidRPr="006B49AC">
        <w:rPr>
          <w:rFonts w:ascii="Arial" w:hAnsi="Arial" w:cs="Arial"/>
          <w:sz w:val="24"/>
          <w:szCs w:val="24"/>
        </w:rPr>
        <w:t xml:space="preserve"> concedido para o capital de giro inic</w:t>
      </w:r>
      <w:r w:rsidRPr="006B49AC">
        <w:rPr>
          <w:rFonts w:ascii="Arial" w:hAnsi="Arial" w:cs="Arial"/>
          <w:sz w:val="24"/>
          <w:szCs w:val="24"/>
        </w:rPr>
        <w:t>ial do investimento</w:t>
      </w:r>
      <w:r w:rsidR="00495EF7" w:rsidRPr="006B49AC">
        <w:rPr>
          <w:rFonts w:ascii="Arial" w:hAnsi="Arial" w:cs="Arial"/>
          <w:sz w:val="24"/>
          <w:szCs w:val="24"/>
        </w:rPr>
        <w:t>.</w:t>
      </w:r>
      <w:r w:rsidR="00C201E3" w:rsidRPr="006B49AC">
        <w:rPr>
          <w:rFonts w:ascii="Arial" w:hAnsi="Arial" w:cs="Arial"/>
          <w:sz w:val="24"/>
          <w:szCs w:val="24"/>
        </w:rPr>
        <w:t xml:space="preserve"> </w:t>
      </w:r>
      <w:r w:rsidR="00495EF7" w:rsidRPr="006B49AC">
        <w:rPr>
          <w:rFonts w:ascii="Arial" w:hAnsi="Arial" w:cs="Arial"/>
          <w:sz w:val="24"/>
          <w:szCs w:val="24"/>
        </w:rPr>
        <w:t>O</w:t>
      </w:r>
      <w:r w:rsidR="000022F0" w:rsidRPr="006B49AC">
        <w:rPr>
          <w:rFonts w:ascii="Arial" w:hAnsi="Arial" w:cs="Arial"/>
          <w:sz w:val="24"/>
          <w:szCs w:val="24"/>
        </w:rPr>
        <w:t xml:space="preserve"> excedente em circulação financia consumo e especulação (e não só investimento), descaracterizando-o como poupança</w:t>
      </w:r>
      <w:r w:rsidR="00C201E3" w:rsidRPr="006B49AC">
        <w:rPr>
          <w:rFonts w:ascii="Arial" w:hAnsi="Arial" w:cs="Arial"/>
          <w:sz w:val="24"/>
          <w:szCs w:val="24"/>
        </w:rPr>
        <w:t>.</w:t>
      </w:r>
    </w:p>
    <w:p w:rsidR="00360838" w:rsidRDefault="0052437A" w:rsidP="000D72DD">
      <w:pPr>
        <w:spacing w:line="360" w:lineRule="auto"/>
        <w:ind w:firstLine="709"/>
        <w:jc w:val="both"/>
        <w:rPr>
          <w:rFonts w:ascii="Arial" w:hAnsi="Arial" w:cs="Arial"/>
          <w:sz w:val="24"/>
          <w:szCs w:val="24"/>
        </w:rPr>
      </w:pPr>
      <w:r>
        <w:rPr>
          <w:rFonts w:ascii="Arial" w:hAnsi="Arial" w:cs="Arial"/>
          <w:sz w:val="24"/>
          <w:szCs w:val="24"/>
        </w:rPr>
        <w:t>A terceira e última fase do circuito é a do reembolso dos empréstimos. Neste estágio, o objetivo das empresas é quitar suas dívidas com os bancos.</w:t>
      </w:r>
    </w:p>
    <w:p w:rsidR="0052437A" w:rsidRDefault="000D72DD" w:rsidP="000D72DD">
      <w:pPr>
        <w:spacing w:line="360" w:lineRule="auto"/>
        <w:ind w:firstLine="709"/>
        <w:jc w:val="both"/>
        <w:rPr>
          <w:rFonts w:ascii="Arial" w:hAnsi="Arial" w:cs="Arial"/>
          <w:sz w:val="24"/>
          <w:szCs w:val="24"/>
        </w:rPr>
      </w:pPr>
      <w:r>
        <w:rPr>
          <w:rFonts w:ascii="Arial" w:hAnsi="Arial" w:cs="Arial"/>
          <w:sz w:val="24"/>
          <w:szCs w:val="24"/>
        </w:rPr>
        <w:t>S</w:t>
      </w:r>
      <w:r w:rsidR="0052437A">
        <w:rPr>
          <w:rFonts w:ascii="Arial" w:hAnsi="Arial" w:cs="Arial"/>
          <w:sz w:val="24"/>
          <w:szCs w:val="24"/>
        </w:rPr>
        <w:t>egue-se</w:t>
      </w:r>
      <w:r>
        <w:rPr>
          <w:rFonts w:ascii="Arial" w:hAnsi="Arial" w:cs="Arial"/>
          <w:sz w:val="24"/>
          <w:szCs w:val="24"/>
        </w:rPr>
        <w:t xml:space="preserve"> abaixo</w:t>
      </w:r>
      <w:r w:rsidR="0052437A">
        <w:rPr>
          <w:rFonts w:ascii="Arial" w:hAnsi="Arial" w:cs="Arial"/>
          <w:sz w:val="24"/>
          <w:szCs w:val="24"/>
        </w:rPr>
        <w:t xml:space="preserve"> o fluxograma do circuito.</w:t>
      </w:r>
    </w:p>
    <w:p w:rsidR="0052437A" w:rsidRDefault="0052437A" w:rsidP="00F7560A">
      <w:pPr>
        <w:ind w:firstLine="708"/>
        <w:jc w:val="both"/>
        <w:rPr>
          <w:rFonts w:ascii="Arial" w:hAnsi="Arial" w:cs="Arial"/>
          <w:sz w:val="24"/>
          <w:szCs w:val="24"/>
        </w:rPr>
      </w:pPr>
      <w:r>
        <w:rPr>
          <w:rFonts w:ascii="Arial" w:hAnsi="Arial" w:cs="Arial"/>
          <w:noProof/>
          <w:sz w:val="24"/>
          <w:szCs w:val="24"/>
          <w:lang w:eastAsia="pt-BR"/>
        </w:rPr>
        <w:lastRenderedPageBreak/>
        <w:drawing>
          <wp:inline distT="0" distB="0" distL="0" distR="0">
            <wp:extent cx="3358243" cy="3880836"/>
            <wp:effectExtent l="19050" t="19050" r="13607" b="24414"/>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361802" cy="3884949"/>
                    </a:xfrm>
                    <a:prstGeom prst="rect">
                      <a:avLst/>
                    </a:prstGeom>
                    <a:noFill/>
                    <a:ln w="9525">
                      <a:solidFill>
                        <a:schemeClr val="tx1"/>
                      </a:solidFill>
                      <a:miter lim="800000"/>
                      <a:headEnd/>
                      <a:tailEnd/>
                    </a:ln>
                  </pic:spPr>
                </pic:pic>
              </a:graphicData>
            </a:graphic>
          </wp:inline>
        </w:drawing>
      </w:r>
    </w:p>
    <w:p w:rsidR="0052437A" w:rsidRDefault="00D65214" w:rsidP="00D65214">
      <w:pPr>
        <w:ind w:left="708" w:right="849"/>
        <w:jc w:val="both"/>
        <w:rPr>
          <w:rFonts w:ascii="Arial" w:hAnsi="Arial" w:cs="Arial"/>
          <w:i/>
          <w:sz w:val="20"/>
          <w:szCs w:val="20"/>
        </w:rPr>
      </w:pPr>
      <w:proofErr w:type="gramStart"/>
      <w:r w:rsidRPr="00D65214">
        <w:rPr>
          <w:rFonts w:ascii="Arial" w:hAnsi="Arial" w:cs="Arial"/>
          <w:i/>
          <w:sz w:val="20"/>
          <w:szCs w:val="20"/>
        </w:rPr>
        <w:t>Fonte:</w:t>
      </w:r>
      <w:proofErr w:type="gramEnd"/>
      <w:r w:rsidR="0052437A" w:rsidRPr="00D65214">
        <w:rPr>
          <w:rFonts w:ascii="Arial" w:hAnsi="Arial" w:cs="Arial"/>
          <w:i/>
          <w:sz w:val="20"/>
          <w:szCs w:val="20"/>
        </w:rPr>
        <w:t>http://economidiando.blogspot.com.br/2012/10/circuito-de-financiamento-investimento.html</w:t>
      </w:r>
    </w:p>
    <w:p w:rsidR="00D65214" w:rsidRPr="00D65214" w:rsidRDefault="00D65214" w:rsidP="00D65214">
      <w:pPr>
        <w:ind w:left="708" w:right="849"/>
        <w:jc w:val="both"/>
        <w:rPr>
          <w:rFonts w:ascii="Arial" w:hAnsi="Arial" w:cs="Arial"/>
          <w:i/>
          <w:sz w:val="20"/>
          <w:szCs w:val="20"/>
        </w:rPr>
      </w:pPr>
    </w:p>
    <w:p w:rsidR="000D72DD" w:rsidRDefault="000D72DD">
      <w:pPr>
        <w:rPr>
          <w:rFonts w:ascii="Arial" w:hAnsi="Arial" w:cs="Arial"/>
          <w:b/>
          <w:sz w:val="24"/>
          <w:szCs w:val="24"/>
        </w:rPr>
      </w:pPr>
      <w:r>
        <w:rPr>
          <w:rFonts w:ascii="Arial" w:hAnsi="Arial" w:cs="Arial"/>
          <w:b/>
          <w:sz w:val="24"/>
          <w:szCs w:val="24"/>
        </w:rPr>
        <w:br w:type="page"/>
      </w:r>
    </w:p>
    <w:p w:rsidR="00D65214" w:rsidRPr="006B49AC" w:rsidRDefault="00D65214" w:rsidP="004F6414">
      <w:pPr>
        <w:jc w:val="both"/>
      </w:pPr>
      <w:r w:rsidRPr="004F6414">
        <w:rPr>
          <w:rFonts w:ascii="Arial" w:hAnsi="Arial" w:cs="Arial"/>
          <w:b/>
          <w:sz w:val="24"/>
          <w:szCs w:val="24"/>
        </w:rPr>
        <w:lastRenderedPageBreak/>
        <w:t>A LIQUIDEZ E O MERCADO DE CAPITAIS</w:t>
      </w:r>
    </w:p>
    <w:p w:rsidR="000D72DD" w:rsidRDefault="000D72DD" w:rsidP="000D72DD">
      <w:pPr>
        <w:spacing w:line="360" w:lineRule="auto"/>
        <w:ind w:firstLine="709"/>
        <w:jc w:val="both"/>
        <w:rPr>
          <w:rFonts w:ascii="Arial" w:hAnsi="Arial" w:cs="Arial"/>
          <w:sz w:val="24"/>
          <w:szCs w:val="24"/>
        </w:rPr>
      </w:pPr>
      <w:r>
        <w:rPr>
          <w:rFonts w:ascii="Arial" w:hAnsi="Arial" w:cs="Arial"/>
          <w:sz w:val="24"/>
          <w:szCs w:val="24"/>
        </w:rPr>
        <w:t>Dentro desta teoria, constata-se então que são os bancos, e não os poupadores, as peças fundamentais para o financiamento do investimento, sendo eles, os responsáveis pelo aumento no nível da atividade econômica.</w:t>
      </w:r>
    </w:p>
    <w:p w:rsidR="00C36846" w:rsidRDefault="00C36846" w:rsidP="000D72DD">
      <w:pPr>
        <w:spacing w:line="360" w:lineRule="auto"/>
        <w:ind w:firstLine="709"/>
        <w:jc w:val="both"/>
        <w:rPr>
          <w:rFonts w:ascii="Arial" w:hAnsi="Arial" w:cs="Arial"/>
          <w:sz w:val="24"/>
          <w:szCs w:val="24"/>
        </w:rPr>
      </w:pPr>
      <w:r w:rsidRPr="00C36846">
        <w:rPr>
          <w:rFonts w:ascii="Arial" w:hAnsi="Arial" w:cs="Arial"/>
          <w:sz w:val="24"/>
          <w:szCs w:val="24"/>
        </w:rPr>
        <w:t>Com a existência do financiamento (</w:t>
      </w:r>
      <w:proofErr w:type="spellStart"/>
      <w:r w:rsidRPr="00C36846">
        <w:rPr>
          <w:rFonts w:ascii="Arial" w:hAnsi="Arial" w:cs="Arial"/>
          <w:sz w:val="24"/>
          <w:szCs w:val="24"/>
        </w:rPr>
        <w:t>Finance</w:t>
      </w:r>
      <w:proofErr w:type="spellEnd"/>
      <w:r w:rsidRPr="00C36846">
        <w:rPr>
          <w:rFonts w:ascii="Arial" w:hAnsi="Arial" w:cs="Arial"/>
          <w:sz w:val="24"/>
          <w:szCs w:val="24"/>
        </w:rPr>
        <w:t xml:space="preserve">), o investimento é concretizado, com o efeito multiplicador, é realizada a poupança agregada. Entretanto para que o circuito </w:t>
      </w:r>
      <w:r>
        <w:rPr>
          <w:rFonts w:ascii="Arial" w:hAnsi="Arial" w:cs="Arial"/>
          <w:sz w:val="24"/>
          <w:szCs w:val="24"/>
        </w:rPr>
        <w:t xml:space="preserve">monetário </w:t>
      </w:r>
      <w:r w:rsidRPr="00C36846">
        <w:rPr>
          <w:rFonts w:ascii="Arial" w:hAnsi="Arial" w:cs="Arial"/>
          <w:sz w:val="24"/>
          <w:szCs w:val="24"/>
        </w:rPr>
        <w:t>seja realizado é necessária a existência de fundos para “consolidação financeira dos passivos das empresas endividadas</w:t>
      </w:r>
      <w:bookmarkStart w:id="0" w:name="_ftnref4"/>
      <w:r>
        <w:rPr>
          <w:rFonts w:ascii="Arial" w:hAnsi="Arial" w:cs="Arial"/>
          <w:sz w:val="24"/>
          <w:szCs w:val="24"/>
        </w:rPr>
        <w:t xml:space="preserve"> (</w:t>
      </w:r>
      <w:bookmarkEnd w:id="0"/>
      <w:proofErr w:type="spellStart"/>
      <w:r w:rsidRPr="00C36846">
        <w:rPr>
          <w:rFonts w:ascii="Arial" w:hAnsi="Arial" w:cs="Arial"/>
          <w:sz w:val="24"/>
          <w:szCs w:val="24"/>
        </w:rPr>
        <w:t>Funding</w:t>
      </w:r>
      <w:proofErr w:type="spellEnd"/>
      <w:r w:rsidRPr="00C36846">
        <w:rPr>
          <w:rFonts w:ascii="Arial" w:hAnsi="Arial" w:cs="Arial"/>
          <w:sz w:val="24"/>
          <w:szCs w:val="24"/>
        </w:rPr>
        <w:t>).</w:t>
      </w:r>
    </w:p>
    <w:p w:rsidR="00D65214" w:rsidRPr="00D65214" w:rsidRDefault="00C36846" w:rsidP="00C36846">
      <w:pPr>
        <w:spacing w:line="360" w:lineRule="auto"/>
        <w:ind w:firstLine="709"/>
        <w:jc w:val="both"/>
        <w:rPr>
          <w:rFonts w:ascii="Arial" w:hAnsi="Arial" w:cs="Arial"/>
          <w:sz w:val="24"/>
          <w:szCs w:val="24"/>
        </w:rPr>
      </w:pPr>
      <w:r w:rsidRPr="000D72DD">
        <w:rPr>
          <w:rFonts w:ascii="Arial" w:hAnsi="Arial" w:cs="Arial"/>
          <w:sz w:val="24"/>
          <w:szCs w:val="24"/>
        </w:rPr>
        <w:t>A inexistência de um mercado de capitais consolidado</w:t>
      </w:r>
      <w:proofErr w:type="gramStart"/>
      <w:r w:rsidRPr="000D72DD">
        <w:rPr>
          <w:rFonts w:ascii="Arial" w:hAnsi="Arial" w:cs="Arial"/>
          <w:sz w:val="24"/>
          <w:szCs w:val="24"/>
        </w:rPr>
        <w:t>, pode</w:t>
      </w:r>
      <w:proofErr w:type="gramEnd"/>
      <w:r w:rsidRPr="000D72DD">
        <w:rPr>
          <w:rFonts w:ascii="Arial" w:hAnsi="Arial" w:cs="Arial"/>
          <w:sz w:val="24"/>
          <w:szCs w:val="24"/>
        </w:rPr>
        <w:t xml:space="preserve"> fazer com que as famílias optem por manter parte de sua renda sob forma líquida. Como consequência, as empresas não terão condições de reembolsar, completamente, as dívidas aos bancos. Se isto ocorre, os empréstimos bancários que não são reembolsados não servirão a financiar mais nem o consumo nem os investimentos, interrompendo a expansão do capital </w:t>
      </w:r>
      <w:r>
        <w:rPr>
          <w:rFonts w:ascii="Arial" w:hAnsi="Arial" w:cs="Arial"/>
          <w:sz w:val="24"/>
          <w:szCs w:val="24"/>
        </w:rPr>
        <w:t>produtivo.</w:t>
      </w:r>
    </w:p>
    <w:p w:rsidR="0052437A" w:rsidRPr="006B49AC" w:rsidRDefault="00C36846" w:rsidP="000D72DD">
      <w:pPr>
        <w:spacing w:line="360" w:lineRule="auto"/>
        <w:ind w:firstLine="709"/>
        <w:jc w:val="both"/>
        <w:rPr>
          <w:rFonts w:ascii="Arial" w:hAnsi="Arial" w:cs="Arial"/>
          <w:sz w:val="24"/>
          <w:szCs w:val="24"/>
        </w:rPr>
      </w:pPr>
      <w:r>
        <w:rPr>
          <w:rFonts w:ascii="Arial" w:hAnsi="Arial" w:cs="Arial"/>
          <w:sz w:val="24"/>
          <w:szCs w:val="24"/>
        </w:rPr>
        <w:t xml:space="preserve">Nota-se, portanto, que </w:t>
      </w:r>
      <w:r w:rsidR="0052437A" w:rsidRPr="0052437A">
        <w:rPr>
          <w:rFonts w:ascii="Arial" w:hAnsi="Arial" w:cs="Arial"/>
          <w:sz w:val="24"/>
          <w:szCs w:val="24"/>
        </w:rPr>
        <w:t>o papel do mercado de capitais não é o de financiar os investimentos</w:t>
      </w:r>
      <w:proofErr w:type="gramStart"/>
      <w:r w:rsidR="0052437A" w:rsidRPr="0052437A">
        <w:rPr>
          <w:rFonts w:ascii="Arial" w:hAnsi="Arial" w:cs="Arial"/>
          <w:sz w:val="24"/>
          <w:szCs w:val="24"/>
        </w:rPr>
        <w:t xml:space="preserve"> mas</w:t>
      </w:r>
      <w:proofErr w:type="gramEnd"/>
      <w:r w:rsidR="0052437A" w:rsidRPr="0052437A">
        <w:rPr>
          <w:rFonts w:ascii="Arial" w:hAnsi="Arial" w:cs="Arial"/>
          <w:sz w:val="24"/>
          <w:szCs w:val="24"/>
        </w:rPr>
        <w:t xml:space="preserve"> sim o de tornar acessível às empresas, na medida mais completa possível, a chamada, convencionalmente, "poupança financeira" (aplicações de longo prazo) das famílias, afim de reduzir seus endividamentos com os bancos</w:t>
      </w:r>
      <w:r>
        <w:rPr>
          <w:rFonts w:ascii="Arial" w:hAnsi="Arial" w:cs="Arial"/>
          <w:sz w:val="24"/>
          <w:szCs w:val="24"/>
        </w:rPr>
        <w:t>.</w:t>
      </w:r>
    </w:p>
    <w:p w:rsidR="00A3485F" w:rsidRDefault="00A3485F">
      <w:pPr>
        <w:rPr>
          <w:rFonts w:ascii="Arial" w:hAnsi="Arial" w:cs="Arial"/>
          <w:b/>
          <w:sz w:val="24"/>
          <w:szCs w:val="24"/>
        </w:rPr>
      </w:pPr>
      <w:r>
        <w:rPr>
          <w:rFonts w:ascii="Arial" w:hAnsi="Arial" w:cs="Arial"/>
          <w:b/>
          <w:sz w:val="24"/>
          <w:szCs w:val="24"/>
        </w:rPr>
        <w:br w:type="page"/>
      </w:r>
    </w:p>
    <w:p w:rsidR="00C36846" w:rsidRPr="006B49AC" w:rsidRDefault="00C36846" w:rsidP="004F6414">
      <w:pPr>
        <w:jc w:val="both"/>
      </w:pPr>
      <w:r w:rsidRPr="004F6414">
        <w:rPr>
          <w:rFonts w:ascii="Arial" w:hAnsi="Arial" w:cs="Arial"/>
          <w:b/>
          <w:sz w:val="24"/>
          <w:szCs w:val="24"/>
        </w:rPr>
        <w:lastRenderedPageBreak/>
        <w:t>CONCLUSÃO</w:t>
      </w:r>
    </w:p>
    <w:p w:rsidR="00C36846" w:rsidRDefault="00C36846" w:rsidP="00C36846">
      <w:pPr>
        <w:spacing w:line="360" w:lineRule="auto"/>
        <w:ind w:firstLine="709"/>
        <w:jc w:val="both"/>
        <w:rPr>
          <w:rFonts w:ascii="Arial" w:hAnsi="Arial" w:cs="Arial"/>
          <w:sz w:val="24"/>
          <w:szCs w:val="24"/>
        </w:rPr>
      </w:pPr>
      <w:r>
        <w:rPr>
          <w:rFonts w:ascii="Arial" w:hAnsi="Arial" w:cs="Arial"/>
          <w:sz w:val="24"/>
          <w:szCs w:val="24"/>
        </w:rPr>
        <w:t xml:space="preserve">Sob a ótica neoclássica da intermediação financeira, </w:t>
      </w:r>
      <w:r w:rsidRPr="00C36846">
        <w:rPr>
          <w:rFonts w:ascii="Arial" w:hAnsi="Arial" w:cs="Arial"/>
          <w:sz w:val="24"/>
          <w:szCs w:val="24"/>
        </w:rPr>
        <w:t>investimento e poupança são determinados de maneira simultânea,</w:t>
      </w:r>
      <w:r>
        <w:rPr>
          <w:rFonts w:ascii="Arial" w:hAnsi="Arial" w:cs="Arial"/>
          <w:sz w:val="24"/>
          <w:szCs w:val="24"/>
        </w:rPr>
        <w:t xml:space="preserve"> sendo a taxa de juros </w:t>
      </w:r>
      <w:r w:rsidRPr="00C36846">
        <w:rPr>
          <w:rFonts w:ascii="Arial" w:hAnsi="Arial" w:cs="Arial"/>
          <w:sz w:val="24"/>
          <w:szCs w:val="24"/>
        </w:rPr>
        <w:t xml:space="preserve">o preço que equaliza a oferta (poupança) e a demanda (investimento). Para que exista o equilíbrio macroeconômico, apenas poderá ocorrer um aumento no investimento se, concomitantemente, ocorrer um aumento nos níveis de poupança. </w:t>
      </w:r>
    </w:p>
    <w:p w:rsidR="00C36846" w:rsidRPr="00C36846" w:rsidRDefault="00C36846" w:rsidP="00C36846">
      <w:pPr>
        <w:spacing w:line="360" w:lineRule="auto"/>
        <w:ind w:firstLine="709"/>
        <w:jc w:val="both"/>
        <w:rPr>
          <w:rFonts w:ascii="Arial" w:hAnsi="Arial" w:cs="Arial"/>
          <w:sz w:val="24"/>
          <w:szCs w:val="24"/>
        </w:rPr>
      </w:pPr>
      <w:r w:rsidRPr="00C36846">
        <w:rPr>
          <w:rFonts w:ascii="Arial" w:hAnsi="Arial" w:cs="Arial"/>
          <w:sz w:val="24"/>
          <w:szCs w:val="24"/>
        </w:rPr>
        <w:t xml:space="preserve">Entretanto </w:t>
      </w:r>
      <w:r>
        <w:rPr>
          <w:rFonts w:ascii="Arial" w:hAnsi="Arial" w:cs="Arial"/>
          <w:sz w:val="24"/>
          <w:szCs w:val="24"/>
        </w:rPr>
        <w:t xml:space="preserve">o circuito monetário proposto por </w:t>
      </w:r>
      <w:r w:rsidRPr="00C36846">
        <w:rPr>
          <w:rFonts w:ascii="Arial" w:hAnsi="Arial" w:cs="Arial"/>
          <w:sz w:val="24"/>
          <w:szCs w:val="24"/>
        </w:rPr>
        <w:t>Keynes demonstrou</w:t>
      </w:r>
      <w:r>
        <w:rPr>
          <w:rFonts w:ascii="Arial" w:hAnsi="Arial" w:cs="Arial"/>
          <w:sz w:val="24"/>
          <w:szCs w:val="24"/>
        </w:rPr>
        <w:t xml:space="preserve"> </w:t>
      </w:r>
      <w:r w:rsidRPr="00C36846">
        <w:rPr>
          <w:rFonts w:ascii="Arial" w:hAnsi="Arial" w:cs="Arial"/>
          <w:sz w:val="24"/>
          <w:szCs w:val="24"/>
        </w:rPr>
        <w:t xml:space="preserve">que o investimento é na verdade a causa última na determinação da renda e da poupança. Nesse modelo a taxa de juros aparece como um fenômeno estritamente monetário, determinado pela preferência pela liquidez (demanda por moeda) e pela oferta de moeda não podendo ser considerada, portanto, como uma mera variável de ajuste na relação entre investimento e poupança. </w:t>
      </w:r>
      <w:r>
        <w:rPr>
          <w:rFonts w:ascii="Arial" w:hAnsi="Arial" w:cs="Arial"/>
          <w:sz w:val="24"/>
          <w:szCs w:val="24"/>
        </w:rPr>
        <w:t>Por fim, conclui-se que é</w:t>
      </w:r>
      <w:r w:rsidRPr="00C36846">
        <w:rPr>
          <w:rFonts w:ascii="Arial" w:hAnsi="Arial" w:cs="Arial"/>
          <w:sz w:val="24"/>
          <w:szCs w:val="24"/>
        </w:rPr>
        <w:t xml:space="preserve"> a preferência pela liquidez dos bancos e dos aplicadores em títulos que determina o volume e os prazos do financiamento do investimento.</w:t>
      </w:r>
    </w:p>
    <w:p w:rsidR="004F6414" w:rsidRDefault="004F6414">
      <w:pPr>
        <w:rPr>
          <w:rFonts w:ascii="Arial" w:hAnsi="Arial" w:cs="Arial"/>
          <w:sz w:val="24"/>
          <w:szCs w:val="24"/>
        </w:rPr>
      </w:pPr>
    </w:p>
    <w:p w:rsidR="004F6414" w:rsidRDefault="004F6414" w:rsidP="004F6414">
      <w:pPr>
        <w:rPr>
          <w:lang w:eastAsia="pt-BR"/>
        </w:rPr>
      </w:pPr>
    </w:p>
    <w:p w:rsidR="004F6414" w:rsidRDefault="004F6414" w:rsidP="004F6414">
      <w:pPr>
        <w:rPr>
          <w:lang w:eastAsia="pt-BR"/>
        </w:rPr>
      </w:pPr>
    </w:p>
    <w:p w:rsidR="004F6414" w:rsidRDefault="004F6414" w:rsidP="004F6414">
      <w:pPr>
        <w:rPr>
          <w:lang w:eastAsia="pt-BR"/>
        </w:rPr>
      </w:pPr>
    </w:p>
    <w:p w:rsidR="004F6414" w:rsidRDefault="004F6414" w:rsidP="004F6414">
      <w:pPr>
        <w:rPr>
          <w:lang w:eastAsia="pt-BR"/>
        </w:rPr>
      </w:pPr>
    </w:p>
    <w:p w:rsidR="004F6414" w:rsidRDefault="004F6414" w:rsidP="004F6414">
      <w:pPr>
        <w:rPr>
          <w:lang w:eastAsia="pt-BR"/>
        </w:rPr>
      </w:pPr>
    </w:p>
    <w:p w:rsidR="004F6414" w:rsidRDefault="004F6414" w:rsidP="004F6414">
      <w:pPr>
        <w:rPr>
          <w:lang w:eastAsia="pt-BR"/>
        </w:rPr>
      </w:pPr>
    </w:p>
    <w:p w:rsidR="004F6414" w:rsidRDefault="004F6414" w:rsidP="004F6414">
      <w:pPr>
        <w:rPr>
          <w:lang w:eastAsia="pt-BR"/>
        </w:rPr>
      </w:pPr>
    </w:p>
    <w:p w:rsidR="004F6414" w:rsidRDefault="004F6414" w:rsidP="004F6414">
      <w:pPr>
        <w:rPr>
          <w:lang w:eastAsia="pt-BR"/>
        </w:rPr>
      </w:pPr>
    </w:p>
    <w:p w:rsidR="004F6414" w:rsidRDefault="004F6414" w:rsidP="004F6414">
      <w:pPr>
        <w:rPr>
          <w:lang w:eastAsia="pt-BR"/>
        </w:rPr>
      </w:pPr>
    </w:p>
    <w:p w:rsidR="004F6414" w:rsidRPr="00372090" w:rsidRDefault="004F6414" w:rsidP="004F6414">
      <w:pPr>
        <w:rPr>
          <w:lang w:eastAsia="pt-BR"/>
        </w:rPr>
      </w:pPr>
    </w:p>
    <w:p w:rsidR="004F6414" w:rsidRDefault="004F6414" w:rsidP="004F6414">
      <w:pPr>
        <w:pStyle w:val="Ttulo6"/>
        <w:spacing w:line="240" w:lineRule="auto"/>
        <w:rPr>
          <w:rFonts w:ascii="Arial" w:hAnsi="Arial" w:cs="Arial"/>
          <w:b w:val="0"/>
          <w:bCs/>
          <w:sz w:val="24"/>
          <w:szCs w:val="24"/>
        </w:rPr>
      </w:pPr>
    </w:p>
    <w:p w:rsidR="004F6414" w:rsidRPr="006B49AC" w:rsidRDefault="004F6414" w:rsidP="004F6414">
      <w:pPr>
        <w:pStyle w:val="Ttulo6"/>
        <w:spacing w:line="240" w:lineRule="auto"/>
        <w:rPr>
          <w:rFonts w:ascii="Arial" w:hAnsi="Arial" w:cs="Arial"/>
          <w:b w:val="0"/>
          <w:bCs/>
          <w:sz w:val="24"/>
          <w:szCs w:val="24"/>
        </w:rPr>
      </w:pPr>
      <w:r w:rsidRPr="006B49AC">
        <w:rPr>
          <w:rFonts w:ascii="Arial" w:hAnsi="Arial" w:cs="Arial"/>
          <w:b w:val="0"/>
          <w:bCs/>
          <w:sz w:val="24"/>
          <w:szCs w:val="24"/>
        </w:rPr>
        <w:t>Belo Horizonte</w:t>
      </w:r>
    </w:p>
    <w:p w:rsidR="004F6414" w:rsidRDefault="004F6414" w:rsidP="004F6414">
      <w:pPr>
        <w:jc w:val="center"/>
        <w:rPr>
          <w:rFonts w:ascii="Arial" w:hAnsi="Arial" w:cs="Arial"/>
          <w:sz w:val="24"/>
          <w:szCs w:val="24"/>
        </w:rPr>
      </w:pPr>
      <w:r w:rsidRPr="006B49AC">
        <w:rPr>
          <w:rFonts w:ascii="Arial" w:hAnsi="Arial" w:cs="Arial"/>
          <w:bCs/>
          <w:sz w:val="24"/>
          <w:szCs w:val="24"/>
        </w:rPr>
        <w:t>Maio 2014</w:t>
      </w:r>
    </w:p>
    <w:p w:rsidR="004F6414" w:rsidRDefault="004F6414">
      <w:pPr>
        <w:rPr>
          <w:rFonts w:ascii="Arial" w:hAnsi="Arial" w:cs="Arial"/>
          <w:b/>
          <w:sz w:val="24"/>
          <w:szCs w:val="24"/>
        </w:rPr>
      </w:pPr>
    </w:p>
    <w:p w:rsidR="00C36846" w:rsidRPr="006B49AC" w:rsidRDefault="00C36846" w:rsidP="00C36846">
      <w:pPr>
        <w:jc w:val="both"/>
      </w:pPr>
      <w:r w:rsidRPr="00C36846">
        <w:rPr>
          <w:rFonts w:ascii="Arial" w:hAnsi="Arial" w:cs="Arial"/>
          <w:b/>
          <w:sz w:val="24"/>
          <w:szCs w:val="24"/>
        </w:rPr>
        <w:t>BIBLIOGRAFIA</w:t>
      </w:r>
    </w:p>
    <w:p w:rsidR="00C36846" w:rsidRDefault="00C36846" w:rsidP="00C36846">
      <w:pPr>
        <w:spacing w:line="360" w:lineRule="auto"/>
        <w:jc w:val="both"/>
        <w:rPr>
          <w:rFonts w:ascii="Arial" w:hAnsi="Arial" w:cs="Arial"/>
          <w:sz w:val="24"/>
          <w:szCs w:val="24"/>
        </w:rPr>
      </w:pPr>
    </w:p>
    <w:p w:rsidR="00A3485F" w:rsidRPr="00C36846" w:rsidRDefault="000D72DD" w:rsidP="00C36846">
      <w:pPr>
        <w:spacing w:line="360" w:lineRule="auto"/>
        <w:jc w:val="both"/>
        <w:rPr>
          <w:rFonts w:ascii="Arial" w:hAnsi="Arial" w:cs="Arial"/>
          <w:sz w:val="24"/>
          <w:szCs w:val="24"/>
        </w:rPr>
      </w:pPr>
      <w:r w:rsidRPr="00C36846">
        <w:rPr>
          <w:rFonts w:ascii="Arial" w:hAnsi="Arial" w:cs="Arial"/>
          <w:sz w:val="24"/>
          <w:szCs w:val="24"/>
        </w:rPr>
        <w:t>COSTA, FERNANDO NOGUEIRA</w:t>
      </w:r>
      <w:r w:rsidRPr="00C36846">
        <w:rPr>
          <w:sz w:val="24"/>
          <w:szCs w:val="24"/>
        </w:rPr>
        <w:t> </w:t>
      </w:r>
      <w:r w:rsidRPr="00C36846">
        <w:rPr>
          <w:rFonts w:ascii="Arial" w:hAnsi="Arial" w:cs="Arial"/>
          <w:sz w:val="24"/>
          <w:szCs w:val="24"/>
        </w:rPr>
        <w:t xml:space="preserve">– Decisão – </w:t>
      </w:r>
      <w:proofErr w:type="spellStart"/>
      <w:r w:rsidRPr="00C36846">
        <w:rPr>
          <w:rFonts w:ascii="Arial" w:hAnsi="Arial" w:cs="Arial"/>
          <w:sz w:val="24"/>
          <w:szCs w:val="24"/>
        </w:rPr>
        <w:t>Finance</w:t>
      </w:r>
      <w:proofErr w:type="spellEnd"/>
      <w:r w:rsidRPr="00C36846">
        <w:rPr>
          <w:rFonts w:ascii="Arial" w:hAnsi="Arial" w:cs="Arial"/>
          <w:sz w:val="24"/>
          <w:szCs w:val="24"/>
        </w:rPr>
        <w:t xml:space="preserve"> – Investimento – Renda – Aplicações – </w:t>
      </w:r>
      <w:proofErr w:type="spellStart"/>
      <w:r w:rsidRPr="00C36846">
        <w:rPr>
          <w:rFonts w:ascii="Arial" w:hAnsi="Arial" w:cs="Arial"/>
          <w:sz w:val="24"/>
          <w:szCs w:val="24"/>
        </w:rPr>
        <w:t>Funding</w:t>
      </w:r>
      <w:proofErr w:type="spellEnd"/>
      <w:r w:rsidR="004A15E7">
        <w:rPr>
          <w:rFonts w:ascii="Arial" w:hAnsi="Arial" w:cs="Arial"/>
          <w:sz w:val="24"/>
          <w:szCs w:val="24"/>
        </w:rPr>
        <w:t xml:space="preserve"> </w:t>
      </w:r>
      <w:r w:rsidR="00A3485F">
        <w:rPr>
          <w:rFonts w:ascii="Arial" w:hAnsi="Arial" w:cs="Arial"/>
          <w:sz w:val="24"/>
          <w:szCs w:val="24"/>
        </w:rPr>
        <w:t xml:space="preserve">CARDIM </w:t>
      </w:r>
      <w:proofErr w:type="spellStart"/>
      <w:proofErr w:type="gramStart"/>
      <w:r w:rsidR="00A3485F">
        <w:rPr>
          <w:rFonts w:ascii="Arial" w:hAnsi="Arial" w:cs="Arial"/>
          <w:sz w:val="24"/>
          <w:szCs w:val="24"/>
        </w:rPr>
        <w:t>et</w:t>
      </w:r>
      <w:proofErr w:type="spellEnd"/>
      <w:proofErr w:type="gramEnd"/>
      <w:r w:rsidR="00A3485F">
        <w:rPr>
          <w:rFonts w:ascii="Arial" w:hAnsi="Arial" w:cs="Arial"/>
          <w:sz w:val="24"/>
          <w:szCs w:val="24"/>
        </w:rPr>
        <w:t xml:space="preserve"> </w:t>
      </w:r>
      <w:proofErr w:type="spellStart"/>
      <w:r w:rsidR="00A3485F">
        <w:rPr>
          <w:rFonts w:ascii="Arial" w:hAnsi="Arial" w:cs="Arial"/>
          <w:sz w:val="24"/>
          <w:szCs w:val="24"/>
        </w:rPr>
        <w:t>all</w:t>
      </w:r>
      <w:proofErr w:type="spellEnd"/>
      <w:r w:rsidR="00A3485F">
        <w:rPr>
          <w:rFonts w:ascii="Arial" w:hAnsi="Arial" w:cs="Arial"/>
          <w:sz w:val="24"/>
          <w:szCs w:val="24"/>
        </w:rPr>
        <w:t xml:space="preserve"> - </w:t>
      </w:r>
      <w:r w:rsidR="00A3485F" w:rsidRPr="00A3485F">
        <w:rPr>
          <w:rFonts w:ascii="Arial" w:hAnsi="Arial" w:cs="Arial"/>
          <w:sz w:val="24"/>
          <w:szCs w:val="24"/>
        </w:rPr>
        <w:t>FINANCIAMENTO DO INVESTIMENTO</w:t>
      </w:r>
      <w:r w:rsidR="00A3485F">
        <w:rPr>
          <w:rFonts w:ascii="Arial" w:hAnsi="Arial" w:cs="Arial"/>
          <w:sz w:val="24"/>
          <w:szCs w:val="24"/>
        </w:rPr>
        <w:t xml:space="preserve"> – Cap. 22</w:t>
      </w:r>
    </w:p>
    <w:sectPr w:rsidR="00A3485F" w:rsidRPr="00C36846" w:rsidSect="004775E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92908"/>
    <w:multiLevelType w:val="hybridMultilevel"/>
    <w:tmpl w:val="B202874E"/>
    <w:lvl w:ilvl="0" w:tplc="2B26B214">
      <w:start w:val="1"/>
      <w:numFmt w:val="decimal"/>
      <w:lvlText w:val="%1."/>
      <w:lvlJc w:val="left"/>
      <w:pPr>
        <w:ind w:left="720" w:hanging="360"/>
      </w:pPr>
      <w:rPr>
        <w:rFonts w:ascii="Arial" w:hAnsi="Arial" w:cs="Arial"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03C481A"/>
    <w:multiLevelType w:val="hybridMultilevel"/>
    <w:tmpl w:val="B202874E"/>
    <w:lvl w:ilvl="0" w:tplc="2B26B214">
      <w:start w:val="1"/>
      <w:numFmt w:val="decimal"/>
      <w:lvlText w:val="%1."/>
      <w:lvlJc w:val="left"/>
      <w:pPr>
        <w:ind w:left="720" w:hanging="360"/>
      </w:pPr>
      <w:rPr>
        <w:rFonts w:ascii="Arial" w:hAnsi="Arial" w:cs="Arial"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9D26CB"/>
    <w:rsid w:val="000022F0"/>
    <w:rsid w:val="00033D5E"/>
    <w:rsid w:val="0009135D"/>
    <w:rsid w:val="000D72DD"/>
    <w:rsid w:val="001E7572"/>
    <w:rsid w:val="002F3E27"/>
    <w:rsid w:val="00354EE6"/>
    <w:rsid w:val="00360838"/>
    <w:rsid w:val="00372090"/>
    <w:rsid w:val="00462608"/>
    <w:rsid w:val="004775E2"/>
    <w:rsid w:val="00495EF7"/>
    <w:rsid w:val="004A15E7"/>
    <w:rsid w:val="004F6414"/>
    <w:rsid w:val="0052437A"/>
    <w:rsid w:val="0053413A"/>
    <w:rsid w:val="00575BB7"/>
    <w:rsid w:val="005B3B41"/>
    <w:rsid w:val="0062337D"/>
    <w:rsid w:val="00657316"/>
    <w:rsid w:val="006B49AC"/>
    <w:rsid w:val="00725CA8"/>
    <w:rsid w:val="007311D8"/>
    <w:rsid w:val="00772404"/>
    <w:rsid w:val="009B14F0"/>
    <w:rsid w:val="009D26CB"/>
    <w:rsid w:val="00A3485F"/>
    <w:rsid w:val="00A4256A"/>
    <w:rsid w:val="00B63997"/>
    <w:rsid w:val="00BE1512"/>
    <w:rsid w:val="00C201E3"/>
    <w:rsid w:val="00C36846"/>
    <w:rsid w:val="00C62EBE"/>
    <w:rsid w:val="00D65214"/>
    <w:rsid w:val="00E42536"/>
    <w:rsid w:val="00F7560A"/>
    <w:rsid w:val="00FE4D2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5E2"/>
  </w:style>
  <w:style w:type="paragraph" w:styleId="Ttulo6">
    <w:name w:val="heading 6"/>
    <w:basedOn w:val="Normal"/>
    <w:next w:val="Normal"/>
    <w:link w:val="Ttulo6Char"/>
    <w:qFormat/>
    <w:rsid w:val="006B49AC"/>
    <w:pPr>
      <w:keepNext/>
      <w:tabs>
        <w:tab w:val="left" w:pos="284"/>
        <w:tab w:val="left" w:pos="426"/>
      </w:tabs>
      <w:spacing w:after="0" w:line="360" w:lineRule="auto"/>
      <w:jc w:val="center"/>
      <w:outlineLvl w:val="5"/>
    </w:pPr>
    <w:rPr>
      <w:rFonts w:ascii="Courier New" w:eastAsia="Times New Roman" w:hAnsi="Courier New"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D26C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D26CB"/>
  </w:style>
  <w:style w:type="paragraph" w:styleId="PargrafodaLista">
    <w:name w:val="List Paragraph"/>
    <w:basedOn w:val="Normal"/>
    <w:uiPriority w:val="34"/>
    <w:qFormat/>
    <w:rsid w:val="00657316"/>
    <w:pPr>
      <w:ind w:left="720"/>
      <w:contextualSpacing/>
    </w:pPr>
  </w:style>
  <w:style w:type="character" w:customStyle="1" w:styleId="Ttulo6Char">
    <w:name w:val="Título 6 Char"/>
    <w:basedOn w:val="Fontepargpadro"/>
    <w:link w:val="Ttulo6"/>
    <w:rsid w:val="006B49AC"/>
    <w:rPr>
      <w:rFonts w:ascii="Courier New" w:eastAsia="Times New Roman" w:hAnsi="Courier New" w:cs="Times New Roman"/>
      <w:b/>
      <w:szCs w:val="20"/>
      <w:lang w:eastAsia="pt-BR"/>
    </w:rPr>
  </w:style>
  <w:style w:type="paragraph" w:styleId="Cabealho">
    <w:name w:val="header"/>
    <w:basedOn w:val="Normal"/>
    <w:link w:val="CabealhoChar"/>
    <w:rsid w:val="006B49AC"/>
    <w:pPr>
      <w:tabs>
        <w:tab w:val="center" w:pos="4320"/>
        <w:tab w:val="right" w:pos="8640"/>
      </w:tabs>
      <w:spacing w:after="0" w:line="240" w:lineRule="auto"/>
    </w:pPr>
    <w:rPr>
      <w:rFonts w:ascii="Times New Roman" w:eastAsia="Times New Roman" w:hAnsi="Times New Roman" w:cs="Times New Roman"/>
      <w:sz w:val="24"/>
      <w:szCs w:val="20"/>
      <w:lang w:eastAsia="pt-BR"/>
    </w:rPr>
  </w:style>
  <w:style w:type="character" w:customStyle="1" w:styleId="CabealhoChar">
    <w:name w:val="Cabeçalho Char"/>
    <w:basedOn w:val="Fontepargpadro"/>
    <w:link w:val="Cabealho"/>
    <w:rsid w:val="006B49AC"/>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52437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2437A"/>
    <w:rPr>
      <w:rFonts w:ascii="Tahoma" w:hAnsi="Tahoma" w:cs="Tahoma"/>
      <w:sz w:val="16"/>
      <w:szCs w:val="16"/>
    </w:rPr>
  </w:style>
  <w:style w:type="character" w:styleId="Refdenotaderodap">
    <w:name w:val="footnote reference"/>
    <w:basedOn w:val="Fontepargpadro"/>
    <w:uiPriority w:val="99"/>
    <w:semiHidden/>
    <w:unhideWhenUsed/>
    <w:rsid w:val="00C36846"/>
  </w:style>
</w:styles>
</file>

<file path=word/webSettings.xml><?xml version="1.0" encoding="utf-8"?>
<w:webSettings xmlns:r="http://schemas.openxmlformats.org/officeDocument/2006/relationships" xmlns:w="http://schemas.openxmlformats.org/wordprocessingml/2006/main">
  <w:divs>
    <w:div w:id="770663552">
      <w:bodyDiv w:val="1"/>
      <w:marLeft w:val="0"/>
      <w:marRight w:val="0"/>
      <w:marTop w:val="0"/>
      <w:marBottom w:val="0"/>
      <w:divBdr>
        <w:top w:val="none" w:sz="0" w:space="0" w:color="auto"/>
        <w:left w:val="none" w:sz="0" w:space="0" w:color="auto"/>
        <w:bottom w:val="none" w:sz="0" w:space="0" w:color="auto"/>
        <w:right w:val="none" w:sz="0" w:space="0" w:color="auto"/>
      </w:divBdr>
    </w:div>
    <w:div w:id="1776557714">
      <w:bodyDiv w:val="1"/>
      <w:marLeft w:val="0"/>
      <w:marRight w:val="0"/>
      <w:marTop w:val="0"/>
      <w:marBottom w:val="0"/>
      <w:divBdr>
        <w:top w:val="none" w:sz="0" w:space="0" w:color="auto"/>
        <w:left w:val="none" w:sz="0" w:space="0" w:color="auto"/>
        <w:bottom w:val="none" w:sz="0" w:space="0" w:color="auto"/>
        <w:right w:val="none" w:sz="0" w:space="0" w:color="auto"/>
      </w:divBdr>
      <w:divsChild>
        <w:div w:id="1843272629">
          <w:marLeft w:val="0"/>
          <w:marRight w:val="0"/>
          <w:marTop w:val="120"/>
          <w:marBottom w:val="120"/>
          <w:divBdr>
            <w:top w:val="none" w:sz="0" w:space="0" w:color="auto"/>
            <w:left w:val="none" w:sz="0" w:space="0" w:color="auto"/>
            <w:bottom w:val="none" w:sz="0" w:space="0" w:color="auto"/>
            <w:right w:val="none" w:sz="0" w:space="0" w:color="auto"/>
          </w:divBdr>
        </w:div>
        <w:div w:id="1841772147">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6</Pages>
  <Words>836</Words>
  <Characters>4516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NATY</dc:creator>
  <cp:lastModifiedBy>NATALIA</cp:lastModifiedBy>
  <cp:revision>22</cp:revision>
  <dcterms:created xsi:type="dcterms:W3CDTF">2014-05-28T23:44:00Z</dcterms:created>
  <dcterms:modified xsi:type="dcterms:W3CDTF">2017-07-25T14:53:00Z</dcterms:modified>
</cp:coreProperties>
</file>