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E7" w:rsidRPr="00DB5394" w:rsidRDefault="00BF2870" w:rsidP="0095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394">
        <w:rPr>
          <w:rFonts w:ascii="Times New Roman" w:hAnsi="Times New Roman" w:cs="Times New Roman"/>
          <w:b/>
          <w:sz w:val="24"/>
          <w:szCs w:val="24"/>
        </w:rPr>
        <w:t xml:space="preserve">FICHAMENTO DO </w:t>
      </w:r>
      <w:r w:rsidR="00D327F7" w:rsidRPr="00DB5394">
        <w:rPr>
          <w:rFonts w:ascii="Times New Roman" w:hAnsi="Times New Roman" w:cs="Times New Roman"/>
          <w:b/>
          <w:sz w:val="24"/>
          <w:szCs w:val="24"/>
        </w:rPr>
        <w:t xml:space="preserve">TEXTO </w:t>
      </w:r>
      <w:r w:rsidR="00BF2F00">
        <w:rPr>
          <w:rFonts w:ascii="Times New Roman" w:hAnsi="Times New Roman" w:cs="Times New Roman"/>
          <w:b/>
          <w:sz w:val="24"/>
          <w:szCs w:val="24"/>
        </w:rPr>
        <w:t>4</w:t>
      </w:r>
      <w:r w:rsidR="00D327F7" w:rsidRPr="00DB5394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52D3B" w:rsidRPr="00DB5394" w:rsidRDefault="00BF2870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Dérick Macêdo Silva</w:t>
      </w:r>
      <w:r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FD7ADD" w:rsidRPr="00DB5394" w:rsidRDefault="00FD7ADD" w:rsidP="00BF28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2870" w:rsidRPr="00DB5394" w:rsidRDefault="00A81877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</w:t>
      </w:r>
      <w:r w:rsidR="005B16B8">
        <w:rPr>
          <w:rFonts w:ascii="Times New Roman" w:hAnsi="Times New Roman" w:cs="Times New Roman"/>
          <w:sz w:val="24"/>
          <w:szCs w:val="24"/>
        </w:rPr>
        <w:t xml:space="preserve"> </w:t>
      </w:r>
      <w:r w:rsidR="001602F2">
        <w:rPr>
          <w:rFonts w:ascii="Times New Roman" w:hAnsi="Times New Roman" w:cs="Times New Roman"/>
          <w:sz w:val="24"/>
          <w:szCs w:val="24"/>
        </w:rPr>
        <w:t>O instituto da</w:t>
      </w:r>
      <w:r w:rsidR="005B16B8">
        <w:rPr>
          <w:rFonts w:ascii="Times New Roman" w:hAnsi="Times New Roman" w:cs="Times New Roman"/>
          <w:sz w:val="24"/>
          <w:szCs w:val="24"/>
        </w:rPr>
        <w:t xml:space="preserve"> reclamação dirigida para o STF nem sempre teve a </w:t>
      </w:r>
      <w:r w:rsidR="009F47D5">
        <w:rPr>
          <w:rFonts w:ascii="Times New Roman" w:hAnsi="Times New Roman" w:cs="Times New Roman"/>
          <w:i/>
          <w:sz w:val="24"/>
          <w:szCs w:val="24"/>
        </w:rPr>
        <w:t>status</w:t>
      </w:r>
      <w:r w:rsidR="005B16B8">
        <w:rPr>
          <w:rFonts w:ascii="Times New Roman" w:hAnsi="Times New Roman" w:cs="Times New Roman"/>
          <w:sz w:val="24"/>
          <w:szCs w:val="24"/>
        </w:rPr>
        <w:t xml:space="preserve"> que hoje possui e nem sempre foi aceit</w:t>
      </w:r>
      <w:r w:rsidR="004603A3">
        <w:rPr>
          <w:rFonts w:ascii="Times New Roman" w:hAnsi="Times New Roman" w:cs="Times New Roman"/>
          <w:sz w:val="24"/>
          <w:szCs w:val="24"/>
        </w:rPr>
        <w:t>o</w:t>
      </w:r>
      <w:r w:rsidR="005B16B8">
        <w:rPr>
          <w:rFonts w:ascii="Times New Roman" w:hAnsi="Times New Roman" w:cs="Times New Roman"/>
          <w:sz w:val="24"/>
          <w:szCs w:val="24"/>
        </w:rPr>
        <w:t xml:space="preserve"> do modo pacífico que hoje é</w:t>
      </w:r>
      <w:r w:rsidR="009F47D5">
        <w:rPr>
          <w:rFonts w:ascii="Times New Roman" w:hAnsi="Times New Roman" w:cs="Times New Roman"/>
          <w:sz w:val="24"/>
          <w:szCs w:val="24"/>
        </w:rPr>
        <w:t xml:space="preserve">. </w:t>
      </w:r>
      <w:r w:rsidR="00B44118">
        <w:rPr>
          <w:rFonts w:ascii="Times New Roman" w:hAnsi="Times New Roman" w:cs="Times New Roman"/>
          <w:sz w:val="24"/>
          <w:szCs w:val="24"/>
        </w:rPr>
        <w:t xml:space="preserve">Antes </w:t>
      </w:r>
      <w:r w:rsidR="006A2ACC">
        <w:rPr>
          <w:rFonts w:ascii="Times New Roman" w:hAnsi="Times New Roman" w:cs="Times New Roman"/>
          <w:sz w:val="24"/>
          <w:szCs w:val="24"/>
        </w:rPr>
        <w:t>sequer</w:t>
      </w:r>
      <w:r w:rsidR="00B44118">
        <w:rPr>
          <w:rFonts w:ascii="Times New Roman" w:hAnsi="Times New Roman" w:cs="Times New Roman"/>
          <w:sz w:val="24"/>
          <w:szCs w:val="24"/>
        </w:rPr>
        <w:t xml:space="preserve"> era prevista, </w:t>
      </w:r>
      <w:r w:rsidR="001602F2">
        <w:rPr>
          <w:rFonts w:ascii="Times New Roman" w:hAnsi="Times New Roman" w:cs="Times New Roman"/>
          <w:sz w:val="24"/>
          <w:szCs w:val="24"/>
        </w:rPr>
        <w:t>tratando-se</w:t>
      </w:r>
      <w:r w:rsidR="00B44118">
        <w:rPr>
          <w:rFonts w:ascii="Times New Roman" w:hAnsi="Times New Roman" w:cs="Times New Roman"/>
          <w:sz w:val="24"/>
          <w:szCs w:val="24"/>
        </w:rPr>
        <w:t xml:space="preserve"> uma construção jurisprudencial. Todavia, c</w:t>
      </w:r>
      <w:r w:rsidR="009F47D5">
        <w:rPr>
          <w:rFonts w:ascii="Times New Roman" w:hAnsi="Times New Roman" w:cs="Times New Roman"/>
          <w:sz w:val="24"/>
          <w:szCs w:val="24"/>
        </w:rPr>
        <w:t>om</w:t>
      </w:r>
      <w:r w:rsidR="005B16B8">
        <w:rPr>
          <w:rFonts w:ascii="Times New Roman" w:hAnsi="Times New Roman" w:cs="Times New Roman"/>
          <w:sz w:val="24"/>
          <w:szCs w:val="24"/>
        </w:rPr>
        <w:t xml:space="preserve"> o advento d</w:t>
      </w:r>
      <w:r w:rsidR="009F47D5">
        <w:rPr>
          <w:rFonts w:ascii="Times New Roman" w:hAnsi="Times New Roman" w:cs="Times New Roman"/>
          <w:sz w:val="24"/>
          <w:szCs w:val="24"/>
        </w:rPr>
        <w:t xml:space="preserve">a atual constituição (CF/88), </w:t>
      </w:r>
      <w:r w:rsidR="005B16B8">
        <w:rPr>
          <w:rFonts w:ascii="Times New Roman" w:hAnsi="Times New Roman" w:cs="Times New Roman"/>
          <w:sz w:val="24"/>
          <w:szCs w:val="24"/>
        </w:rPr>
        <w:t xml:space="preserve">adquiriu o </w:t>
      </w:r>
      <w:r w:rsidR="005B16B8">
        <w:rPr>
          <w:rFonts w:ascii="Times New Roman" w:hAnsi="Times New Roman" w:cs="Times New Roman"/>
          <w:i/>
          <w:sz w:val="24"/>
          <w:szCs w:val="24"/>
        </w:rPr>
        <w:t>status</w:t>
      </w:r>
      <w:r w:rsidR="005B16B8">
        <w:rPr>
          <w:rFonts w:ascii="Times New Roman" w:hAnsi="Times New Roman" w:cs="Times New Roman"/>
          <w:sz w:val="24"/>
          <w:szCs w:val="24"/>
        </w:rPr>
        <w:t xml:space="preserve"> de competência constitucional e cabimento não apenas para o STF, mas também para o STJ, devendo-se observar </w:t>
      </w:r>
      <w:r w:rsidR="002B55D4">
        <w:rPr>
          <w:rFonts w:ascii="Times New Roman" w:hAnsi="Times New Roman" w:cs="Times New Roman"/>
          <w:sz w:val="24"/>
          <w:szCs w:val="24"/>
        </w:rPr>
        <w:t>determinados requisitos para que se saiba para qual corte deverá ser direcionada.</w:t>
      </w:r>
      <w:proofErr w:type="gramStart"/>
      <w:r w:rsidR="00D327F7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proofErr w:type="gramEnd"/>
    </w:p>
    <w:p w:rsidR="00150312" w:rsidRDefault="00150312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5394">
        <w:rPr>
          <w:rFonts w:ascii="Times New Roman" w:hAnsi="Times New Roman" w:cs="Times New Roman"/>
          <w:sz w:val="24"/>
          <w:szCs w:val="24"/>
        </w:rPr>
        <w:t>-</w:t>
      </w:r>
      <w:r w:rsidR="005B16B8">
        <w:rPr>
          <w:rFonts w:ascii="Times New Roman" w:hAnsi="Times New Roman" w:cs="Times New Roman"/>
          <w:sz w:val="24"/>
          <w:szCs w:val="24"/>
        </w:rPr>
        <w:t xml:space="preserve"> </w:t>
      </w:r>
      <w:r w:rsidR="00735C4A">
        <w:rPr>
          <w:rFonts w:ascii="Times New Roman" w:hAnsi="Times New Roman" w:cs="Times New Roman"/>
          <w:sz w:val="24"/>
          <w:szCs w:val="24"/>
        </w:rPr>
        <w:t>A natureza jurídica desse instituto sempre trouxe controvérsias. Uns o veem como remédio processual</w:t>
      </w:r>
      <w:r w:rsidR="00735C4A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735C4A">
        <w:rPr>
          <w:rFonts w:ascii="Times New Roman" w:hAnsi="Times New Roman" w:cs="Times New Roman"/>
          <w:sz w:val="24"/>
          <w:szCs w:val="24"/>
        </w:rPr>
        <w:t>, outros como incidente processual</w:t>
      </w:r>
      <w:r w:rsidR="00735C4A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735C4A">
        <w:rPr>
          <w:rFonts w:ascii="Times New Roman" w:hAnsi="Times New Roman" w:cs="Times New Roman"/>
          <w:sz w:val="24"/>
          <w:szCs w:val="24"/>
        </w:rPr>
        <w:t>, outros como recurso</w:t>
      </w:r>
      <w:r w:rsidR="00735C4A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735C4A">
        <w:rPr>
          <w:rFonts w:ascii="Times New Roman" w:hAnsi="Times New Roman" w:cs="Times New Roman"/>
          <w:sz w:val="24"/>
          <w:szCs w:val="24"/>
        </w:rPr>
        <w:t>. Entretanto, a posição majoritária vê sua natureza jurídica como ação propriamente dita</w:t>
      </w:r>
      <w:r w:rsidR="00380DF6">
        <w:rPr>
          <w:rFonts w:ascii="Times New Roman" w:hAnsi="Times New Roman" w:cs="Times New Roman"/>
          <w:sz w:val="24"/>
          <w:szCs w:val="24"/>
        </w:rPr>
        <w:t>, pois há: (i) possibilidade de provocação da jurisdição; (</w:t>
      </w:r>
      <w:proofErr w:type="spellStart"/>
      <w:proofErr w:type="gramStart"/>
      <w:r w:rsidR="00380DF6">
        <w:rPr>
          <w:rFonts w:ascii="Times New Roman" w:hAnsi="Times New Roman" w:cs="Times New Roman"/>
          <w:sz w:val="24"/>
          <w:szCs w:val="24"/>
        </w:rPr>
        <w:t>ii</w:t>
      </w:r>
      <w:proofErr w:type="spellEnd"/>
      <w:proofErr w:type="gramEnd"/>
      <w:r w:rsidR="00380DF6">
        <w:rPr>
          <w:rFonts w:ascii="Times New Roman" w:hAnsi="Times New Roman" w:cs="Times New Roman"/>
          <w:sz w:val="24"/>
          <w:szCs w:val="24"/>
        </w:rPr>
        <w:t>) formulação de pedido de tutela jurisdicional,</w:t>
      </w:r>
      <w:r w:rsidR="00B33CF6">
        <w:rPr>
          <w:rFonts w:ascii="Times New Roman" w:hAnsi="Times New Roman" w:cs="Times New Roman"/>
          <w:sz w:val="24"/>
          <w:szCs w:val="24"/>
        </w:rPr>
        <w:t xml:space="preserve"> que basicamente</w:t>
      </w:r>
      <w:r w:rsidR="005F09A6">
        <w:rPr>
          <w:rFonts w:ascii="Times New Roman" w:hAnsi="Times New Roman" w:cs="Times New Roman"/>
          <w:sz w:val="24"/>
          <w:szCs w:val="24"/>
        </w:rPr>
        <w:t xml:space="preserve"> consiste </w:t>
      </w:r>
      <w:r w:rsidR="00B33CF6">
        <w:rPr>
          <w:rFonts w:ascii="Times New Roman" w:hAnsi="Times New Roman" w:cs="Times New Roman"/>
          <w:sz w:val="24"/>
          <w:szCs w:val="24"/>
        </w:rPr>
        <w:t xml:space="preserve">no objeto da relação, quer dizer, </w:t>
      </w:r>
      <w:r w:rsidR="005F09A6">
        <w:rPr>
          <w:rFonts w:ascii="Times New Roman" w:hAnsi="Times New Roman" w:cs="Times New Roman"/>
          <w:sz w:val="24"/>
          <w:szCs w:val="24"/>
        </w:rPr>
        <w:t>na preservação da competência do STF ou em garantir suas decisões,</w:t>
      </w:r>
      <w:r w:rsidR="00380DF6">
        <w:rPr>
          <w:rFonts w:ascii="Times New Roman" w:hAnsi="Times New Roman" w:cs="Times New Roman"/>
          <w:sz w:val="24"/>
          <w:szCs w:val="24"/>
        </w:rPr>
        <w:t xml:space="preserve"> e</w:t>
      </w:r>
      <w:r w:rsidR="005F09A6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="005F09A6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5F09A6">
        <w:rPr>
          <w:rFonts w:ascii="Times New Roman" w:hAnsi="Times New Roman" w:cs="Times New Roman"/>
          <w:sz w:val="24"/>
          <w:szCs w:val="24"/>
        </w:rPr>
        <w:t>) uma lide a ser resolvida</w:t>
      </w:r>
      <w:r w:rsidR="00735C4A">
        <w:rPr>
          <w:rFonts w:ascii="Times New Roman" w:hAnsi="Times New Roman" w:cs="Times New Roman"/>
          <w:sz w:val="24"/>
          <w:szCs w:val="24"/>
        </w:rPr>
        <w:t>.</w:t>
      </w:r>
      <w:r w:rsidR="00C91B50" w:rsidRPr="00DB5394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D92E88" w:rsidRDefault="00AD21AC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Quando da busca pela garantia das decisões do STF por meio de reclamação, pode-se assim fazer </w:t>
      </w:r>
      <w:r w:rsidR="00125862">
        <w:rPr>
          <w:rFonts w:ascii="Times New Roman" w:hAnsi="Times New Roman" w:cs="Times New Roman"/>
          <w:sz w:val="24"/>
          <w:szCs w:val="24"/>
        </w:rPr>
        <w:t xml:space="preserve">não apenas </w:t>
      </w:r>
      <w:r>
        <w:rPr>
          <w:rFonts w:ascii="Times New Roman" w:hAnsi="Times New Roman" w:cs="Times New Roman"/>
          <w:sz w:val="24"/>
          <w:szCs w:val="24"/>
        </w:rPr>
        <w:t>em razão de atos</w:t>
      </w:r>
      <w:r w:rsidR="00125862">
        <w:rPr>
          <w:rFonts w:ascii="Times New Roman" w:hAnsi="Times New Roman" w:cs="Times New Roman"/>
          <w:sz w:val="24"/>
          <w:szCs w:val="24"/>
        </w:rPr>
        <w:t xml:space="preserve"> judiciais</w:t>
      </w:r>
      <w:r>
        <w:rPr>
          <w:rFonts w:ascii="Times New Roman" w:hAnsi="Times New Roman" w:cs="Times New Roman"/>
          <w:sz w:val="24"/>
          <w:szCs w:val="24"/>
        </w:rPr>
        <w:t xml:space="preserve"> contrários a elas</w:t>
      </w:r>
      <w:r w:rsidR="00125862">
        <w:rPr>
          <w:rFonts w:ascii="Times New Roman" w:hAnsi="Times New Roman" w:cs="Times New Roman"/>
          <w:sz w:val="24"/>
          <w:szCs w:val="24"/>
        </w:rPr>
        <w:t>, mas também de atos da Administração Pública</w:t>
      </w:r>
      <w:r>
        <w:rPr>
          <w:rFonts w:ascii="Times New Roman" w:hAnsi="Times New Roman" w:cs="Times New Roman"/>
          <w:sz w:val="24"/>
          <w:szCs w:val="24"/>
        </w:rPr>
        <w:t>. Em outras palavras, pode-se ajuizar reclamação em razão de atos administrativos contrários às decisões do STF</w:t>
      </w:r>
      <w:r w:rsidR="00B473D0">
        <w:rPr>
          <w:rFonts w:ascii="Times New Roman" w:hAnsi="Times New Roman" w:cs="Times New Roman"/>
          <w:sz w:val="24"/>
          <w:szCs w:val="24"/>
        </w:rPr>
        <w:t xml:space="preserve"> ainda que no âmbito administrativo,</w:t>
      </w:r>
      <w:r>
        <w:rPr>
          <w:rFonts w:ascii="Times New Roman" w:hAnsi="Times New Roman" w:cs="Times New Roman"/>
          <w:sz w:val="24"/>
          <w:szCs w:val="24"/>
        </w:rPr>
        <w:t xml:space="preserve"> sendo tal fato possível desde a Emenda Constitucional n. 45/2004.</w:t>
      </w:r>
      <w:r w:rsidR="00B473D0">
        <w:rPr>
          <w:rFonts w:ascii="Times New Roman" w:hAnsi="Times New Roman" w:cs="Times New Roman"/>
          <w:sz w:val="24"/>
          <w:szCs w:val="24"/>
        </w:rPr>
        <w:t xml:space="preserve"> Obviamente que a Administração </w:t>
      </w:r>
      <w:r w:rsidR="00821C80">
        <w:rPr>
          <w:rFonts w:ascii="Times New Roman" w:hAnsi="Times New Roman" w:cs="Times New Roman"/>
          <w:sz w:val="24"/>
          <w:szCs w:val="24"/>
        </w:rPr>
        <w:t xml:space="preserve">não possui capacidade para, de um dia para o outro, ver os atos contrários às decisões eliminados e isso requer um pouco de paciência e de tempo para que não se assoberbe o STF com reclamações. </w:t>
      </w:r>
      <w:r w:rsidR="003277B8">
        <w:rPr>
          <w:rFonts w:ascii="Times New Roman" w:hAnsi="Times New Roman" w:cs="Times New Roman"/>
          <w:sz w:val="24"/>
          <w:szCs w:val="24"/>
        </w:rPr>
        <w:t xml:space="preserve">Deverá adotar medidas de organização e procedimentos para tanto. </w:t>
      </w:r>
      <w:r w:rsidR="00821C80">
        <w:rPr>
          <w:rFonts w:ascii="Times New Roman" w:hAnsi="Times New Roman" w:cs="Times New Roman"/>
          <w:sz w:val="24"/>
          <w:szCs w:val="24"/>
        </w:rPr>
        <w:t xml:space="preserve">Todavia, uma vez não </w:t>
      </w:r>
      <w:r w:rsidR="00821C80">
        <w:rPr>
          <w:rFonts w:ascii="Times New Roman" w:hAnsi="Times New Roman" w:cs="Times New Roman"/>
          <w:sz w:val="24"/>
          <w:szCs w:val="24"/>
        </w:rPr>
        <w:lastRenderedPageBreak/>
        <w:t>eliminados tais atos em tempo hábil e/ou sem que haja prejuízos a alguém</w:t>
      </w:r>
      <w:r w:rsidR="00962F88">
        <w:rPr>
          <w:rFonts w:ascii="Times New Roman" w:hAnsi="Times New Roman" w:cs="Times New Roman"/>
          <w:sz w:val="24"/>
          <w:szCs w:val="24"/>
        </w:rPr>
        <w:t>, por exemplo</w:t>
      </w:r>
      <w:r w:rsidR="00821C80">
        <w:rPr>
          <w:rFonts w:ascii="Times New Roman" w:hAnsi="Times New Roman" w:cs="Times New Roman"/>
          <w:sz w:val="24"/>
          <w:szCs w:val="24"/>
        </w:rPr>
        <w:t>, nada impede que tais reclamações sejam ajuizadas.</w:t>
      </w:r>
      <w:proofErr w:type="gramStart"/>
      <w:r w:rsidR="00821C80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proofErr w:type="gramEnd"/>
    </w:p>
    <w:p w:rsidR="00D92E88" w:rsidRDefault="004603A3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Afirmou-se que o instituto nem </w:t>
      </w:r>
      <w:r>
        <w:rPr>
          <w:rFonts w:ascii="Times New Roman" w:hAnsi="Times New Roman" w:cs="Times New Roman"/>
          <w:sz w:val="24"/>
          <w:szCs w:val="24"/>
        </w:rPr>
        <w:t>sempre foi aceito do modo pacífico que hoje é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49A">
        <w:rPr>
          <w:rFonts w:ascii="Times New Roman" w:hAnsi="Times New Roman" w:cs="Times New Roman"/>
          <w:sz w:val="24"/>
          <w:szCs w:val="24"/>
        </w:rPr>
        <w:t xml:space="preserve"> Antes, ele não era admitido quando do processo de controle abstrato de normas. Todavia, com a Emenda Constitucional n. 3/93 e com a Emenda Constitucional n. 45/2004, reconheceu-se expressamente seu cabimento no tocante à ação declaratória de constitucionalidade e à ação direta de inconstitucionalidade, respectivamente.</w:t>
      </w:r>
      <w:proofErr w:type="gramStart"/>
      <w:r w:rsidR="008C149A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proofErr w:type="gramEnd"/>
    </w:p>
    <w:p w:rsidR="00D92E88" w:rsidRPr="008324C6" w:rsidRDefault="008324C6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É possível ainda o ajuizamento de reclamação a fim de ver preservada a cautelar concedida em ação direita de inconstitucionalidade ou ação declaratória de constitucionalidade. Em razão dos objetivos e importância de ambas as ações, seus decisões possui caráter </w:t>
      </w:r>
      <w:r>
        <w:rPr>
          <w:rFonts w:ascii="Times New Roman" w:hAnsi="Times New Roman" w:cs="Times New Roman"/>
          <w:i/>
          <w:sz w:val="24"/>
          <w:szCs w:val="24"/>
        </w:rPr>
        <w:t>erga omnes</w:t>
      </w:r>
      <w:r w:rsidR="00D57E2C">
        <w:rPr>
          <w:rFonts w:ascii="Times New Roman" w:hAnsi="Times New Roman" w:cs="Times New Roman"/>
          <w:sz w:val="24"/>
          <w:szCs w:val="24"/>
        </w:rPr>
        <w:t xml:space="preserve"> e efeito vinculante, isto é, produz</w:t>
      </w:r>
      <w:r>
        <w:rPr>
          <w:rFonts w:ascii="Times New Roman" w:hAnsi="Times New Roman" w:cs="Times New Roman"/>
          <w:sz w:val="24"/>
          <w:szCs w:val="24"/>
        </w:rPr>
        <w:t xml:space="preserve"> eficácia em relação a todos, incluindo suas decisões em sede de liminar. Assim, estando-se diante de eventual desrespeito </w:t>
      </w:r>
      <w:r w:rsidR="005B0B0E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decisão </w:t>
      </w:r>
      <w:r w:rsidR="005B0B0E">
        <w:rPr>
          <w:rFonts w:ascii="Times New Roman" w:hAnsi="Times New Roman" w:cs="Times New Roman"/>
          <w:sz w:val="24"/>
          <w:szCs w:val="24"/>
        </w:rPr>
        <w:t xml:space="preserve">concessiva de </w:t>
      </w:r>
      <w:r>
        <w:rPr>
          <w:rFonts w:ascii="Times New Roman" w:hAnsi="Times New Roman" w:cs="Times New Roman"/>
          <w:sz w:val="24"/>
          <w:szCs w:val="24"/>
        </w:rPr>
        <w:t>liminar e atendendo demais requisitos, é possível o ajuizamento de reclamação</w:t>
      </w:r>
      <w:r w:rsidR="005B0B0E">
        <w:rPr>
          <w:rFonts w:ascii="Times New Roman" w:hAnsi="Times New Roman" w:cs="Times New Roman"/>
          <w:sz w:val="24"/>
          <w:szCs w:val="24"/>
        </w:rPr>
        <w:t xml:space="preserve"> a fim de ver garantida esta decisão.</w:t>
      </w:r>
      <w:proofErr w:type="gramStart"/>
      <w:r w:rsidR="00D57E2C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proofErr w:type="gramEnd"/>
    </w:p>
    <w:p w:rsidR="00D92E88" w:rsidRDefault="00D57E2C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raciocínio exposto no tópico anterior é o mesmo no que diz respeito às decisões proferidas em mandado de injunção e em arguição de descumprimento de preceito fundamental. Em ambos os casos, as decisões</w:t>
      </w:r>
      <w:r w:rsidR="007F3300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possuem eficácia </w:t>
      </w:r>
      <w:r>
        <w:rPr>
          <w:rFonts w:ascii="Times New Roman" w:hAnsi="Times New Roman" w:cs="Times New Roman"/>
          <w:i/>
          <w:sz w:val="24"/>
          <w:szCs w:val="24"/>
        </w:rPr>
        <w:t>erga omnes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300">
        <w:rPr>
          <w:rFonts w:ascii="Times New Roman" w:hAnsi="Times New Roman" w:cs="Times New Roman"/>
          <w:sz w:val="24"/>
          <w:szCs w:val="24"/>
        </w:rPr>
        <w:t xml:space="preserve">e efeito vinculante </w:t>
      </w:r>
      <w:r>
        <w:rPr>
          <w:rFonts w:ascii="Times New Roman" w:hAnsi="Times New Roman" w:cs="Times New Roman"/>
          <w:sz w:val="24"/>
          <w:szCs w:val="24"/>
        </w:rPr>
        <w:t>e, portanto, é cabível a reclamação a fim de assegurar o respeito a elas</w:t>
      </w:r>
      <w:r w:rsidR="007F330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F3300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proofErr w:type="gramEnd"/>
    </w:p>
    <w:p w:rsidR="00F951E8" w:rsidRDefault="00F951E8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procedimento do instituto da reclamação é basicamente o mesmo do mandado de segurança, estando previsto nos artigos 156 a 162 do Regimento Interno do STF e nos artigo 13 a 18 da Lei n. 8.038/90. </w:t>
      </w:r>
      <w:r w:rsidR="00602B91">
        <w:rPr>
          <w:rFonts w:ascii="Times New Roman" w:hAnsi="Times New Roman" w:cs="Times New Roman"/>
          <w:sz w:val="24"/>
          <w:szCs w:val="24"/>
        </w:rPr>
        <w:t>Dentre o exposto nestes artigos, é válido trazer à tona que a reclamação d</w:t>
      </w:r>
      <w:r>
        <w:rPr>
          <w:rFonts w:ascii="Times New Roman" w:hAnsi="Times New Roman" w:cs="Times New Roman"/>
          <w:sz w:val="24"/>
          <w:szCs w:val="24"/>
        </w:rPr>
        <w:t>eve ser proposta pelo PGR ou por qualquer interessado (qualquer pessoa afetada pela decisão contrária à competência ou garantia do STF)</w:t>
      </w:r>
      <w:r w:rsidR="004D2C72">
        <w:rPr>
          <w:rFonts w:ascii="Times New Roman" w:hAnsi="Times New Roman" w:cs="Times New Roman"/>
          <w:sz w:val="24"/>
          <w:szCs w:val="24"/>
        </w:rPr>
        <w:t xml:space="preserve">, devendo-se </w:t>
      </w:r>
      <w:r w:rsidR="00AC6201">
        <w:rPr>
          <w:rFonts w:ascii="Times New Roman" w:hAnsi="Times New Roman" w:cs="Times New Roman"/>
          <w:sz w:val="24"/>
          <w:szCs w:val="24"/>
        </w:rPr>
        <w:t>abrir vistas para o chefe do MP neste último caso,</w:t>
      </w:r>
      <w:r>
        <w:rPr>
          <w:rFonts w:ascii="Times New Roman" w:hAnsi="Times New Roman" w:cs="Times New Roman"/>
          <w:sz w:val="24"/>
          <w:szCs w:val="24"/>
        </w:rPr>
        <w:t xml:space="preserve"> e, uma vez proposta, além de</w:t>
      </w:r>
      <w:r w:rsidR="00617B35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qualquer interessado poder em impugnar o pedido, o reclamado terá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(cinco) dias para prestar informações</w:t>
      </w:r>
      <w:r w:rsidR="00AC6201">
        <w:rPr>
          <w:rFonts w:ascii="Times New Roman" w:hAnsi="Times New Roman" w:cs="Times New Roman"/>
          <w:sz w:val="24"/>
          <w:szCs w:val="24"/>
        </w:rPr>
        <w:t>.</w:t>
      </w:r>
      <w:r w:rsidR="006812BB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bookmarkStart w:id="0" w:name="_GoBack"/>
      <w:bookmarkEnd w:id="0"/>
    </w:p>
    <w:p w:rsidR="00F951E8" w:rsidRDefault="00F951E8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51E8" w:rsidRDefault="00F951E8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51E8" w:rsidRPr="00D57E2C" w:rsidRDefault="00F951E8" w:rsidP="00D327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F951E8" w:rsidRPr="00D57E2C" w:rsidSect="00952D3B">
      <w:pgSz w:w="12240" w:h="15840" w:code="1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B5" w:rsidRDefault="00E221B5" w:rsidP="00BF2870">
      <w:pPr>
        <w:spacing w:after="0" w:line="240" w:lineRule="auto"/>
      </w:pPr>
      <w:r>
        <w:separator/>
      </w:r>
    </w:p>
  </w:endnote>
  <w:endnote w:type="continuationSeparator" w:id="0">
    <w:p w:rsidR="00E221B5" w:rsidRDefault="00E221B5" w:rsidP="00BF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B5" w:rsidRDefault="00E221B5" w:rsidP="00BF2870">
      <w:pPr>
        <w:spacing w:after="0" w:line="240" w:lineRule="auto"/>
      </w:pPr>
      <w:r>
        <w:separator/>
      </w:r>
    </w:p>
  </w:footnote>
  <w:footnote w:type="continuationSeparator" w:id="0">
    <w:p w:rsidR="00E221B5" w:rsidRDefault="00E221B5" w:rsidP="00BF2870">
      <w:pPr>
        <w:spacing w:after="0" w:line="240" w:lineRule="auto"/>
      </w:pPr>
      <w:r>
        <w:continuationSeparator/>
      </w:r>
    </w:p>
  </w:footnote>
  <w:footnote w:id="1">
    <w:p w:rsidR="00D327F7" w:rsidRPr="008C149A" w:rsidRDefault="00D327F7" w:rsidP="008C149A">
      <w:pPr>
        <w:pStyle w:val="Textodenotaderodap"/>
        <w:jc w:val="both"/>
        <w:rPr>
          <w:rFonts w:ascii="Times New Roman" w:hAnsi="Times New Roman" w:cs="Times New Roman"/>
        </w:rPr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Pr="008C149A">
        <w:rPr>
          <w:rFonts w:ascii="Times New Roman" w:hAnsi="Times New Roman" w:cs="Times New Roman"/>
        </w:rPr>
        <w:t xml:space="preserve"> Fichamento do texto:</w:t>
      </w:r>
      <w:r w:rsidR="00BF2F00" w:rsidRPr="008C149A">
        <w:rPr>
          <w:rFonts w:ascii="Times New Roman" w:hAnsi="Times New Roman" w:cs="Times New Roman"/>
        </w:rPr>
        <w:t xml:space="preserve"> MENDES, Gilmar; BRANCO, Paulo </w:t>
      </w:r>
      <w:proofErr w:type="spellStart"/>
      <w:r w:rsidR="00BF2F00" w:rsidRPr="008C149A">
        <w:rPr>
          <w:rFonts w:ascii="Times New Roman" w:hAnsi="Times New Roman" w:cs="Times New Roman"/>
        </w:rPr>
        <w:t>Gonet</w:t>
      </w:r>
      <w:proofErr w:type="spellEnd"/>
      <w:r w:rsidR="00BF2F00" w:rsidRPr="008C149A">
        <w:rPr>
          <w:rFonts w:ascii="Times New Roman" w:hAnsi="Times New Roman" w:cs="Times New Roman"/>
        </w:rPr>
        <w:t xml:space="preserve">. Curso de direito constitucional. São Paulo: </w:t>
      </w:r>
      <w:proofErr w:type="gramStart"/>
      <w:r w:rsidR="00BF2F00" w:rsidRPr="008C149A">
        <w:rPr>
          <w:rFonts w:ascii="Times New Roman" w:hAnsi="Times New Roman" w:cs="Times New Roman"/>
        </w:rPr>
        <w:t>Saraiva,</w:t>
      </w:r>
      <w:proofErr w:type="gramEnd"/>
      <w:r w:rsidR="00BF2F00" w:rsidRPr="008C149A">
        <w:rPr>
          <w:rFonts w:ascii="Times New Roman" w:hAnsi="Times New Roman" w:cs="Times New Roman"/>
        </w:rPr>
        <w:t xml:space="preserve"> 2015. </w:t>
      </w:r>
      <w:proofErr w:type="gramStart"/>
      <w:r w:rsidR="00BF2F00" w:rsidRPr="008C149A">
        <w:rPr>
          <w:rFonts w:ascii="Times New Roman" w:hAnsi="Times New Roman" w:cs="Times New Roman"/>
        </w:rPr>
        <w:t>p.</w:t>
      </w:r>
      <w:proofErr w:type="gramEnd"/>
      <w:r w:rsidR="00BF2F00" w:rsidRPr="008C149A">
        <w:rPr>
          <w:rFonts w:ascii="Times New Roman" w:hAnsi="Times New Roman" w:cs="Times New Roman"/>
        </w:rPr>
        <w:t xml:space="preserve"> 1350-1362 (Eficácia erga omnes, efeito vinculante da decisão e reclamação)</w:t>
      </w:r>
      <w:r w:rsidR="00201D27" w:rsidRPr="008C149A">
        <w:rPr>
          <w:rFonts w:ascii="Times New Roman" w:hAnsi="Times New Roman" w:cs="Times New Roman"/>
        </w:rPr>
        <w:t>,</w:t>
      </w:r>
      <w:r w:rsidR="00176377" w:rsidRPr="008C149A">
        <w:rPr>
          <w:rFonts w:ascii="Times New Roman" w:hAnsi="Times New Roman" w:cs="Times New Roman"/>
        </w:rPr>
        <w:t xml:space="preserve"> apresentado à Disciplina Processo Constitucional da Unidade de Ensino Superior Dom Bosco – UNDB;</w:t>
      </w:r>
    </w:p>
  </w:footnote>
  <w:footnote w:id="2">
    <w:p w:rsidR="00BF2870" w:rsidRPr="008C149A" w:rsidRDefault="00BF2870" w:rsidP="008C149A">
      <w:pPr>
        <w:pStyle w:val="Textodenotaderodap"/>
        <w:jc w:val="both"/>
        <w:rPr>
          <w:rFonts w:ascii="Times New Roman" w:hAnsi="Times New Roman" w:cs="Times New Roman"/>
        </w:rPr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Pr="008C149A">
        <w:rPr>
          <w:rFonts w:ascii="Times New Roman" w:hAnsi="Times New Roman" w:cs="Times New Roman"/>
        </w:rPr>
        <w:t xml:space="preserve"> Aluno da Disciplina </w:t>
      </w:r>
      <w:r w:rsidR="00D327F7" w:rsidRPr="008C149A">
        <w:rPr>
          <w:rFonts w:ascii="Times New Roman" w:hAnsi="Times New Roman" w:cs="Times New Roman"/>
        </w:rPr>
        <w:t>Processo Constitucional;</w:t>
      </w:r>
    </w:p>
  </w:footnote>
  <w:footnote w:id="3">
    <w:p w:rsidR="00D327F7" w:rsidRPr="008C149A" w:rsidRDefault="00D327F7" w:rsidP="008C149A">
      <w:pPr>
        <w:pStyle w:val="Textodenotaderodap"/>
        <w:jc w:val="both"/>
        <w:rPr>
          <w:rFonts w:ascii="Times New Roman" w:hAnsi="Times New Roman" w:cs="Times New Roman"/>
        </w:rPr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="00BF2F00" w:rsidRPr="008C149A">
        <w:rPr>
          <w:rFonts w:ascii="Times New Roman" w:hAnsi="Times New Roman" w:cs="Times New Roman"/>
        </w:rPr>
        <w:t xml:space="preserve"> </w:t>
      </w:r>
      <w:r w:rsidR="00BF2F00" w:rsidRPr="008C149A">
        <w:rPr>
          <w:rFonts w:ascii="Times New Roman" w:hAnsi="Times New Roman" w:cs="Times New Roman"/>
        </w:rPr>
        <w:t xml:space="preserve">MENDES, Gilmar; BRANCO, Paulo </w:t>
      </w:r>
      <w:proofErr w:type="spellStart"/>
      <w:r w:rsidR="00BF2F00" w:rsidRPr="008C149A">
        <w:rPr>
          <w:rFonts w:ascii="Times New Roman" w:hAnsi="Times New Roman" w:cs="Times New Roman"/>
        </w:rPr>
        <w:t>Gonet</w:t>
      </w:r>
      <w:proofErr w:type="spellEnd"/>
      <w:r w:rsidR="00BF2F00" w:rsidRPr="008C149A">
        <w:rPr>
          <w:rFonts w:ascii="Times New Roman" w:hAnsi="Times New Roman" w:cs="Times New Roman"/>
        </w:rPr>
        <w:t xml:space="preserve">. Curso de direito constitucional. São Paulo: </w:t>
      </w:r>
      <w:proofErr w:type="gramStart"/>
      <w:r w:rsidR="00BF2F00" w:rsidRPr="008C149A">
        <w:rPr>
          <w:rFonts w:ascii="Times New Roman" w:hAnsi="Times New Roman" w:cs="Times New Roman"/>
        </w:rPr>
        <w:t>Saraiva,</w:t>
      </w:r>
      <w:proofErr w:type="gramEnd"/>
      <w:r w:rsidR="00BF2F00" w:rsidRPr="008C149A">
        <w:rPr>
          <w:rFonts w:ascii="Times New Roman" w:hAnsi="Times New Roman" w:cs="Times New Roman"/>
        </w:rPr>
        <w:t xml:space="preserve"> 2015. </w:t>
      </w:r>
      <w:proofErr w:type="gramStart"/>
      <w:r w:rsidR="00BF2F00" w:rsidRPr="008C149A">
        <w:rPr>
          <w:rFonts w:ascii="Times New Roman" w:hAnsi="Times New Roman" w:cs="Times New Roman"/>
        </w:rPr>
        <w:t>p.</w:t>
      </w:r>
      <w:proofErr w:type="gramEnd"/>
      <w:r w:rsidR="001602F2" w:rsidRPr="008C149A">
        <w:rPr>
          <w:rFonts w:ascii="Times New Roman" w:hAnsi="Times New Roman" w:cs="Times New Roman"/>
        </w:rPr>
        <w:t xml:space="preserve"> 1350-1351</w:t>
      </w:r>
      <w:r w:rsidR="004C6A5C" w:rsidRPr="008C149A">
        <w:rPr>
          <w:rFonts w:ascii="Times New Roman" w:hAnsi="Times New Roman" w:cs="Times New Roman"/>
        </w:rPr>
        <w:t>.</w:t>
      </w:r>
      <w:r w:rsidR="004B5738" w:rsidRPr="008C149A">
        <w:rPr>
          <w:rFonts w:ascii="Times New Roman" w:hAnsi="Times New Roman" w:cs="Times New Roman"/>
        </w:rPr>
        <w:t xml:space="preserve"> </w:t>
      </w:r>
    </w:p>
  </w:footnote>
  <w:footnote w:id="4">
    <w:p w:rsidR="00735C4A" w:rsidRPr="008C149A" w:rsidRDefault="00735C4A" w:rsidP="008C149A">
      <w:pPr>
        <w:pStyle w:val="Textodenotaderodap"/>
        <w:jc w:val="both"/>
        <w:rPr>
          <w:rFonts w:ascii="Times New Roman" w:hAnsi="Times New Roman" w:cs="Times New Roman"/>
        </w:rPr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Pr="008C149A">
        <w:rPr>
          <w:rFonts w:ascii="Times New Roman" w:hAnsi="Times New Roman" w:cs="Times New Roman"/>
        </w:rPr>
        <w:t xml:space="preserve"> Cândido Rangel </w:t>
      </w:r>
      <w:proofErr w:type="spellStart"/>
      <w:r w:rsidRPr="008C149A">
        <w:rPr>
          <w:rFonts w:ascii="Times New Roman" w:hAnsi="Times New Roman" w:cs="Times New Roman"/>
        </w:rPr>
        <w:t>Dinamarco</w:t>
      </w:r>
      <w:proofErr w:type="spellEnd"/>
      <w:r w:rsidRPr="008C149A">
        <w:rPr>
          <w:rFonts w:ascii="Times New Roman" w:hAnsi="Times New Roman" w:cs="Times New Roman"/>
        </w:rPr>
        <w:t xml:space="preserve">, Ada Pellegrini </w:t>
      </w:r>
      <w:proofErr w:type="spellStart"/>
      <w:r w:rsidRPr="008C149A">
        <w:rPr>
          <w:rFonts w:ascii="Times New Roman" w:hAnsi="Times New Roman" w:cs="Times New Roman"/>
        </w:rPr>
        <w:t>Grinover</w:t>
      </w:r>
      <w:proofErr w:type="spellEnd"/>
      <w:r w:rsidRPr="008C149A">
        <w:rPr>
          <w:rFonts w:ascii="Times New Roman" w:hAnsi="Times New Roman" w:cs="Times New Roman"/>
        </w:rPr>
        <w:t xml:space="preserve">, </w:t>
      </w:r>
      <w:proofErr w:type="spellStart"/>
      <w:r w:rsidRPr="008C149A">
        <w:rPr>
          <w:rFonts w:ascii="Times New Roman" w:hAnsi="Times New Roman" w:cs="Times New Roman"/>
        </w:rPr>
        <w:t>Antonio</w:t>
      </w:r>
      <w:proofErr w:type="spellEnd"/>
      <w:r w:rsidRPr="008C149A">
        <w:rPr>
          <w:rFonts w:ascii="Times New Roman" w:hAnsi="Times New Roman" w:cs="Times New Roman"/>
        </w:rPr>
        <w:t xml:space="preserve"> Magalhães Gomes Filho e </w:t>
      </w:r>
      <w:proofErr w:type="spellStart"/>
      <w:r w:rsidRPr="008C149A">
        <w:rPr>
          <w:rFonts w:ascii="Times New Roman" w:hAnsi="Times New Roman" w:cs="Times New Roman"/>
        </w:rPr>
        <w:t>Antonio</w:t>
      </w:r>
      <w:proofErr w:type="spellEnd"/>
      <w:r w:rsidRPr="008C149A">
        <w:rPr>
          <w:rFonts w:ascii="Times New Roman" w:hAnsi="Times New Roman" w:cs="Times New Roman"/>
        </w:rPr>
        <w:t xml:space="preserve"> </w:t>
      </w:r>
      <w:proofErr w:type="spellStart"/>
      <w:r w:rsidRPr="008C149A">
        <w:rPr>
          <w:rFonts w:ascii="Times New Roman" w:hAnsi="Times New Roman" w:cs="Times New Roman"/>
        </w:rPr>
        <w:t>Scarance</w:t>
      </w:r>
      <w:proofErr w:type="spellEnd"/>
      <w:r w:rsidRPr="008C149A">
        <w:rPr>
          <w:rFonts w:ascii="Times New Roman" w:hAnsi="Times New Roman" w:cs="Times New Roman"/>
        </w:rPr>
        <w:t xml:space="preserve"> Fernandes, dentre outros.</w:t>
      </w:r>
    </w:p>
  </w:footnote>
  <w:footnote w:id="5">
    <w:p w:rsidR="00735C4A" w:rsidRPr="008C149A" w:rsidRDefault="00735C4A" w:rsidP="008C149A">
      <w:pPr>
        <w:pStyle w:val="Textodenotaderodap"/>
        <w:jc w:val="both"/>
        <w:rPr>
          <w:rFonts w:ascii="Times New Roman" w:hAnsi="Times New Roman" w:cs="Times New Roman"/>
        </w:rPr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Pr="008C149A">
        <w:rPr>
          <w:rFonts w:ascii="Times New Roman" w:hAnsi="Times New Roman" w:cs="Times New Roman"/>
        </w:rPr>
        <w:t xml:space="preserve"> Ergas Dirceu Moniz de Aragão.</w:t>
      </w:r>
    </w:p>
  </w:footnote>
  <w:footnote w:id="6">
    <w:p w:rsidR="00735C4A" w:rsidRDefault="00735C4A" w:rsidP="008C149A">
      <w:pPr>
        <w:pStyle w:val="Textodenotaderodap"/>
        <w:jc w:val="both"/>
      </w:pPr>
      <w:r w:rsidRPr="008C149A">
        <w:rPr>
          <w:rStyle w:val="Refdenotaderodap"/>
          <w:rFonts w:ascii="Times New Roman" w:hAnsi="Times New Roman" w:cs="Times New Roman"/>
        </w:rPr>
        <w:footnoteRef/>
      </w:r>
      <w:r w:rsidRPr="008C149A">
        <w:rPr>
          <w:rFonts w:ascii="Times New Roman" w:hAnsi="Times New Roman" w:cs="Times New Roman"/>
        </w:rPr>
        <w:t xml:space="preserve"> Moacyr Amaral Santos, Alcides de Mendonça lima.</w:t>
      </w:r>
    </w:p>
  </w:footnote>
  <w:footnote w:id="7">
    <w:p w:rsidR="00C91B50" w:rsidRDefault="00C91B50" w:rsidP="00DB5394">
      <w:pPr>
        <w:pStyle w:val="Textodenotaderodap"/>
        <w:jc w:val="both"/>
      </w:pPr>
      <w:r w:rsidRPr="00A84659">
        <w:rPr>
          <w:rStyle w:val="Refdenotaderodap"/>
          <w:rFonts w:ascii="Times New Roman" w:hAnsi="Times New Roman" w:cs="Times New Roman"/>
        </w:rPr>
        <w:footnoteRef/>
      </w:r>
      <w:r w:rsidRPr="00A84659">
        <w:rPr>
          <w:rFonts w:ascii="Times New Roman" w:hAnsi="Times New Roman" w:cs="Times New Roman"/>
        </w:rPr>
        <w:t xml:space="preserve"> Cf. </w:t>
      </w:r>
      <w:r w:rsidR="00BF2F00" w:rsidRPr="00BF2F00">
        <w:rPr>
          <w:rFonts w:ascii="Times New Roman" w:hAnsi="Times New Roman" w:cs="Times New Roman"/>
        </w:rPr>
        <w:t>MEND</w:t>
      </w:r>
      <w:r w:rsidR="00BF2F00">
        <w:rPr>
          <w:rFonts w:ascii="Times New Roman" w:hAnsi="Times New Roman" w:cs="Times New Roman"/>
        </w:rPr>
        <w:t xml:space="preserve">ES, Gilmar; BRANCO, Paulo </w:t>
      </w:r>
      <w:proofErr w:type="spellStart"/>
      <w:r w:rsidR="00BF2F00">
        <w:rPr>
          <w:rFonts w:ascii="Times New Roman" w:hAnsi="Times New Roman" w:cs="Times New Roman"/>
        </w:rPr>
        <w:t>Gonet</w:t>
      </w:r>
      <w:proofErr w:type="spellEnd"/>
      <w:r w:rsidR="00BF2F00">
        <w:rPr>
          <w:rFonts w:ascii="Times New Roman" w:hAnsi="Times New Roman" w:cs="Times New Roman"/>
        </w:rPr>
        <w:t xml:space="preserve">, 2015, </w:t>
      </w:r>
      <w:r w:rsidR="00F660AC">
        <w:rPr>
          <w:rFonts w:ascii="Times New Roman" w:hAnsi="Times New Roman" w:cs="Times New Roman"/>
        </w:rPr>
        <w:t>p. 1352-1353</w:t>
      </w:r>
      <w:r w:rsidRPr="00A84659">
        <w:rPr>
          <w:rFonts w:ascii="Times New Roman" w:hAnsi="Times New Roman" w:cs="Times New Roman"/>
        </w:rPr>
        <w:t>.</w:t>
      </w:r>
    </w:p>
  </w:footnote>
  <w:footnote w:id="8">
    <w:p w:rsidR="00821C80" w:rsidRDefault="00821C8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2F00">
        <w:rPr>
          <w:rFonts w:ascii="Times New Roman" w:hAnsi="Times New Roman" w:cs="Times New Roman"/>
        </w:rPr>
        <w:t>MEND</w:t>
      </w:r>
      <w:r w:rsidR="008C149A">
        <w:rPr>
          <w:rFonts w:ascii="Times New Roman" w:hAnsi="Times New Roman" w:cs="Times New Roman"/>
        </w:rPr>
        <w:t xml:space="preserve">ES, Gilmar; BRANCO, Paulo </w:t>
      </w:r>
      <w:proofErr w:type="spellStart"/>
      <w:r w:rsidR="008C149A">
        <w:rPr>
          <w:rFonts w:ascii="Times New Roman" w:hAnsi="Times New Roman" w:cs="Times New Roman"/>
        </w:rPr>
        <w:t>Gonet</w:t>
      </w:r>
      <w:proofErr w:type="spellEnd"/>
      <w:r w:rsidRPr="00BF2F00">
        <w:rPr>
          <w:rFonts w:ascii="Times New Roman" w:hAnsi="Times New Roman" w:cs="Times New Roman"/>
        </w:rPr>
        <w:t xml:space="preserve">, 2015. </w:t>
      </w:r>
      <w:proofErr w:type="gramStart"/>
      <w:r w:rsidRPr="00BF2F00"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1353-1354.</w:t>
      </w:r>
    </w:p>
  </w:footnote>
  <w:footnote w:id="9">
    <w:p w:rsidR="008C149A" w:rsidRDefault="008C149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2F00">
        <w:rPr>
          <w:rFonts w:ascii="Times New Roman" w:hAnsi="Times New Roman" w:cs="Times New Roman"/>
        </w:rPr>
        <w:t xml:space="preserve">MENDES, Gilmar; BRANCO, Paulo </w:t>
      </w:r>
      <w:proofErr w:type="spellStart"/>
      <w:r w:rsidRPr="00BF2F00">
        <w:rPr>
          <w:rFonts w:ascii="Times New Roman" w:hAnsi="Times New Roman" w:cs="Times New Roman"/>
        </w:rPr>
        <w:t>Gonet</w:t>
      </w:r>
      <w:proofErr w:type="spellEnd"/>
      <w:r w:rsidRPr="00BF2F00">
        <w:rPr>
          <w:rFonts w:ascii="Times New Roman" w:hAnsi="Times New Roman" w:cs="Times New Roman"/>
        </w:rPr>
        <w:t xml:space="preserve">, 2015. </w:t>
      </w:r>
      <w:proofErr w:type="gramStart"/>
      <w:r w:rsidRPr="00BF2F00"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135</w:t>
      </w:r>
      <w:r w:rsidR="008324C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-135</w:t>
      </w:r>
      <w:r w:rsidR="008324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</w:footnote>
  <w:footnote w:id="10">
    <w:p w:rsidR="00D57E2C" w:rsidRDefault="00D57E2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2F00">
        <w:rPr>
          <w:rFonts w:ascii="Times New Roman" w:hAnsi="Times New Roman" w:cs="Times New Roman"/>
        </w:rPr>
        <w:t xml:space="preserve">MENDES, Gilmar; BRANCO, Paulo </w:t>
      </w:r>
      <w:proofErr w:type="spellStart"/>
      <w:r w:rsidRPr="00BF2F00">
        <w:rPr>
          <w:rFonts w:ascii="Times New Roman" w:hAnsi="Times New Roman" w:cs="Times New Roman"/>
        </w:rPr>
        <w:t>Gonet</w:t>
      </w:r>
      <w:proofErr w:type="spellEnd"/>
      <w:r w:rsidRPr="00BF2F00">
        <w:rPr>
          <w:rFonts w:ascii="Times New Roman" w:hAnsi="Times New Roman" w:cs="Times New Roman"/>
        </w:rPr>
        <w:t xml:space="preserve">, 2015. </w:t>
      </w:r>
      <w:proofErr w:type="gramStart"/>
      <w:r w:rsidRPr="00BF2F00"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1356-1358.</w:t>
      </w:r>
    </w:p>
  </w:footnote>
  <w:footnote w:id="11">
    <w:p w:rsidR="007F3300" w:rsidRDefault="007F33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2F00">
        <w:rPr>
          <w:rFonts w:ascii="Times New Roman" w:hAnsi="Times New Roman" w:cs="Times New Roman"/>
        </w:rPr>
        <w:t xml:space="preserve">MENDES, Gilmar; BRANCO, Paulo </w:t>
      </w:r>
      <w:proofErr w:type="spellStart"/>
      <w:r w:rsidRPr="00BF2F00">
        <w:rPr>
          <w:rFonts w:ascii="Times New Roman" w:hAnsi="Times New Roman" w:cs="Times New Roman"/>
        </w:rPr>
        <w:t>Gonet</w:t>
      </w:r>
      <w:proofErr w:type="spellEnd"/>
      <w:r w:rsidRPr="00BF2F00">
        <w:rPr>
          <w:rFonts w:ascii="Times New Roman" w:hAnsi="Times New Roman" w:cs="Times New Roman"/>
        </w:rPr>
        <w:t xml:space="preserve">, 2015. </w:t>
      </w:r>
      <w:proofErr w:type="gramStart"/>
      <w:r w:rsidRPr="00BF2F00"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135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-13</w:t>
      </w:r>
      <w:r>
        <w:rPr>
          <w:rFonts w:ascii="Times New Roman" w:hAnsi="Times New Roman" w:cs="Times New Roman"/>
        </w:rPr>
        <w:t>60.</w:t>
      </w:r>
    </w:p>
  </w:footnote>
  <w:footnote w:id="12">
    <w:p w:rsidR="006812BB" w:rsidRDefault="006812B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F2F00">
        <w:rPr>
          <w:rFonts w:ascii="Times New Roman" w:hAnsi="Times New Roman" w:cs="Times New Roman"/>
        </w:rPr>
        <w:t xml:space="preserve">MENDES, Gilmar; BRANCO, Paulo </w:t>
      </w:r>
      <w:proofErr w:type="spellStart"/>
      <w:r w:rsidRPr="00BF2F00">
        <w:rPr>
          <w:rFonts w:ascii="Times New Roman" w:hAnsi="Times New Roman" w:cs="Times New Roman"/>
        </w:rPr>
        <w:t>Gonet</w:t>
      </w:r>
      <w:proofErr w:type="spellEnd"/>
      <w:r w:rsidRPr="00BF2F00">
        <w:rPr>
          <w:rFonts w:ascii="Times New Roman" w:hAnsi="Times New Roman" w:cs="Times New Roman"/>
        </w:rPr>
        <w:t xml:space="preserve">, 2015. </w:t>
      </w:r>
      <w:proofErr w:type="gramStart"/>
      <w:r w:rsidRPr="00BF2F00"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1362.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D3B"/>
    <w:rsid w:val="000102B6"/>
    <w:rsid w:val="0002183E"/>
    <w:rsid w:val="00031D29"/>
    <w:rsid w:val="000358FB"/>
    <w:rsid w:val="00041BE0"/>
    <w:rsid w:val="00042E04"/>
    <w:rsid w:val="00062A20"/>
    <w:rsid w:val="000706C3"/>
    <w:rsid w:val="0007623C"/>
    <w:rsid w:val="00081EA8"/>
    <w:rsid w:val="000875A2"/>
    <w:rsid w:val="00095C4A"/>
    <w:rsid w:val="000A41EC"/>
    <w:rsid w:val="000C6202"/>
    <w:rsid w:val="000C6EA3"/>
    <w:rsid w:val="000D2A12"/>
    <w:rsid w:val="000D4C0A"/>
    <w:rsid w:val="0010452D"/>
    <w:rsid w:val="00106FA5"/>
    <w:rsid w:val="00120F83"/>
    <w:rsid w:val="00125862"/>
    <w:rsid w:val="00126EFF"/>
    <w:rsid w:val="00134D9E"/>
    <w:rsid w:val="00150312"/>
    <w:rsid w:val="001539EE"/>
    <w:rsid w:val="001602F2"/>
    <w:rsid w:val="00167954"/>
    <w:rsid w:val="00170D3F"/>
    <w:rsid w:val="00176377"/>
    <w:rsid w:val="00182F93"/>
    <w:rsid w:val="0018316B"/>
    <w:rsid w:val="0019408C"/>
    <w:rsid w:val="001963EA"/>
    <w:rsid w:val="001B7199"/>
    <w:rsid w:val="00201D27"/>
    <w:rsid w:val="0021501D"/>
    <w:rsid w:val="002313BA"/>
    <w:rsid w:val="00233C07"/>
    <w:rsid w:val="00240BC6"/>
    <w:rsid w:val="00247FC7"/>
    <w:rsid w:val="00264BD1"/>
    <w:rsid w:val="00280AFB"/>
    <w:rsid w:val="002838AE"/>
    <w:rsid w:val="0028644D"/>
    <w:rsid w:val="002A5C22"/>
    <w:rsid w:val="002B29AE"/>
    <w:rsid w:val="002B55D4"/>
    <w:rsid w:val="002E2BB3"/>
    <w:rsid w:val="002E4002"/>
    <w:rsid w:val="00303BFE"/>
    <w:rsid w:val="003277B8"/>
    <w:rsid w:val="00333234"/>
    <w:rsid w:val="003447E1"/>
    <w:rsid w:val="00351494"/>
    <w:rsid w:val="00356467"/>
    <w:rsid w:val="003605C0"/>
    <w:rsid w:val="003612C5"/>
    <w:rsid w:val="0037031F"/>
    <w:rsid w:val="00380DF6"/>
    <w:rsid w:val="003930E7"/>
    <w:rsid w:val="00395FCA"/>
    <w:rsid w:val="003971EF"/>
    <w:rsid w:val="003E13FF"/>
    <w:rsid w:val="003E5499"/>
    <w:rsid w:val="004069A8"/>
    <w:rsid w:val="00413DEF"/>
    <w:rsid w:val="00414D78"/>
    <w:rsid w:val="00452066"/>
    <w:rsid w:val="004603A3"/>
    <w:rsid w:val="004917B1"/>
    <w:rsid w:val="004A5B28"/>
    <w:rsid w:val="004B5738"/>
    <w:rsid w:val="004B7FBB"/>
    <w:rsid w:val="004C6A5C"/>
    <w:rsid w:val="004D2C72"/>
    <w:rsid w:val="004E5E77"/>
    <w:rsid w:val="004F32D4"/>
    <w:rsid w:val="00501866"/>
    <w:rsid w:val="00503750"/>
    <w:rsid w:val="00526F9C"/>
    <w:rsid w:val="00544705"/>
    <w:rsid w:val="0055135B"/>
    <w:rsid w:val="00553C5E"/>
    <w:rsid w:val="00557B1C"/>
    <w:rsid w:val="005635AF"/>
    <w:rsid w:val="005665F0"/>
    <w:rsid w:val="00580DD5"/>
    <w:rsid w:val="005927B3"/>
    <w:rsid w:val="005A6A76"/>
    <w:rsid w:val="005A76EE"/>
    <w:rsid w:val="005B033F"/>
    <w:rsid w:val="005B0B0E"/>
    <w:rsid w:val="005B16B8"/>
    <w:rsid w:val="005B3387"/>
    <w:rsid w:val="005C351A"/>
    <w:rsid w:val="005F09A6"/>
    <w:rsid w:val="00602B91"/>
    <w:rsid w:val="00605A71"/>
    <w:rsid w:val="00607937"/>
    <w:rsid w:val="0061482D"/>
    <w:rsid w:val="00617B35"/>
    <w:rsid w:val="0063076C"/>
    <w:rsid w:val="00653CB4"/>
    <w:rsid w:val="00656A07"/>
    <w:rsid w:val="0065745D"/>
    <w:rsid w:val="00676F95"/>
    <w:rsid w:val="006812BB"/>
    <w:rsid w:val="00694B94"/>
    <w:rsid w:val="006A2ACC"/>
    <w:rsid w:val="006A7701"/>
    <w:rsid w:val="006B555F"/>
    <w:rsid w:val="006C2B2E"/>
    <w:rsid w:val="006D1137"/>
    <w:rsid w:val="006F01C1"/>
    <w:rsid w:val="006F49D7"/>
    <w:rsid w:val="006F4E35"/>
    <w:rsid w:val="006F5F47"/>
    <w:rsid w:val="007052B9"/>
    <w:rsid w:val="00714C56"/>
    <w:rsid w:val="00717407"/>
    <w:rsid w:val="0071761C"/>
    <w:rsid w:val="00722308"/>
    <w:rsid w:val="00735C4A"/>
    <w:rsid w:val="00745703"/>
    <w:rsid w:val="00753A64"/>
    <w:rsid w:val="00756C5E"/>
    <w:rsid w:val="00776E5C"/>
    <w:rsid w:val="007817C2"/>
    <w:rsid w:val="007837A8"/>
    <w:rsid w:val="00790D45"/>
    <w:rsid w:val="0079261A"/>
    <w:rsid w:val="00794F03"/>
    <w:rsid w:val="007A7E43"/>
    <w:rsid w:val="007B6B19"/>
    <w:rsid w:val="007C00E3"/>
    <w:rsid w:val="007D4016"/>
    <w:rsid w:val="007E3706"/>
    <w:rsid w:val="007F3300"/>
    <w:rsid w:val="00811FDC"/>
    <w:rsid w:val="00815BE8"/>
    <w:rsid w:val="00821C80"/>
    <w:rsid w:val="00821E84"/>
    <w:rsid w:val="008324C6"/>
    <w:rsid w:val="008332E4"/>
    <w:rsid w:val="008444FD"/>
    <w:rsid w:val="00844CD5"/>
    <w:rsid w:val="0086351F"/>
    <w:rsid w:val="00864B8A"/>
    <w:rsid w:val="00893F2D"/>
    <w:rsid w:val="0089519D"/>
    <w:rsid w:val="008A3A41"/>
    <w:rsid w:val="008C149A"/>
    <w:rsid w:val="008D0FA4"/>
    <w:rsid w:val="008D3375"/>
    <w:rsid w:val="008F6617"/>
    <w:rsid w:val="0091655E"/>
    <w:rsid w:val="00921C01"/>
    <w:rsid w:val="00926396"/>
    <w:rsid w:val="00942FDF"/>
    <w:rsid w:val="00952D3B"/>
    <w:rsid w:val="00952DF5"/>
    <w:rsid w:val="00955B59"/>
    <w:rsid w:val="00962F88"/>
    <w:rsid w:val="00982B61"/>
    <w:rsid w:val="00987592"/>
    <w:rsid w:val="00990938"/>
    <w:rsid w:val="00992346"/>
    <w:rsid w:val="00993FF4"/>
    <w:rsid w:val="009A383E"/>
    <w:rsid w:val="009B2F97"/>
    <w:rsid w:val="009D61D5"/>
    <w:rsid w:val="009E503E"/>
    <w:rsid w:val="009F0877"/>
    <w:rsid w:val="009F47D5"/>
    <w:rsid w:val="009F49EC"/>
    <w:rsid w:val="009F6579"/>
    <w:rsid w:val="00A22C21"/>
    <w:rsid w:val="00A50B0E"/>
    <w:rsid w:val="00A60100"/>
    <w:rsid w:val="00A64495"/>
    <w:rsid w:val="00A70132"/>
    <w:rsid w:val="00A7596F"/>
    <w:rsid w:val="00A81877"/>
    <w:rsid w:val="00A84659"/>
    <w:rsid w:val="00AB40DF"/>
    <w:rsid w:val="00AB6277"/>
    <w:rsid w:val="00AC6201"/>
    <w:rsid w:val="00AD21AC"/>
    <w:rsid w:val="00AE3443"/>
    <w:rsid w:val="00B06B3F"/>
    <w:rsid w:val="00B20019"/>
    <w:rsid w:val="00B21B5E"/>
    <w:rsid w:val="00B2602B"/>
    <w:rsid w:val="00B33CF6"/>
    <w:rsid w:val="00B40F31"/>
    <w:rsid w:val="00B44118"/>
    <w:rsid w:val="00B473D0"/>
    <w:rsid w:val="00B74BBA"/>
    <w:rsid w:val="00B803A8"/>
    <w:rsid w:val="00B907C7"/>
    <w:rsid w:val="00B91463"/>
    <w:rsid w:val="00B92226"/>
    <w:rsid w:val="00BA1CB4"/>
    <w:rsid w:val="00BB0FC7"/>
    <w:rsid w:val="00BB2096"/>
    <w:rsid w:val="00BC71C9"/>
    <w:rsid w:val="00BD5DCD"/>
    <w:rsid w:val="00BE6F09"/>
    <w:rsid w:val="00BF15BD"/>
    <w:rsid w:val="00BF2870"/>
    <w:rsid w:val="00BF2F00"/>
    <w:rsid w:val="00BF3921"/>
    <w:rsid w:val="00BF7126"/>
    <w:rsid w:val="00C058B8"/>
    <w:rsid w:val="00C1306D"/>
    <w:rsid w:val="00C1567B"/>
    <w:rsid w:val="00C4113E"/>
    <w:rsid w:val="00C6424A"/>
    <w:rsid w:val="00C6488C"/>
    <w:rsid w:val="00C66AA8"/>
    <w:rsid w:val="00C91B50"/>
    <w:rsid w:val="00CA2A4F"/>
    <w:rsid w:val="00CA4576"/>
    <w:rsid w:val="00CB0BB5"/>
    <w:rsid w:val="00CB38EF"/>
    <w:rsid w:val="00CC312C"/>
    <w:rsid w:val="00CF61AA"/>
    <w:rsid w:val="00D04A24"/>
    <w:rsid w:val="00D12EEA"/>
    <w:rsid w:val="00D327F7"/>
    <w:rsid w:val="00D44CC9"/>
    <w:rsid w:val="00D57E2C"/>
    <w:rsid w:val="00D92E88"/>
    <w:rsid w:val="00DB5394"/>
    <w:rsid w:val="00DD6933"/>
    <w:rsid w:val="00E027DF"/>
    <w:rsid w:val="00E221B5"/>
    <w:rsid w:val="00E22890"/>
    <w:rsid w:val="00E47A4E"/>
    <w:rsid w:val="00E53ACC"/>
    <w:rsid w:val="00E702E7"/>
    <w:rsid w:val="00E731E7"/>
    <w:rsid w:val="00E74B46"/>
    <w:rsid w:val="00E7730A"/>
    <w:rsid w:val="00E8027A"/>
    <w:rsid w:val="00E91CA9"/>
    <w:rsid w:val="00EA34E8"/>
    <w:rsid w:val="00EE12AC"/>
    <w:rsid w:val="00F00241"/>
    <w:rsid w:val="00F072F9"/>
    <w:rsid w:val="00F12C77"/>
    <w:rsid w:val="00F16F91"/>
    <w:rsid w:val="00F23602"/>
    <w:rsid w:val="00F2577A"/>
    <w:rsid w:val="00F50A0E"/>
    <w:rsid w:val="00F55EE0"/>
    <w:rsid w:val="00F660AC"/>
    <w:rsid w:val="00F835A9"/>
    <w:rsid w:val="00F951E8"/>
    <w:rsid w:val="00F95800"/>
    <w:rsid w:val="00FB31B9"/>
    <w:rsid w:val="00FB689F"/>
    <w:rsid w:val="00FC4AF4"/>
    <w:rsid w:val="00FC6FB4"/>
    <w:rsid w:val="00FD7ADD"/>
    <w:rsid w:val="00FE52C7"/>
    <w:rsid w:val="00FF045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8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8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2870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2870"/>
  </w:style>
  <w:style w:type="paragraph" w:styleId="Rodap">
    <w:name w:val="footer"/>
    <w:basedOn w:val="Normal"/>
    <w:link w:val="RodapChar"/>
    <w:uiPriority w:val="99"/>
    <w:semiHidden/>
    <w:unhideWhenUsed/>
    <w:rsid w:val="00B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2870"/>
  </w:style>
  <w:style w:type="paragraph" w:styleId="PargrafodaLista">
    <w:name w:val="List Paragraph"/>
    <w:basedOn w:val="Normal"/>
    <w:uiPriority w:val="34"/>
    <w:qFormat/>
    <w:rsid w:val="00070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aluno.npj</dc:creator>
  <cp:lastModifiedBy>cliente</cp:lastModifiedBy>
  <cp:revision>316</cp:revision>
  <dcterms:created xsi:type="dcterms:W3CDTF">2016-11-14T11:30:00Z</dcterms:created>
  <dcterms:modified xsi:type="dcterms:W3CDTF">2016-11-20T17:41:00Z</dcterms:modified>
</cp:coreProperties>
</file>