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1CCC" w:rsidRPr="00701CCC" w:rsidRDefault="00701CCC" w:rsidP="003E41A9">
      <w:pPr>
        <w:spacing w:line="360" w:lineRule="auto"/>
        <w:jc w:val="center"/>
        <w:rPr>
          <w:rFonts w:ascii="Times New Roman" w:hAnsi="Times New Roman" w:cs="Times New Roman"/>
          <w:b/>
          <w:bCs/>
          <w:sz w:val="28"/>
          <w:szCs w:val="28"/>
          <w:lang w:val="pt-PT"/>
        </w:rPr>
      </w:pPr>
      <w:r w:rsidRPr="00701CCC">
        <w:rPr>
          <w:rFonts w:ascii="Times New Roman" w:hAnsi="Times New Roman" w:cs="Times New Roman"/>
          <w:b/>
          <w:sz w:val="28"/>
          <w:szCs w:val="28"/>
        </w:rPr>
        <w:t xml:space="preserve">O PREQUESTIONAMENTO NO RECURSO EXTRAORDINÁRIO: </w:t>
      </w:r>
      <w:r w:rsidRPr="00701CCC">
        <w:rPr>
          <w:rFonts w:ascii="Times New Roman" w:hAnsi="Times New Roman" w:cs="Times New Roman"/>
          <w:sz w:val="28"/>
          <w:szCs w:val="28"/>
        </w:rPr>
        <w:t>DA (IM)POSSIBILIDADE DE RELATIVIZAÇÃO DESTE REQUISITO PARA O SUPREMO TRIBUNAL FEDERAL</w:t>
      </w:r>
    </w:p>
    <w:p w:rsidR="00701CCC" w:rsidRPr="00460201" w:rsidRDefault="00701CCC" w:rsidP="000F3DF1">
      <w:pPr>
        <w:pStyle w:val="Body1"/>
        <w:tabs>
          <w:tab w:val="left" w:pos="9072"/>
        </w:tabs>
        <w:spacing w:after="0" w:line="240" w:lineRule="auto"/>
        <w:jc w:val="both"/>
        <w:rPr>
          <w:rFonts w:ascii="Times New Roman" w:hAnsi="Times New Roman"/>
          <w:b/>
          <w:sz w:val="24"/>
          <w:szCs w:val="24"/>
          <w:u w:val="single"/>
        </w:rPr>
      </w:pPr>
    </w:p>
    <w:p w:rsidR="00701CCC" w:rsidRDefault="00F400F2" w:rsidP="00F71DB2">
      <w:pPr>
        <w:tabs>
          <w:tab w:val="left" w:pos="9072"/>
        </w:tabs>
        <w:jc w:val="right"/>
        <w:rPr>
          <w:rFonts w:ascii="Times New Roman" w:hAnsi="Times New Roman" w:cs="Times New Roman"/>
          <w:sz w:val="24"/>
          <w:szCs w:val="24"/>
        </w:rPr>
      </w:pPr>
      <w:r>
        <w:rPr>
          <w:rFonts w:ascii="Times New Roman" w:hAnsi="Times New Roman" w:cs="Times New Roman"/>
          <w:sz w:val="24"/>
          <w:szCs w:val="24"/>
        </w:rPr>
        <w:t>Marcos Henrique Sacramento Brito</w:t>
      </w:r>
      <w:r w:rsidR="00701CCC" w:rsidRPr="00460201">
        <w:rPr>
          <w:rFonts w:ascii="Times New Roman" w:hAnsi="Times New Roman" w:cs="Times New Roman"/>
          <w:sz w:val="24"/>
          <w:szCs w:val="24"/>
        </w:rPr>
        <w:t xml:space="preserve"> e </w:t>
      </w:r>
      <w:r w:rsidR="00701CCC">
        <w:rPr>
          <w:rFonts w:ascii="Times New Roman" w:hAnsi="Times New Roman" w:cs="Times New Roman"/>
          <w:sz w:val="24"/>
          <w:szCs w:val="24"/>
        </w:rPr>
        <w:t>Mozaniel Vaz da Silva</w:t>
      </w:r>
      <w:r w:rsidR="00701CCC" w:rsidRPr="00460201">
        <w:rPr>
          <w:rFonts w:ascii="Times New Roman" w:hAnsi="Times New Roman" w:cs="Times New Roman"/>
          <w:sz w:val="24"/>
          <w:szCs w:val="24"/>
        </w:rPr>
        <w:t>²</w:t>
      </w:r>
    </w:p>
    <w:p w:rsidR="00F400F2" w:rsidRPr="00460201" w:rsidRDefault="00F400F2" w:rsidP="00F71DB2">
      <w:pPr>
        <w:tabs>
          <w:tab w:val="left" w:pos="9072"/>
        </w:tabs>
        <w:jc w:val="right"/>
        <w:rPr>
          <w:rFonts w:ascii="Times New Roman" w:hAnsi="Times New Roman" w:cs="Times New Roman"/>
          <w:sz w:val="24"/>
          <w:szCs w:val="24"/>
        </w:rPr>
      </w:pPr>
    </w:p>
    <w:p w:rsidR="00701CCC" w:rsidRPr="00F71DB2" w:rsidRDefault="00701CCC" w:rsidP="00F71DB2">
      <w:pPr>
        <w:pStyle w:val="Default"/>
        <w:ind w:left="2268"/>
        <w:jc w:val="both"/>
        <w:rPr>
          <w:color w:val="000000" w:themeColor="text1"/>
          <w:sz w:val="20"/>
          <w:szCs w:val="20"/>
        </w:rPr>
      </w:pPr>
      <w:r w:rsidRPr="00F71DB2">
        <w:rPr>
          <w:color w:val="000000" w:themeColor="text1"/>
          <w:sz w:val="20"/>
          <w:szCs w:val="20"/>
        </w:rPr>
        <w:t>SUMÁRIO: Introdução; 1 Considerações iniciais sobre o prequestionamento em sede de recurso extraordinário 1.1 Sobre o surgimento deste requisito; 1.2 Sobre as divergências acerca do conceito; 2 Das formas de efetivação do prequestionamento no recurso extraordinário dentro do paradigma do processo constitucionalizado; 2.1  Do prequestionamento implícito e ficto; 3 Análise do voto da Ministra Relatora Ellen Grace no Agravo Interno ao Agravo de Instrumento de nº 375011: Sobre a relativização do prequestionamento no entendimento do Supremo Tribunal Federal; Conclusão.</w:t>
      </w:r>
    </w:p>
    <w:p w:rsidR="00876BEE" w:rsidRPr="00876BEE" w:rsidRDefault="00876BEE" w:rsidP="00D96613">
      <w:pPr>
        <w:pStyle w:val="Default"/>
        <w:jc w:val="both"/>
        <w:rPr>
          <w:b/>
          <w:color w:val="000000" w:themeColor="text1"/>
          <w:sz w:val="20"/>
          <w:szCs w:val="20"/>
        </w:rPr>
      </w:pPr>
    </w:p>
    <w:p w:rsidR="00701CCC" w:rsidRDefault="00701CCC" w:rsidP="003E41A9">
      <w:pPr>
        <w:pStyle w:val="PargrafodaLista"/>
        <w:tabs>
          <w:tab w:val="left" w:pos="9072"/>
        </w:tabs>
        <w:spacing w:before="120" w:after="120" w:line="360" w:lineRule="auto"/>
        <w:ind w:left="0"/>
        <w:jc w:val="center"/>
        <w:outlineLvl w:val="0"/>
        <w:rPr>
          <w:rFonts w:eastAsia="Arial Unicode MS"/>
          <w:b/>
          <w:color w:val="000000"/>
          <w:u w:color="000000"/>
          <w:lang w:val="pt-PT"/>
        </w:rPr>
      </w:pPr>
      <w:r w:rsidRPr="00460201">
        <w:rPr>
          <w:rFonts w:eastAsia="Arial Unicode MS"/>
          <w:b/>
          <w:color w:val="000000"/>
          <w:u w:color="000000"/>
          <w:lang w:val="pt-PT"/>
        </w:rPr>
        <w:t>RESUMO</w:t>
      </w:r>
    </w:p>
    <w:p w:rsidR="00D96613" w:rsidRPr="00460201" w:rsidRDefault="00D96613" w:rsidP="00D96613">
      <w:pPr>
        <w:pStyle w:val="PargrafodaLista"/>
        <w:tabs>
          <w:tab w:val="left" w:pos="9072"/>
        </w:tabs>
        <w:spacing w:line="360" w:lineRule="auto"/>
        <w:ind w:left="0"/>
        <w:outlineLvl w:val="0"/>
        <w:rPr>
          <w:rFonts w:eastAsia="Arial Unicode MS"/>
          <w:b/>
          <w:color w:val="000000"/>
          <w:u w:color="000000"/>
          <w:lang w:val="pt-PT"/>
        </w:rPr>
      </w:pPr>
    </w:p>
    <w:p w:rsidR="00277085" w:rsidRDefault="00701CCC" w:rsidP="000F3DF1">
      <w:pPr>
        <w:spacing w:before="120" w:after="120" w:line="360" w:lineRule="auto"/>
        <w:ind w:firstLine="1134"/>
        <w:jc w:val="both"/>
        <w:outlineLvl w:val="0"/>
        <w:rPr>
          <w:rFonts w:ascii="Times New Roman" w:hAnsi="Times New Roman" w:cs="Times New Roman"/>
          <w:bCs/>
          <w:sz w:val="24"/>
          <w:szCs w:val="24"/>
          <w:lang w:eastAsia="pt-BR"/>
        </w:rPr>
      </w:pPr>
      <w:r w:rsidRPr="00701CCC">
        <w:rPr>
          <w:rFonts w:ascii="Times New Roman" w:eastAsia="Arial Unicode MS" w:hAnsi="Times New Roman" w:cs="Times New Roman"/>
          <w:color w:val="000000"/>
          <w:u w:color="000000"/>
          <w:lang w:val="pt-PT"/>
        </w:rPr>
        <w:t xml:space="preserve">Este paper pretente descrever </w:t>
      </w:r>
      <w:r>
        <w:rPr>
          <w:rFonts w:ascii="Times New Roman" w:eastAsia="Arial Unicode MS" w:hAnsi="Times New Roman" w:cs="Times New Roman"/>
          <w:color w:val="000000"/>
          <w:u w:color="000000"/>
          <w:lang w:val="pt-PT"/>
        </w:rPr>
        <w:t>de que forma ocorr</w:t>
      </w:r>
      <w:r>
        <w:rPr>
          <w:rFonts w:ascii="Times New Roman" w:hAnsi="Times New Roman" w:cs="Times New Roman"/>
          <w:bCs/>
          <w:sz w:val="24"/>
          <w:szCs w:val="24"/>
          <w:lang w:eastAsia="pt-BR"/>
        </w:rPr>
        <w:t>e</w:t>
      </w:r>
      <w:r w:rsidRPr="00701CCC">
        <w:rPr>
          <w:rFonts w:ascii="Times New Roman" w:hAnsi="Times New Roman" w:cs="Times New Roman"/>
          <w:bCs/>
          <w:sz w:val="24"/>
          <w:szCs w:val="24"/>
          <w:lang w:eastAsia="pt-BR"/>
        </w:rPr>
        <w:t xml:space="preserve"> </w:t>
      </w:r>
      <w:r>
        <w:rPr>
          <w:rFonts w:ascii="Times New Roman" w:hAnsi="Times New Roman" w:cs="Times New Roman"/>
          <w:bCs/>
          <w:sz w:val="24"/>
          <w:szCs w:val="24"/>
          <w:lang w:eastAsia="pt-BR"/>
        </w:rPr>
        <w:t xml:space="preserve">o </w:t>
      </w:r>
      <w:r w:rsidRPr="00701CCC">
        <w:rPr>
          <w:rFonts w:ascii="Times New Roman" w:hAnsi="Times New Roman" w:cs="Times New Roman"/>
          <w:bCs/>
          <w:sz w:val="24"/>
          <w:szCs w:val="24"/>
          <w:lang w:eastAsia="pt-BR"/>
        </w:rPr>
        <w:t>prequestionamento no recurso extraordinário</w:t>
      </w:r>
      <w:r>
        <w:rPr>
          <w:rFonts w:ascii="Times New Roman" w:hAnsi="Times New Roman" w:cs="Times New Roman"/>
          <w:bCs/>
          <w:sz w:val="24"/>
          <w:szCs w:val="24"/>
          <w:lang w:eastAsia="pt-BR"/>
        </w:rPr>
        <w:t xml:space="preserve">, </w:t>
      </w:r>
      <w:r w:rsidRPr="00701CCC">
        <w:rPr>
          <w:rFonts w:ascii="Times New Roman" w:hAnsi="Times New Roman" w:cs="Times New Roman"/>
          <w:bCs/>
          <w:sz w:val="24"/>
          <w:szCs w:val="24"/>
          <w:lang w:eastAsia="pt-BR"/>
        </w:rPr>
        <w:t>evit</w:t>
      </w:r>
      <w:r>
        <w:rPr>
          <w:rFonts w:ascii="Times New Roman" w:hAnsi="Times New Roman" w:cs="Times New Roman"/>
          <w:bCs/>
          <w:sz w:val="24"/>
          <w:szCs w:val="24"/>
          <w:lang w:eastAsia="pt-BR"/>
        </w:rPr>
        <w:t>ando</w:t>
      </w:r>
      <w:r w:rsidRPr="00701CCC">
        <w:rPr>
          <w:rFonts w:ascii="Times New Roman" w:hAnsi="Times New Roman" w:cs="Times New Roman"/>
          <w:bCs/>
          <w:sz w:val="24"/>
          <w:szCs w:val="24"/>
          <w:lang w:eastAsia="pt-BR"/>
        </w:rPr>
        <w:t>-se que demandas que não contenham nos fundamentos de seus pedidos matéria constitucional cheguem ao Supremo Tribunal Federal apenas para retardar o processo.</w:t>
      </w:r>
      <w:r w:rsidRPr="00701CCC">
        <w:rPr>
          <w:bCs/>
          <w:lang w:eastAsia="pt-BR"/>
        </w:rPr>
        <w:t xml:space="preserve"> </w:t>
      </w:r>
      <w:r w:rsidRPr="00701CCC">
        <w:rPr>
          <w:rFonts w:ascii="Times New Roman" w:hAnsi="Times New Roman" w:cs="Times New Roman"/>
          <w:bCs/>
          <w:lang w:eastAsia="pt-BR"/>
        </w:rPr>
        <w:t>Entretanto, na visão atual do direito Constitucional que preza pela sua supremacia, há entendimentos que relativizam este requisito, aplicando o princípio da instrumentalidade das formas e o da supremacia constitucional a fim de se preservar entendimento anterior do Supremo Tr</w:t>
      </w:r>
      <w:r>
        <w:rPr>
          <w:rFonts w:ascii="Times New Roman" w:hAnsi="Times New Roman" w:cs="Times New Roman"/>
          <w:bCs/>
          <w:lang w:eastAsia="pt-BR"/>
        </w:rPr>
        <w:t xml:space="preserve">ibunal Federal. </w:t>
      </w:r>
      <w:r w:rsidRPr="00701CCC">
        <w:rPr>
          <w:rFonts w:ascii="Times New Roman" w:hAnsi="Times New Roman" w:cs="Times New Roman"/>
          <w:bCs/>
          <w:sz w:val="24"/>
          <w:szCs w:val="24"/>
          <w:lang w:eastAsia="pt-BR"/>
        </w:rPr>
        <w:t xml:space="preserve">Destarte, discute-se a possibilidade de </w:t>
      </w:r>
      <w:r>
        <w:rPr>
          <w:rFonts w:ascii="Times New Roman" w:hAnsi="Times New Roman" w:cs="Times New Roman"/>
          <w:bCs/>
          <w:sz w:val="24"/>
          <w:szCs w:val="24"/>
          <w:lang w:eastAsia="pt-BR"/>
        </w:rPr>
        <w:t>relativização</w:t>
      </w:r>
      <w:r w:rsidRPr="00701CCC">
        <w:rPr>
          <w:rFonts w:ascii="Times New Roman" w:hAnsi="Times New Roman" w:cs="Times New Roman"/>
          <w:bCs/>
          <w:sz w:val="24"/>
          <w:szCs w:val="24"/>
          <w:lang w:eastAsia="pt-BR"/>
        </w:rPr>
        <w:t xml:space="preserve"> do prequestionamento partindo do princípio da instrumentalidade das formas, sob o pretexto de se garan</w:t>
      </w:r>
      <w:r w:rsidR="00876BEE">
        <w:rPr>
          <w:rFonts w:ascii="Times New Roman" w:hAnsi="Times New Roman" w:cs="Times New Roman"/>
          <w:bCs/>
          <w:sz w:val="24"/>
          <w:szCs w:val="24"/>
          <w:lang w:eastAsia="pt-BR"/>
        </w:rPr>
        <w:t>tir a supremacia constitucional.</w:t>
      </w:r>
    </w:p>
    <w:p w:rsidR="009243E8" w:rsidRPr="00277085" w:rsidRDefault="009243E8" w:rsidP="00D96613">
      <w:pPr>
        <w:spacing w:after="0" w:line="360" w:lineRule="auto"/>
        <w:jc w:val="both"/>
        <w:outlineLvl w:val="0"/>
        <w:rPr>
          <w:rFonts w:ascii="Times New Roman" w:hAnsi="Times New Roman" w:cs="Times New Roman"/>
          <w:bCs/>
          <w:sz w:val="24"/>
          <w:szCs w:val="24"/>
          <w:lang w:eastAsia="pt-BR"/>
        </w:rPr>
      </w:pPr>
    </w:p>
    <w:p w:rsidR="00876BEE" w:rsidRDefault="00701CCC" w:rsidP="000F3DF1">
      <w:pPr>
        <w:pStyle w:val="PargrafodaLista"/>
        <w:tabs>
          <w:tab w:val="left" w:pos="9072"/>
        </w:tabs>
        <w:spacing w:before="120" w:after="120" w:line="360" w:lineRule="auto"/>
        <w:ind w:left="0"/>
        <w:jc w:val="both"/>
        <w:outlineLvl w:val="0"/>
        <w:rPr>
          <w:rFonts w:eastAsia="Arial Unicode MS"/>
          <w:color w:val="000000"/>
          <w:u w:color="000000"/>
          <w:lang w:val="pt-PT"/>
        </w:rPr>
      </w:pPr>
      <w:r w:rsidRPr="00460201">
        <w:rPr>
          <w:rFonts w:eastAsia="Arial Unicode MS"/>
          <w:b/>
          <w:color w:val="000000"/>
          <w:u w:color="000000"/>
          <w:lang w:val="pt-PT"/>
        </w:rPr>
        <w:t>Palavras Chave:</w:t>
      </w:r>
      <w:r w:rsidR="00876BEE">
        <w:rPr>
          <w:rFonts w:eastAsia="Arial Unicode MS"/>
          <w:color w:val="000000"/>
          <w:u w:color="000000"/>
          <w:lang w:val="pt-PT"/>
        </w:rPr>
        <w:t xml:space="preserve"> Prequestionamento,</w:t>
      </w:r>
      <w:r w:rsidRPr="00460201">
        <w:rPr>
          <w:rFonts w:eastAsia="Arial Unicode MS"/>
          <w:color w:val="000000"/>
          <w:u w:color="000000"/>
          <w:lang w:val="pt-PT"/>
        </w:rPr>
        <w:t xml:space="preserve"> </w:t>
      </w:r>
      <w:r w:rsidR="00876BEE">
        <w:rPr>
          <w:rFonts w:eastAsia="Arial Unicode MS"/>
          <w:color w:val="000000"/>
          <w:u w:color="000000"/>
          <w:lang w:val="pt-PT"/>
        </w:rPr>
        <w:t>Recurso Extraordinário</w:t>
      </w:r>
      <w:r w:rsidRPr="00460201">
        <w:rPr>
          <w:rFonts w:eastAsia="Arial Unicode MS"/>
          <w:color w:val="000000"/>
          <w:u w:color="000000"/>
          <w:lang w:val="pt-PT"/>
        </w:rPr>
        <w:t xml:space="preserve">, </w:t>
      </w:r>
      <w:r w:rsidR="00876BEE">
        <w:rPr>
          <w:rFonts w:eastAsia="Arial Unicode MS"/>
          <w:color w:val="000000"/>
          <w:u w:color="000000"/>
          <w:lang w:val="pt-PT"/>
        </w:rPr>
        <w:t>Relativização, Superior Tribunal de Justiça</w:t>
      </w:r>
      <w:r w:rsidRPr="00460201">
        <w:rPr>
          <w:rFonts w:eastAsia="Arial Unicode MS"/>
          <w:color w:val="000000"/>
          <w:u w:color="000000"/>
          <w:lang w:val="pt-PT"/>
        </w:rPr>
        <w:t>.</w:t>
      </w:r>
    </w:p>
    <w:p w:rsidR="006F6057" w:rsidRDefault="006F6057" w:rsidP="009243E8">
      <w:pPr>
        <w:pStyle w:val="PargrafodaLista"/>
        <w:tabs>
          <w:tab w:val="left" w:pos="2127"/>
          <w:tab w:val="left" w:pos="9072"/>
        </w:tabs>
        <w:spacing w:line="360" w:lineRule="auto"/>
        <w:ind w:left="0"/>
        <w:jc w:val="both"/>
        <w:outlineLvl w:val="0"/>
        <w:rPr>
          <w:rFonts w:eastAsia="Arial Unicode MS"/>
          <w:b/>
          <w:color w:val="000000"/>
          <w:u w:color="000000"/>
          <w:lang w:val="pt-PT"/>
        </w:rPr>
      </w:pPr>
    </w:p>
    <w:p w:rsidR="00876BEE" w:rsidRDefault="00876BEE" w:rsidP="006F6057">
      <w:pPr>
        <w:pStyle w:val="PargrafodaLista"/>
        <w:tabs>
          <w:tab w:val="left" w:pos="2127"/>
          <w:tab w:val="left" w:pos="9072"/>
        </w:tabs>
        <w:spacing w:before="120" w:after="120" w:line="360" w:lineRule="auto"/>
        <w:ind w:left="0"/>
        <w:jc w:val="center"/>
        <w:outlineLvl w:val="0"/>
        <w:rPr>
          <w:rFonts w:eastAsia="Arial Unicode MS"/>
          <w:b/>
          <w:color w:val="000000"/>
          <w:u w:color="000000"/>
          <w:lang w:val="pt-PT"/>
        </w:rPr>
      </w:pPr>
      <w:r w:rsidRPr="00876BEE">
        <w:rPr>
          <w:rFonts w:eastAsia="Arial Unicode MS"/>
          <w:b/>
          <w:color w:val="000000"/>
          <w:u w:color="000000"/>
          <w:lang w:val="pt-PT"/>
        </w:rPr>
        <w:t>INTRODUÇÃO</w:t>
      </w:r>
    </w:p>
    <w:p w:rsidR="00277085" w:rsidRDefault="00277085" w:rsidP="00D96613">
      <w:pPr>
        <w:pStyle w:val="PargrafodaLista"/>
        <w:tabs>
          <w:tab w:val="left" w:pos="2127"/>
          <w:tab w:val="left" w:pos="9072"/>
        </w:tabs>
        <w:spacing w:line="360" w:lineRule="auto"/>
        <w:ind w:left="0"/>
        <w:jc w:val="both"/>
        <w:outlineLvl w:val="0"/>
        <w:rPr>
          <w:rFonts w:eastAsia="Arial Unicode MS"/>
          <w:b/>
          <w:color w:val="000000"/>
          <w:u w:color="000000"/>
          <w:lang w:val="pt-PT"/>
        </w:rPr>
      </w:pPr>
    </w:p>
    <w:p w:rsidR="00AA16E5" w:rsidRDefault="00D96613" w:rsidP="00D96613">
      <w:pPr>
        <w:pStyle w:val="PargrafodaLista"/>
        <w:tabs>
          <w:tab w:val="left" w:pos="2127"/>
          <w:tab w:val="left" w:pos="9072"/>
        </w:tabs>
        <w:spacing w:line="360" w:lineRule="auto"/>
        <w:ind w:left="0" w:firstLine="1134"/>
        <w:jc w:val="both"/>
        <w:outlineLvl w:val="0"/>
        <w:rPr>
          <w:rFonts w:eastAsia="Arial Unicode MS"/>
          <w:color w:val="000000"/>
          <w:u w:color="000000"/>
          <w:lang w:val="pt-PT"/>
        </w:rPr>
      </w:pPr>
      <w:r w:rsidRPr="00D96613">
        <w:rPr>
          <w:rFonts w:eastAsia="Arial Unicode MS"/>
          <w:color w:val="000000"/>
          <w:u w:color="000000"/>
          <w:lang w:val="pt-PT"/>
        </w:rPr>
        <w:t xml:space="preserve">A partir </w:t>
      </w:r>
      <w:r>
        <w:rPr>
          <w:rFonts w:eastAsia="Arial Unicode MS"/>
          <w:color w:val="000000"/>
          <w:u w:color="000000"/>
          <w:lang w:val="pt-PT"/>
        </w:rPr>
        <w:t>da promulgação da constituição de 1988 e após o fenômeno de incremteno da força norma</w:t>
      </w:r>
      <w:r w:rsidR="008C5F28">
        <w:rPr>
          <w:rFonts w:eastAsia="Arial Unicode MS"/>
          <w:color w:val="000000"/>
          <w:u w:color="000000"/>
          <w:lang w:val="pt-PT"/>
        </w:rPr>
        <w:t>t</w:t>
      </w:r>
      <w:r>
        <w:rPr>
          <w:rFonts w:eastAsia="Arial Unicode MS"/>
          <w:color w:val="000000"/>
          <w:u w:color="000000"/>
          <w:lang w:val="pt-PT"/>
        </w:rPr>
        <w:t xml:space="preserve">iva da constituição o Superior Tribunal Federal </w:t>
      </w:r>
      <w:r w:rsidR="008C5F28">
        <w:rPr>
          <w:rFonts w:eastAsia="Arial Unicode MS"/>
          <w:color w:val="000000"/>
          <w:u w:color="000000"/>
          <w:lang w:val="pt-PT"/>
        </w:rPr>
        <w:t xml:space="preserve">adquiriu a precípua função de Guardião-Mor da constituição e consequêntemente de suas regras e </w:t>
      </w:r>
      <w:r w:rsidR="008C5F28">
        <w:rPr>
          <w:rFonts w:eastAsia="Arial Unicode MS"/>
          <w:color w:val="000000"/>
          <w:u w:color="000000"/>
          <w:lang w:val="pt-PT"/>
        </w:rPr>
        <w:lastRenderedPageBreak/>
        <w:t>princípios que atuam desde a concepção de constitucionalidade à normas infraconstitucionais até efetiva proteção do valores de ordem constitucional que alicerçam o Estado e o Direito atual. Nesse sentido, o supremo vem historicamente enfrentando uma sobrecarga de demandas em consequência da importância e abrangência de sua função e este excesso de demandas acaba por inviabilizar a tutela do STF tant</w:t>
      </w:r>
      <w:r w:rsidR="00AA16E5">
        <w:rPr>
          <w:rFonts w:eastAsia="Arial Unicode MS"/>
          <w:color w:val="000000"/>
          <w:u w:color="000000"/>
          <w:lang w:val="pt-PT"/>
        </w:rPr>
        <w:t xml:space="preserve">o aos casos em andamento quantos aos futuros caracterizando o que convencional chamar de Crise do Supremo. Frente à grave ameaça de colapso e total ineficácia oferecida por tal crise, o STF vem criando mecanismos para aprimorar a análise e distribuição das matérias efetivmente pertinentes para a tutela deste orgão, e nesse contexto é que se cria o prequestionamento como requisito de admissibilidade de acesso ao supremo no âmbito do Recurso Extraordinário (aqui estudado apenas o na modalidade estrita)  para a efetivação do que no artigo 102 inciso III se entende por causas decididas, pois ao Supremo Tribunal Federal não cabe se apresentar como mera instância revisora, um grau a mais na mossibilidade de impetração de recursos. </w:t>
      </w:r>
    </w:p>
    <w:p w:rsidR="00D96613" w:rsidRDefault="00AA16E5" w:rsidP="00D96613">
      <w:pPr>
        <w:pStyle w:val="PargrafodaLista"/>
        <w:tabs>
          <w:tab w:val="left" w:pos="2127"/>
          <w:tab w:val="left" w:pos="9072"/>
        </w:tabs>
        <w:spacing w:line="360" w:lineRule="auto"/>
        <w:ind w:left="0" w:firstLine="1134"/>
        <w:jc w:val="both"/>
        <w:outlineLvl w:val="0"/>
        <w:rPr>
          <w:rFonts w:eastAsia="Arial Unicode MS"/>
          <w:color w:val="000000"/>
          <w:u w:color="000000"/>
          <w:lang w:val="pt-PT"/>
        </w:rPr>
      </w:pPr>
      <w:r>
        <w:rPr>
          <w:rFonts w:eastAsia="Arial Unicode MS"/>
          <w:color w:val="000000"/>
          <w:u w:color="000000"/>
          <w:lang w:val="pt-PT"/>
        </w:rPr>
        <w:t xml:space="preserve">E nesse contexto é que se fundam as principais críticas e </w:t>
      </w:r>
      <w:r w:rsidR="002C7DC8">
        <w:rPr>
          <w:rFonts w:eastAsia="Arial Unicode MS"/>
          <w:color w:val="000000"/>
          <w:u w:color="000000"/>
          <w:lang w:val="pt-PT"/>
        </w:rPr>
        <w:t xml:space="preserve">divergências sobre o prequestionamento, uma vez que se discute se sua criação não seria apenas um óbce (muitas vezes ecxessivo) de acesso criado para simplesmente desafoguar o STF. Entretanto, com o decorrer de estudos e discussões debruçados sobre tal tema, tornou-se pacífico o entendimento pela necessidade de tal requisito de  admissibilidade, porém ainda resta, a crítica do impedimento excessivo de acesso que, de forma oposta, também atua para ineficácia do surpemo em quanto guardião e garante da constituição e seus preceitos, e apartir desse contexto nasce uma nova problemática igualmente importante: a (im)possibilidade de relativiação do prequestionamento especificamente no ambito dos Recursos Extraordinários.  </w:t>
      </w:r>
      <w:r>
        <w:rPr>
          <w:rFonts w:eastAsia="Arial Unicode MS"/>
          <w:color w:val="000000"/>
          <w:u w:color="000000"/>
          <w:lang w:val="pt-PT"/>
        </w:rPr>
        <w:t xml:space="preserve"> </w:t>
      </w:r>
    </w:p>
    <w:p w:rsidR="008C5F28" w:rsidRPr="00D96613" w:rsidRDefault="008C5F28" w:rsidP="00D96613">
      <w:pPr>
        <w:pStyle w:val="PargrafodaLista"/>
        <w:tabs>
          <w:tab w:val="left" w:pos="2127"/>
          <w:tab w:val="left" w:pos="9072"/>
        </w:tabs>
        <w:spacing w:line="360" w:lineRule="auto"/>
        <w:ind w:left="0" w:firstLine="1134"/>
        <w:jc w:val="both"/>
        <w:outlineLvl w:val="0"/>
        <w:rPr>
          <w:rFonts w:eastAsia="Arial Unicode MS"/>
          <w:color w:val="000000"/>
          <w:u w:color="000000"/>
          <w:lang w:val="pt-PT"/>
        </w:rPr>
      </w:pPr>
    </w:p>
    <w:p w:rsidR="00277085" w:rsidRDefault="00876BEE" w:rsidP="009243E8">
      <w:pPr>
        <w:pStyle w:val="PargrafodaLista"/>
        <w:tabs>
          <w:tab w:val="left" w:pos="2127"/>
          <w:tab w:val="left" w:pos="9072"/>
        </w:tabs>
        <w:spacing w:line="360" w:lineRule="auto"/>
        <w:ind w:left="0"/>
        <w:jc w:val="both"/>
        <w:outlineLvl w:val="0"/>
        <w:rPr>
          <w:b/>
          <w:color w:val="000000" w:themeColor="text1"/>
          <w:lang w:val="pt-BR"/>
        </w:rPr>
      </w:pPr>
      <w:r w:rsidRPr="00876BEE">
        <w:rPr>
          <w:b/>
          <w:color w:val="000000" w:themeColor="text1"/>
          <w:lang w:val="pt-BR"/>
        </w:rPr>
        <w:t>1 CONSIDERAÇÕES INICIAIS SOBRE O PREQUESTIONAMENTO EM SEDE DE RECURSO EXTRAORDINÁRIO</w:t>
      </w:r>
    </w:p>
    <w:p w:rsidR="009243E8" w:rsidRDefault="009243E8" w:rsidP="009243E8">
      <w:pPr>
        <w:pStyle w:val="PargrafodaLista"/>
        <w:tabs>
          <w:tab w:val="left" w:pos="2127"/>
          <w:tab w:val="left" w:pos="9072"/>
        </w:tabs>
        <w:spacing w:line="360" w:lineRule="auto"/>
        <w:ind w:left="0"/>
        <w:jc w:val="both"/>
        <w:outlineLvl w:val="0"/>
        <w:rPr>
          <w:b/>
          <w:color w:val="000000" w:themeColor="text1"/>
          <w:lang w:val="pt-BR"/>
        </w:rPr>
      </w:pPr>
    </w:p>
    <w:p w:rsidR="00876BEE" w:rsidRDefault="003D5258" w:rsidP="009243E8">
      <w:pPr>
        <w:pStyle w:val="PargrafodaLista"/>
        <w:tabs>
          <w:tab w:val="left" w:pos="2127"/>
          <w:tab w:val="left" w:pos="9072"/>
        </w:tabs>
        <w:spacing w:line="360" w:lineRule="auto"/>
        <w:ind w:left="0" w:firstLine="1134"/>
        <w:jc w:val="both"/>
        <w:outlineLvl w:val="0"/>
        <w:rPr>
          <w:color w:val="000000" w:themeColor="text1"/>
          <w:lang w:val="pt-BR"/>
        </w:rPr>
      </w:pPr>
      <w:r>
        <w:rPr>
          <w:color w:val="000000" w:themeColor="text1"/>
          <w:lang w:val="pt-BR"/>
        </w:rPr>
        <w:t>Em seu conceito basilar, o prequestionamento é exigência para admissibilidade dos recursos extraordinários, segundo o qual se impõe que a questão constitucional objeto do recurso extraordinário tenha sido analisada na instância inferior. (</w:t>
      </w:r>
      <w:r w:rsidR="006F7154" w:rsidRPr="004469A9">
        <w:rPr>
          <w:color w:val="000000" w:themeColor="text1"/>
          <w:lang w:val="pt-BR"/>
        </w:rPr>
        <w:t>JÚNIOR</w:t>
      </w:r>
      <w:r>
        <w:rPr>
          <w:color w:val="000000" w:themeColor="text1"/>
          <w:lang w:val="pt-BR"/>
        </w:rPr>
        <w:t>, 2014, p. 245)</w:t>
      </w:r>
    </w:p>
    <w:p w:rsidR="00277085" w:rsidRDefault="00277085" w:rsidP="009243E8">
      <w:pPr>
        <w:pStyle w:val="PargrafodaLista"/>
        <w:tabs>
          <w:tab w:val="left" w:pos="2127"/>
          <w:tab w:val="left" w:pos="9072"/>
        </w:tabs>
        <w:spacing w:line="360" w:lineRule="auto"/>
        <w:ind w:left="0" w:firstLine="1134"/>
        <w:jc w:val="both"/>
        <w:outlineLvl w:val="0"/>
        <w:rPr>
          <w:color w:val="000000" w:themeColor="text1"/>
          <w:lang w:val="pt-BR"/>
        </w:rPr>
      </w:pPr>
      <w:r>
        <w:rPr>
          <w:color w:val="000000" w:themeColor="text1"/>
          <w:lang w:val="pt-BR"/>
        </w:rPr>
        <w:t xml:space="preserve">Portanto, cumpre-se este requisito com o exame, no âmbito da decisão recorrida, da questão constitucional pelo Supremo Tribunal Federal, logo, ocorrendo esta situação, certamente haverá prequestionamento e, em relação </w:t>
      </w:r>
      <w:r w:rsidR="00006DB9">
        <w:rPr>
          <w:color w:val="000000" w:themeColor="text1"/>
          <w:lang w:val="pt-BR"/>
        </w:rPr>
        <w:t>a</w:t>
      </w:r>
      <w:r>
        <w:rPr>
          <w:color w:val="000000" w:themeColor="text1"/>
          <w:lang w:val="pt-BR"/>
        </w:rPr>
        <w:t xml:space="preserve"> matéria prequestionada, o recurso interposto deverá ser analisado. </w:t>
      </w:r>
      <w:r w:rsidR="006F7154">
        <w:rPr>
          <w:color w:val="000000" w:themeColor="text1"/>
          <w:lang w:val="pt-BR"/>
        </w:rPr>
        <w:t>(</w:t>
      </w:r>
      <w:r w:rsidR="006F7154">
        <w:rPr>
          <w:color w:val="000000" w:themeColor="text1"/>
        </w:rPr>
        <w:t>JÚNIOR</w:t>
      </w:r>
      <w:r>
        <w:rPr>
          <w:color w:val="000000" w:themeColor="text1"/>
          <w:lang w:val="pt-BR"/>
        </w:rPr>
        <w:t>, 2014, p. 245).</w:t>
      </w:r>
    </w:p>
    <w:p w:rsidR="00277085" w:rsidRPr="00BA0306" w:rsidRDefault="00277085" w:rsidP="000F3DF1">
      <w:pPr>
        <w:pStyle w:val="PargrafodaLista"/>
        <w:tabs>
          <w:tab w:val="left" w:pos="2127"/>
          <w:tab w:val="left" w:pos="9072"/>
        </w:tabs>
        <w:spacing w:before="120" w:after="120" w:line="360" w:lineRule="auto"/>
        <w:ind w:left="0" w:firstLine="1134"/>
        <w:jc w:val="both"/>
        <w:outlineLvl w:val="0"/>
        <w:rPr>
          <w:color w:val="000000" w:themeColor="text1"/>
          <w:lang w:val="pt-BR"/>
        </w:rPr>
      </w:pPr>
    </w:p>
    <w:p w:rsidR="00277085" w:rsidRPr="009243E8" w:rsidRDefault="00277085" w:rsidP="009243E8">
      <w:pPr>
        <w:pStyle w:val="PargrafodaLista"/>
        <w:numPr>
          <w:ilvl w:val="1"/>
          <w:numId w:val="1"/>
        </w:numPr>
        <w:tabs>
          <w:tab w:val="left" w:pos="2127"/>
          <w:tab w:val="left" w:pos="9072"/>
        </w:tabs>
        <w:spacing w:line="360" w:lineRule="auto"/>
        <w:ind w:left="0" w:hanging="357"/>
        <w:jc w:val="both"/>
        <w:outlineLvl w:val="0"/>
        <w:rPr>
          <w:b/>
          <w:color w:val="000000" w:themeColor="text1"/>
        </w:rPr>
      </w:pPr>
      <w:r w:rsidRPr="00BA0306">
        <w:rPr>
          <w:b/>
          <w:color w:val="000000" w:themeColor="text1"/>
          <w:lang w:val="pt-BR"/>
        </w:rPr>
        <w:lastRenderedPageBreak/>
        <w:t>Sobre</w:t>
      </w:r>
      <w:r w:rsidRPr="00277085">
        <w:rPr>
          <w:b/>
          <w:color w:val="000000" w:themeColor="text1"/>
        </w:rPr>
        <w:t xml:space="preserve"> o</w:t>
      </w:r>
      <w:r w:rsidRPr="00BA0306">
        <w:rPr>
          <w:b/>
          <w:color w:val="000000" w:themeColor="text1"/>
          <w:lang w:val="pt-BR"/>
        </w:rPr>
        <w:t xml:space="preserve"> surgimento </w:t>
      </w:r>
      <w:r w:rsidR="00BA0306" w:rsidRPr="00BA0306">
        <w:rPr>
          <w:b/>
          <w:color w:val="000000" w:themeColor="text1"/>
          <w:lang w:val="pt-BR"/>
        </w:rPr>
        <w:t>deste requisito</w:t>
      </w:r>
    </w:p>
    <w:p w:rsidR="009243E8" w:rsidRPr="00BA0306" w:rsidRDefault="009243E8" w:rsidP="009243E8">
      <w:pPr>
        <w:pStyle w:val="PargrafodaLista"/>
        <w:tabs>
          <w:tab w:val="left" w:pos="2127"/>
          <w:tab w:val="left" w:pos="9072"/>
        </w:tabs>
        <w:spacing w:line="360" w:lineRule="auto"/>
        <w:ind w:left="0"/>
        <w:jc w:val="both"/>
        <w:outlineLvl w:val="0"/>
        <w:rPr>
          <w:b/>
          <w:color w:val="000000" w:themeColor="text1"/>
        </w:rPr>
      </w:pPr>
    </w:p>
    <w:p w:rsidR="00BA0306" w:rsidRPr="009243E8" w:rsidRDefault="00BA0306" w:rsidP="009243E8">
      <w:pPr>
        <w:tabs>
          <w:tab w:val="left" w:pos="2127"/>
          <w:tab w:val="left" w:pos="9072"/>
        </w:tabs>
        <w:spacing w:after="0" w:line="360" w:lineRule="auto"/>
        <w:ind w:firstLine="1134"/>
        <w:jc w:val="both"/>
        <w:outlineLvl w:val="0"/>
        <w:rPr>
          <w:rFonts w:ascii="Times New Roman" w:hAnsi="Times New Roman" w:cs="Times New Roman"/>
          <w:color w:val="000000" w:themeColor="text1"/>
          <w:sz w:val="24"/>
          <w:szCs w:val="24"/>
        </w:rPr>
      </w:pPr>
      <w:r w:rsidRPr="009243E8">
        <w:rPr>
          <w:rFonts w:ascii="Times New Roman" w:hAnsi="Times New Roman" w:cs="Times New Roman"/>
          <w:color w:val="000000" w:themeColor="text1"/>
          <w:sz w:val="24"/>
          <w:szCs w:val="24"/>
        </w:rPr>
        <w:t xml:space="preserve">O prequestionamento teve sua primeira aparição na Constituição Republicana do Estados Unidos do Brasil de 1891 e foi inspirado nos ideais do liberalismo da Lei norte-americana, servindo de instrumento ao deslinde dos recursos extraordinário no </w:t>
      </w:r>
      <w:proofErr w:type="gramStart"/>
      <w:r w:rsidRPr="009243E8">
        <w:rPr>
          <w:rFonts w:ascii="Times New Roman" w:hAnsi="Times New Roman" w:cs="Times New Roman"/>
          <w:color w:val="000000" w:themeColor="text1"/>
          <w:sz w:val="24"/>
          <w:szCs w:val="24"/>
        </w:rPr>
        <w:t>Brasil.</w:t>
      </w:r>
      <w:r w:rsidR="00BD3FEB" w:rsidRPr="009243E8">
        <w:rPr>
          <w:rFonts w:ascii="Times New Roman" w:hAnsi="Times New Roman" w:cs="Times New Roman"/>
          <w:color w:val="000000" w:themeColor="text1"/>
          <w:sz w:val="24"/>
          <w:szCs w:val="24"/>
        </w:rPr>
        <w:t>(</w:t>
      </w:r>
      <w:proofErr w:type="gramEnd"/>
      <w:r w:rsidR="00BD3FEB" w:rsidRPr="009243E8">
        <w:rPr>
          <w:rFonts w:ascii="Times New Roman" w:hAnsi="Times New Roman" w:cs="Times New Roman"/>
          <w:color w:val="000000" w:themeColor="text1"/>
          <w:sz w:val="24"/>
          <w:szCs w:val="24"/>
        </w:rPr>
        <w:t xml:space="preserve">PAVANI, 2011, p.1). </w:t>
      </w:r>
      <w:r w:rsidRPr="009243E8">
        <w:rPr>
          <w:rFonts w:ascii="Times New Roman" w:hAnsi="Times New Roman" w:cs="Times New Roman"/>
          <w:color w:val="000000" w:themeColor="text1"/>
          <w:sz w:val="24"/>
          <w:szCs w:val="24"/>
        </w:rPr>
        <w:t xml:space="preserve">A Constituição norte-americana </w:t>
      </w:r>
      <w:r w:rsidR="00BD3FEB" w:rsidRPr="009243E8">
        <w:rPr>
          <w:rFonts w:ascii="Times New Roman" w:hAnsi="Times New Roman" w:cs="Times New Roman"/>
          <w:color w:val="000000" w:themeColor="text1"/>
          <w:sz w:val="24"/>
          <w:szCs w:val="24"/>
        </w:rPr>
        <w:t>já possuía como princípio</w:t>
      </w:r>
      <w:r w:rsidRPr="009243E8">
        <w:rPr>
          <w:rFonts w:ascii="Times New Roman" w:hAnsi="Times New Roman" w:cs="Times New Roman"/>
          <w:color w:val="000000" w:themeColor="text1"/>
          <w:sz w:val="24"/>
          <w:szCs w:val="24"/>
        </w:rPr>
        <w:t xml:space="preserve"> o duplo grau de jurisdição e o reexame necessário das decisões pr</w:t>
      </w:r>
      <w:r w:rsidR="00BD3FEB" w:rsidRPr="009243E8">
        <w:rPr>
          <w:rFonts w:ascii="Times New Roman" w:hAnsi="Times New Roman" w:cs="Times New Roman"/>
          <w:color w:val="000000" w:themeColor="text1"/>
          <w:sz w:val="24"/>
          <w:szCs w:val="24"/>
        </w:rPr>
        <w:t xml:space="preserve">oferidas </w:t>
      </w:r>
      <w:r w:rsidRPr="009243E8">
        <w:rPr>
          <w:rFonts w:ascii="Times New Roman" w:hAnsi="Times New Roman" w:cs="Times New Roman"/>
          <w:color w:val="000000" w:themeColor="text1"/>
          <w:sz w:val="24"/>
          <w:szCs w:val="24"/>
        </w:rPr>
        <w:t xml:space="preserve">pela Justiça Estadual, </w:t>
      </w:r>
      <w:r w:rsidR="00BD3FEB" w:rsidRPr="009243E8">
        <w:rPr>
          <w:rFonts w:ascii="Times New Roman" w:hAnsi="Times New Roman" w:cs="Times New Roman"/>
          <w:color w:val="000000" w:themeColor="text1"/>
          <w:sz w:val="24"/>
          <w:szCs w:val="24"/>
        </w:rPr>
        <w:t>além do mais, já restringi</w:t>
      </w:r>
      <w:r w:rsidRPr="009243E8">
        <w:rPr>
          <w:rFonts w:ascii="Times New Roman" w:hAnsi="Times New Roman" w:cs="Times New Roman"/>
          <w:color w:val="000000" w:themeColor="text1"/>
          <w:sz w:val="24"/>
          <w:szCs w:val="24"/>
        </w:rPr>
        <w:t>a</w:t>
      </w:r>
      <w:r w:rsidR="00BD3FEB" w:rsidRPr="009243E8">
        <w:rPr>
          <w:rFonts w:ascii="Times New Roman" w:hAnsi="Times New Roman" w:cs="Times New Roman"/>
          <w:color w:val="000000" w:themeColor="text1"/>
          <w:sz w:val="24"/>
          <w:szCs w:val="24"/>
        </w:rPr>
        <w:t xml:space="preserve"> a</w:t>
      </w:r>
      <w:r w:rsidRPr="009243E8">
        <w:rPr>
          <w:rFonts w:ascii="Times New Roman" w:hAnsi="Times New Roman" w:cs="Times New Roman"/>
          <w:color w:val="000000" w:themeColor="text1"/>
          <w:sz w:val="24"/>
          <w:szCs w:val="24"/>
        </w:rPr>
        <w:t xml:space="preserve"> possibilidade de interposição de recursos</w:t>
      </w:r>
      <w:r w:rsidR="00BD3FEB" w:rsidRPr="009243E8">
        <w:rPr>
          <w:rFonts w:ascii="Times New Roman" w:hAnsi="Times New Roman" w:cs="Times New Roman"/>
          <w:color w:val="000000" w:themeColor="text1"/>
          <w:sz w:val="24"/>
          <w:szCs w:val="24"/>
        </w:rPr>
        <w:t>, sendo</w:t>
      </w:r>
      <w:r w:rsidRPr="009243E8">
        <w:rPr>
          <w:rFonts w:ascii="Times New Roman" w:hAnsi="Times New Roman" w:cs="Times New Roman"/>
          <w:color w:val="000000" w:themeColor="text1"/>
          <w:sz w:val="24"/>
          <w:szCs w:val="24"/>
        </w:rPr>
        <w:t xml:space="preserve"> as questões repassadas</w:t>
      </w:r>
      <w:r w:rsidR="00BD3FEB" w:rsidRPr="009243E8">
        <w:rPr>
          <w:rFonts w:ascii="Times New Roman" w:hAnsi="Times New Roman" w:cs="Times New Roman"/>
          <w:color w:val="000000" w:themeColor="text1"/>
          <w:sz w:val="24"/>
          <w:szCs w:val="24"/>
        </w:rPr>
        <w:t xml:space="preserve"> ao</w:t>
      </w:r>
      <w:r w:rsidRPr="009243E8">
        <w:rPr>
          <w:rFonts w:ascii="Times New Roman" w:hAnsi="Times New Roman" w:cs="Times New Roman"/>
          <w:color w:val="000000" w:themeColor="text1"/>
          <w:sz w:val="24"/>
          <w:szCs w:val="24"/>
        </w:rPr>
        <w:t xml:space="preserve"> órgão superior </w:t>
      </w:r>
      <w:r w:rsidR="00BD3FEB" w:rsidRPr="009243E8">
        <w:rPr>
          <w:rFonts w:ascii="Times New Roman" w:hAnsi="Times New Roman" w:cs="Times New Roman"/>
          <w:color w:val="000000" w:themeColor="text1"/>
          <w:sz w:val="24"/>
          <w:szCs w:val="24"/>
        </w:rPr>
        <w:t>deveriam</w:t>
      </w:r>
      <w:r w:rsidRPr="009243E8">
        <w:rPr>
          <w:rFonts w:ascii="Times New Roman" w:hAnsi="Times New Roman" w:cs="Times New Roman"/>
          <w:color w:val="000000" w:themeColor="text1"/>
          <w:sz w:val="24"/>
          <w:szCs w:val="24"/>
        </w:rPr>
        <w:t xml:space="preserve"> ter sido objeto de discussão anterior, </w:t>
      </w:r>
      <w:r w:rsidR="00BD3FEB" w:rsidRPr="009243E8">
        <w:rPr>
          <w:rFonts w:ascii="Times New Roman" w:hAnsi="Times New Roman" w:cs="Times New Roman"/>
          <w:color w:val="000000" w:themeColor="text1"/>
          <w:sz w:val="24"/>
          <w:szCs w:val="24"/>
        </w:rPr>
        <w:t>logo</w:t>
      </w:r>
      <w:r w:rsidRPr="009243E8">
        <w:rPr>
          <w:rFonts w:ascii="Times New Roman" w:hAnsi="Times New Roman" w:cs="Times New Roman"/>
          <w:color w:val="000000" w:themeColor="text1"/>
          <w:sz w:val="24"/>
          <w:szCs w:val="24"/>
        </w:rPr>
        <w:t>, exigia-se o Prequestionamento</w:t>
      </w:r>
      <w:r w:rsidR="00BD3FEB" w:rsidRPr="009243E8">
        <w:rPr>
          <w:rFonts w:ascii="Times New Roman" w:hAnsi="Times New Roman" w:cs="Times New Roman"/>
          <w:color w:val="000000" w:themeColor="text1"/>
          <w:sz w:val="24"/>
          <w:szCs w:val="24"/>
        </w:rPr>
        <w:t xml:space="preserve"> que entendemos hoje</w:t>
      </w:r>
      <w:r w:rsidRPr="009243E8">
        <w:rPr>
          <w:rFonts w:ascii="Times New Roman" w:hAnsi="Times New Roman" w:cs="Times New Roman"/>
          <w:color w:val="000000" w:themeColor="text1"/>
          <w:sz w:val="24"/>
          <w:szCs w:val="24"/>
        </w:rPr>
        <w:t>.</w:t>
      </w:r>
      <w:r w:rsidR="00BD3FEB" w:rsidRPr="009243E8">
        <w:rPr>
          <w:rFonts w:ascii="Times New Roman" w:hAnsi="Times New Roman" w:cs="Times New Roman"/>
          <w:color w:val="000000" w:themeColor="text1"/>
          <w:sz w:val="24"/>
          <w:szCs w:val="24"/>
        </w:rPr>
        <w:t xml:space="preserve"> Destarte, </w:t>
      </w:r>
      <w:r w:rsidR="00565594" w:rsidRPr="009243E8">
        <w:rPr>
          <w:rFonts w:ascii="Times New Roman" w:hAnsi="Times New Roman" w:cs="Times New Roman"/>
          <w:color w:val="000000" w:themeColor="text1"/>
          <w:sz w:val="24"/>
          <w:szCs w:val="24"/>
        </w:rPr>
        <w:t>o</w:t>
      </w:r>
      <w:r w:rsidRPr="009243E8">
        <w:rPr>
          <w:rFonts w:ascii="Times New Roman" w:hAnsi="Times New Roman" w:cs="Times New Roman"/>
          <w:color w:val="000000" w:themeColor="text1"/>
          <w:sz w:val="24"/>
          <w:szCs w:val="24"/>
        </w:rPr>
        <w:t xml:space="preserve"> c</w:t>
      </w:r>
      <w:r w:rsidR="00565594" w:rsidRPr="009243E8">
        <w:rPr>
          <w:rFonts w:ascii="Times New Roman" w:hAnsi="Times New Roman" w:cs="Times New Roman"/>
          <w:color w:val="000000" w:themeColor="text1"/>
          <w:sz w:val="24"/>
          <w:szCs w:val="24"/>
        </w:rPr>
        <w:t xml:space="preserve">onstituinte brasileiro adotou o </w:t>
      </w:r>
      <w:r w:rsidRPr="009243E8">
        <w:rPr>
          <w:rFonts w:ascii="Times New Roman" w:hAnsi="Times New Roman" w:cs="Times New Roman"/>
          <w:i/>
          <w:iCs/>
          <w:color w:val="000000" w:themeColor="text1"/>
          <w:sz w:val="24"/>
          <w:szCs w:val="24"/>
        </w:rPr>
        <w:t xml:space="preserve">writ </w:t>
      </w:r>
      <w:proofErr w:type="spellStart"/>
      <w:r w:rsidRPr="009243E8">
        <w:rPr>
          <w:rFonts w:ascii="Times New Roman" w:hAnsi="Times New Roman" w:cs="Times New Roman"/>
          <w:i/>
          <w:iCs/>
          <w:color w:val="000000" w:themeColor="text1"/>
          <w:sz w:val="24"/>
          <w:szCs w:val="24"/>
        </w:rPr>
        <w:t>of</w:t>
      </w:r>
      <w:proofErr w:type="spellEnd"/>
      <w:r w:rsidRPr="009243E8">
        <w:rPr>
          <w:rFonts w:ascii="Times New Roman" w:hAnsi="Times New Roman" w:cs="Times New Roman"/>
          <w:i/>
          <w:iCs/>
          <w:color w:val="000000" w:themeColor="text1"/>
          <w:sz w:val="24"/>
          <w:szCs w:val="24"/>
        </w:rPr>
        <w:t xml:space="preserve"> </w:t>
      </w:r>
      <w:proofErr w:type="spellStart"/>
      <w:r w:rsidRPr="009243E8">
        <w:rPr>
          <w:rFonts w:ascii="Times New Roman" w:hAnsi="Times New Roman" w:cs="Times New Roman"/>
          <w:i/>
          <w:iCs/>
          <w:color w:val="000000" w:themeColor="text1"/>
          <w:sz w:val="24"/>
          <w:szCs w:val="24"/>
        </w:rPr>
        <w:t>error</w:t>
      </w:r>
      <w:proofErr w:type="spellEnd"/>
      <w:r w:rsidRPr="009243E8">
        <w:rPr>
          <w:rFonts w:ascii="Times New Roman" w:hAnsi="Times New Roman" w:cs="Times New Roman"/>
          <w:color w:val="000000" w:themeColor="text1"/>
          <w:sz w:val="24"/>
          <w:szCs w:val="24"/>
        </w:rPr>
        <w:t xml:space="preserve"> – cabimento de recur</w:t>
      </w:r>
      <w:r w:rsidR="00565594" w:rsidRPr="009243E8">
        <w:rPr>
          <w:rFonts w:ascii="Times New Roman" w:hAnsi="Times New Roman" w:cs="Times New Roman"/>
          <w:color w:val="000000" w:themeColor="text1"/>
          <w:sz w:val="24"/>
          <w:szCs w:val="24"/>
        </w:rPr>
        <w:t>so excepcional -, entretanto, possuía restrições</w:t>
      </w:r>
      <w:r w:rsidRPr="009243E8">
        <w:rPr>
          <w:rFonts w:ascii="Times New Roman" w:hAnsi="Times New Roman" w:cs="Times New Roman"/>
          <w:color w:val="000000" w:themeColor="text1"/>
          <w:sz w:val="24"/>
          <w:szCs w:val="24"/>
        </w:rPr>
        <w:t xml:space="preserve"> pela </w:t>
      </w:r>
      <w:r w:rsidR="00565594" w:rsidRPr="009243E8">
        <w:rPr>
          <w:rFonts w:ascii="Times New Roman" w:hAnsi="Times New Roman" w:cs="Times New Roman"/>
          <w:color w:val="000000" w:themeColor="text1"/>
          <w:sz w:val="24"/>
          <w:szCs w:val="24"/>
        </w:rPr>
        <w:t>exigência do prequestionamento. (PAVANI, 2011, p.1).</w:t>
      </w:r>
    </w:p>
    <w:p w:rsidR="00FD7BB4" w:rsidRPr="009243E8" w:rsidRDefault="00026835"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 xml:space="preserve">Com Constituição </w:t>
      </w:r>
      <w:proofErr w:type="spellStart"/>
      <w:r w:rsidRPr="009243E8">
        <w:rPr>
          <w:color w:val="000000" w:themeColor="text1"/>
          <w:sz w:val="24"/>
          <w:szCs w:val="24"/>
        </w:rPr>
        <w:t>social-democrata</w:t>
      </w:r>
      <w:proofErr w:type="spellEnd"/>
      <w:r w:rsidRPr="009243E8">
        <w:rPr>
          <w:color w:val="000000" w:themeColor="text1"/>
          <w:sz w:val="24"/>
          <w:szCs w:val="24"/>
        </w:rPr>
        <w:t xml:space="preserve"> de 1946, após a queda de Getúlio Vargas, tratou com maior preocupação a importância de um estado democrático, após ter perpassado pelos regimes </w:t>
      </w:r>
      <w:proofErr w:type="spellStart"/>
      <w:r w:rsidRPr="009243E8">
        <w:rPr>
          <w:color w:val="000000" w:themeColor="text1"/>
          <w:sz w:val="24"/>
          <w:szCs w:val="24"/>
        </w:rPr>
        <w:t>nazi-facistas</w:t>
      </w:r>
      <w:proofErr w:type="spellEnd"/>
      <w:r w:rsidRPr="009243E8">
        <w:rPr>
          <w:color w:val="000000" w:themeColor="text1"/>
          <w:sz w:val="24"/>
          <w:szCs w:val="24"/>
        </w:rPr>
        <w:t xml:space="preserve">. Nesta Constituição ocorreu a inclusão do sistema de controle constitucional de toda e qualquer lesão ou ameaça de direito. Contudo, excluiu-se o termo "questionar" das hipóteses de cabimento do recurso extraordinário, e em razão da dispensa do requisito prequestionamento a jurisprudência passou a entender que por conta da natureza de recurso excepcional, não seria necessária a requisição expressa do prequestionamento. </w:t>
      </w:r>
      <w:r w:rsidR="00571E73" w:rsidRPr="009243E8">
        <w:rPr>
          <w:color w:val="000000" w:themeColor="text1"/>
          <w:sz w:val="24"/>
          <w:szCs w:val="24"/>
        </w:rPr>
        <w:t xml:space="preserve">Entretanto, nos dias de hoje, </w:t>
      </w:r>
      <w:r w:rsidR="00FD7BB4" w:rsidRPr="009243E8">
        <w:rPr>
          <w:color w:val="000000" w:themeColor="text1"/>
          <w:sz w:val="24"/>
          <w:szCs w:val="24"/>
        </w:rPr>
        <w:t>discute-se se</w:t>
      </w:r>
      <w:r w:rsidR="00571E73" w:rsidRPr="009243E8">
        <w:rPr>
          <w:color w:val="000000" w:themeColor="text1"/>
          <w:sz w:val="24"/>
          <w:szCs w:val="24"/>
        </w:rPr>
        <w:t xml:space="preserve"> o prequestionamento como entendemos</w:t>
      </w:r>
      <w:r w:rsidR="00FD7BB4" w:rsidRPr="009243E8">
        <w:rPr>
          <w:color w:val="000000" w:themeColor="text1"/>
          <w:sz w:val="24"/>
          <w:szCs w:val="24"/>
        </w:rPr>
        <w:t xml:space="preserve"> é </w:t>
      </w:r>
      <w:r w:rsidR="00571E73" w:rsidRPr="009243E8">
        <w:rPr>
          <w:color w:val="000000" w:themeColor="text1"/>
          <w:sz w:val="24"/>
          <w:szCs w:val="24"/>
        </w:rPr>
        <w:t>criação dos Tribunais</w:t>
      </w:r>
      <w:r w:rsidR="00FD7BB4" w:rsidRPr="009243E8">
        <w:rPr>
          <w:color w:val="000000" w:themeColor="text1"/>
          <w:sz w:val="24"/>
          <w:szCs w:val="24"/>
        </w:rPr>
        <w:t xml:space="preserve"> ou foi extraída da Constituição de </w:t>
      </w:r>
      <w:proofErr w:type="gramStart"/>
      <w:r w:rsidR="00FD7BB4" w:rsidRPr="009243E8">
        <w:rPr>
          <w:color w:val="000000" w:themeColor="text1"/>
          <w:sz w:val="24"/>
          <w:szCs w:val="24"/>
        </w:rPr>
        <w:t xml:space="preserve">1988 </w:t>
      </w:r>
      <w:r w:rsidR="00571E73" w:rsidRPr="009243E8">
        <w:rPr>
          <w:color w:val="000000" w:themeColor="text1"/>
          <w:sz w:val="24"/>
          <w:szCs w:val="24"/>
        </w:rPr>
        <w:t>,</w:t>
      </w:r>
      <w:proofErr w:type="gramEnd"/>
      <w:r w:rsidR="00571E73" w:rsidRPr="009243E8">
        <w:rPr>
          <w:color w:val="000000" w:themeColor="text1"/>
          <w:sz w:val="24"/>
          <w:szCs w:val="24"/>
        </w:rPr>
        <w:t xml:space="preserve"> pois majoritariamente entenderam que mesmo suprimido o vocábulo "questionar" da Carta Magna sempre se conservou como requisito indispensável à admissibilidade e conhecimento dos recursos. </w:t>
      </w:r>
      <w:r w:rsidRPr="009243E8">
        <w:rPr>
          <w:color w:val="000000" w:themeColor="text1"/>
          <w:sz w:val="24"/>
          <w:szCs w:val="24"/>
        </w:rPr>
        <w:t>(PAVANI, 2011, p.1).</w:t>
      </w:r>
      <w:r w:rsidR="00571E73" w:rsidRPr="009243E8">
        <w:rPr>
          <w:color w:val="000000" w:themeColor="text1"/>
          <w:sz w:val="24"/>
          <w:szCs w:val="24"/>
        </w:rPr>
        <w:t xml:space="preserve"> </w:t>
      </w:r>
    </w:p>
    <w:p w:rsidR="00571E73" w:rsidRDefault="00571E73"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Portanto, o Supremo Tribunal Federal passou a criar mecanismos para aprimorar sua participação na organização do judiciário brasileiro, a de guardião da Constituição Federal. Assim, a ideia de que da express</w:t>
      </w:r>
      <w:r w:rsidR="00FD7BB4" w:rsidRPr="009243E8">
        <w:rPr>
          <w:color w:val="000000" w:themeColor="text1"/>
          <w:sz w:val="24"/>
          <w:szCs w:val="24"/>
        </w:rPr>
        <w:t xml:space="preserve">ão “julgar </w:t>
      </w:r>
      <w:r w:rsidRPr="009243E8">
        <w:rPr>
          <w:color w:val="000000" w:themeColor="text1"/>
          <w:sz w:val="24"/>
          <w:szCs w:val="24"/>
        </w:rPr>
        <w:t>causas decididas”</w:t>
      </w:r>
      <w:r w:rsidR="00FD7BB4" w:rsidRPr="009243E8">
        <w:rPr>
          <w:color w:val="000000" w:themeColor="text1"/>
          <w:sz w:val="24"/>
          <w:szCs w:val="24"/>
        </w:rPr>
        <w:t xml:space="preserve"> prevista no art. 102 inc. III da Constituição Federal se extrairia a obrigatoriedade d</w:t>
      </w:r>
      <w:r w:rsidRPr="009243E8">
        <w:rPr>
          <w:color w:val="000000" w:themeColor="text1"/>
          <w:sz w:val="24"/>
          <w:szCs w:val="24"/>
        </w:rPr>
        <w:t xml:space="preserve">a matéria constitucional </w:t>
      </w:r>
      <w:r w:rsidR="00FD7BB4" w:rsidRPr="009243E8">
        <w:rPr>
          <w:color w:val="000000" w:themeColor="text1"/>
          <w:sz w:val="24"/>
          <w:szCs w:val="24"/>
        </w:rPr>
        <w:t xml:space="preserve">ser previamente arguida, </w:t>
      </w:r>
      <w:r w:rsidRPr="009243E8">
        <w:rPr>
          <w:color w:val="000000" w:themeColor="text1"/>
          <w:sz w:val="24"/>
          <w:szCs w:val="24"/>
        </w:rPr>
        <w:t>discutida e dec</w:t>
      </w:r>
      <w:r w:rsidR="00FD7BB4" w:rsidRPr="009243E8">
        <w:rPr>
          <w:color w:val="000000" w:themeColor="text1"/>
          <w:sz w:val="24"/>
          <w:szCs w:val="24"/>
        </w:rPr>
        <w:t>idida pelos tribunais ordinários.</w:t>
      </w:r>
    </w:p>
    <w:p w:rsidR="009243E8" w:rsidRPr="009243E8" w:rsidRDefault="009243E8" w:rsidP="009243E8">
      <w:pPr>
        <w:pStyle w:val="NormalWeb"/>
        <w:shd w:val="clear" w:color="auto" w:fill="FFFFFF"/>
        <w:spacing w:before="0" w:beforeAutospacing="0" w:after="0" w:afterAutospacing="0" w:line="360" w:lineRule="auto"/>
        <w:ind w:firstLine="1134"/>
        <w:jc w:val="both"/>
        <w:rPr>
          <w:color w:val="000000" w:themeColor="text1"/>
          <w:sz w:val="24"/>
          <w:szCs w:val="24"/>
        </w:rPr>
      </w:pPr>
    </w:p>
    <w:p w:rsidR="00FD7BB4" w:rsidRDefault="00FD7BB4" w:rsidP="009243E8">
      <w:pPr>
        <w:pStyle w:val="NormalWeb"/>
        <w:numPr>
          <w:ilvl w:val="1"/>
          <w:numId w:val="1"/>
        </w:numPr>
        <w:shd w:val="clear" w:color="auto" w:fill="FFFFFF"/>
        <w:spacing w:before="0" w:beforeAutospacing="0" w:after="0" w:afterAutospacing="0" w:line="360" w:lineRule="auto"/>
        <w:ind w:left="0"/>
        <w:jc w:val="both"/>
        <w:rPr>
          <w:b/>
          <w:color w:val="000000" w:themeColor="text1"/>
          <w:sz w:val="24"/>
          <w:szCs w:val="24"/>
        </w:rPr>
      </w:pPr>
      <w:r w:rsidRPr="009243E8">
        <w:rPr>
          <w:b/>
          <w:color w:val="000000" w:themeColor="text1"/>
          <w:sz w:val="24"/>
          <w:szCs w:val="24"/>
        </w:rPr>
        <w:t>Sobre as divergências acerca do conceito</w:t>
      </w:r>
    </w:p>
    <w:p w:rsidR="009243E8" w:rsidRPr="009243E8" w:rsidRDefault="009243E8" w:rsidP="009243E8">
      <w:pPr>
        <w:pStyle w:val="NormalWeb"/>
        <w:shd w:val="clear" w:color="auto" w:fill="FFFFFF"/>
        <w:spacing w:before="0" w:beforeAutospacing="0" w:after="0" w:afterAutospacing="0" w:line="360" w:lineRule="auto"/>
        <w:jc w:val="both"/>
        <w:rPr>
          <w:b/>
          <w:color w:val="000000" w:themeColor="text1"/>
          <w:sz w:val="24"/>
          <w:szCs w:val="24"/>
        </w:rPr>
      </w:pPr>
    </w:p>
    <w:p w:rsidR="009000B0" w:rsidRPr="009243E8" w:rsidRDefault="00FD7BB4"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 xml:space="preserve">Cita </w:t>
      </w:r>
      <w:proofErr w:type="spellStart"/>
      <w:r w:rsidR="009000B0" w:rsidRPr="009243E8">
        <w:rPr>
          <w:color w:val="000000" w:themeColor="text1"/>
          <w:sz w:val="24"/>
          <w:szCs w:val="24"/>
        </w:rPr>
        <w:t>Fredie</w:t>
      </w:r>
      <w:proofErr w:type="spellEnd"/>
      <w:r w:rsidR="009000B0" w:rsidRPr="009243E8">
        <w:rPr>
          <w:color w:val="000000" w:themeColor="text1"/>
          <w:sz w:val="24"/>
          <w:szCs w:val="24"/>
        </w:rPr>
        <w:t xml:space="preserve"> Didier Jr</w:t>
      </w:r>
      <w:r w:rsidRPr="009243E8">
        <w:rPr>
          <w:color w:val="000000" w:themeColor="text1"/>
          <w:sz w:val="24"/>
          <w:szCs w:val="24"/>
        </w:rPr>
        <w:t xml:space="preserve"> “</w:t>
      </w:r>
      <w:r w:rsidR="009000B0" w:rsidRPr="009243E8">
        <w:rPr>
          <w:color w:val="000000" w:themeColor="text1"/>
          <w:sz w:val="24"/>
          <w:szCs w:val="24"/>
        </w:rPr>
        <w:t>Segundo José Miguel Garcia Medina, é possível vislumbrar três concepções distintas acerca do prequestionamento, a partir do exame da jurisprudência e doutrina sobre o tema” (</w:t>
      </w:r>
      <w:r w:rsidR="006F7154" w:rsidRPr="009243E8">
        <w:rPr>
          <w:color w:val="000000" w:themeColor="text1"/>
          <w:sz w:val="24"/>
          <w:szCs w:val="24"/>
        </w:rPr>
        <w:t>JÚNIOR</w:t>
      </w:r>
      <w:r w:rsidR="009000B0" w:rsidRPr="009243E8">
        <w:rPr>
          <w:color w:val="000000" w:themeColor="text1"/>
          <w:sz w:val="24"/>
          <w:szCs w:val="24"/>
        </w:rPr>
        <w:t>, 2014, p. 2014)</w:t>
      </w:r>
      <w:r w:rsidR="00DC6540" w:rsidRPr="009243E8">
        <w:rPr>
          <w:color w:val="000000" w:themeColor="text1"/>
          <w:sz w:val="24"/>
          <w:szCs w:val="24"/>
        </w:rPr>
        <w:t xml:space="preserve">. </w:t>
      </w:r>
      <w:r w:rsidR="009000B0" w:rsidRPr="009243E8">
        <w:rPr>
          <w:color w:val="000000" w:themeColor="text1"/>
          <w:sz w:val="24"/>
          <w:szCs w:val="24"/>
        </w:rPr>
        <w:t xml:space="preserve">O Supremo Tribunal Federal, no </w:t>
      </w:r>
      <w:r w:rsidR="009000B0" w:rsidRPr="009243E8">
        <w:rPr>
          <w:color w:val="000000" w:themeColor="text1"/>
          <w:sz w:val="24"/>
          <w:szCs w:val="24"/>
        </w:rPr>
        <w:lastRenderedPageBreak/>
        <w:t xml:space="preserve">julgamento do Recurso Extraordinário 104899, Segunda Turma, sendo o Ministro Relator </w:t>
      </w:r>
      <w:proofErr w:type="spellStart"/>
      <w:r w:rsidR="009000B0" w:rsidRPr="009243E8">
        <w:rPr>
          <w:color w:val="000000" w:themeColor="text1"/>
          <w:sz w:val="24"/>
          <w:szCs w:val="24"/>
        </w:rPr>
        <w:t>Audir</w:t>
      </w:r>
      <w:proofErr w:type="spellEnd"/>
      <w:r w:rsidR="009000B0" w:rsidRPr="009243E8">
        <w:rPr>
          <w:color w:val="000000" w:themeColor="text1"/>
          <w:sz w:val="24"/>
          <w:szCs w:val="24"/>
        </w:rPr>
        <w:t xml:space="preserve"> Passarinho, tendo como configurado o prequestionamento no recurso quando, no acórdão impugnado, houver a adoção de entendimento explicito a respeito</w:t>
      </w:r>
      <w:r w:rsidR="00DC6540" w:rsidRPr="009243E8">
        <w:rPr>
          <w:color w:val="000000" w:themeColor="text1"/>
          <w:sz w:val="24"/>
          <w:szCs w:val="24"/>
        </w:rPr>
        <w:t xml:space="preserve"> da matéria veiculada. (STF - RE: 104899 </w:t>
      </w:r>
      <w:proofErr w:type="gramStart"/>
      <w:r w:rsidR="00DC6540" w:rsidRPr="009243E8">
        <w:rPr>
          <w:color w:val="000000" w:themeColor="text1"/>
          <w:sz w:val="24"/>
          <w:szCs w:val="24"/>
        </w:rPr>
        <w:t>RS ,</w:t>
      </w:r>
      <w:proofErr w:type="gramEnd"/>
      <w:r w:rsidR="00DC6540" w:rsidRPr="009243E8">
        <w:rPr>
          <w:color w:val="000000" w:themeColor="text1"/>
          <w:sz w:val="24"/>
          <w:szCs w:val="24"/>
        </w:rPr>
        <w:t xml:space="preserve"> Relator: Min. ALDIR PASSARINHO, Data de Julgamento: 30/06/1992, SEGUNDA TURMA, Data de Publicação: DJ 18-09-1992).</w:t>
      </w:r>
    </w:p>
    <w:p w:rsidR="00DC6540" w:rsidRPr="009243E8" w:rsidRDefault="00DC6540"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 xml:space="preserve">A segunda posição aqui demonstrada oriunda de entendimento do Superior Tribunal de Justiça no julgamento do Recurso Especial 2.336- MG tendo como Relator o Ministro Carlos Velloso, entende o prequestionamento como o ato da parte debater anteriormente á decisão recorrida, atribuindo á parte este ônus, não havendo necessidade do tribunal de origem manifestar-se ou não sobre a matéria veiculada no recurso </w:t>
      </w:r>
      <w:proofErr w:type="gramStart"/>
      <w:r w:rsidRPr="009243E8">
        <w:rPr>
          <w:color w:val="000000" w:themeColor="text1"/>
          <w:sz w:val="24"/>
          <w:szCs w:val="24"/>
        </w:rPr>
        <w:t>extraordinário.(</w:t>
      </w:r>
      <w:proofErr w:type="gramEnd"/>
      <w:r w:rsidR="006F7154" w:rsidRPr="009243E8">
        <w:rPr>
          <w:color w:val="000000" w:themeColor="text1"/>
          <w:sz w:val="24"/>
          <w:szCs w:val="24"/>
        </w:rPr>
        <w:t>JÚNIOR</w:t>
      </w:r>
      <w:r w:rsidRPr="009243E8">
        <w:rPr>
          <w:color w:val="000000" w:themeColor="text1"/>
          <w:sz w:val="24"/>
          <w:szCs w:val="24"/>
        </w:rPr>
        <w:t>, 2014, p. 246).</w:t>
      </w:r>
    </w:p>
    <w:p w:rsidR="00A2493F" w:rsidRDefault="00A2493F"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Há ainda uma posição híbrida em que considera o prequestionamento como o prévio debate acerca da matéria veiculada, devendo a mesma ser ônus da parte arguir a matéria constitucional, e a mesma deve ser enfrentada pelo Tribunal competente. (STF - AI-</w:t>
      </w:r>
      <w:proofErr w:type="spellStart"/>
      <w:r w:rsidRPr="009243E8">
        <w:rPr>
          <w:color w:val="000000" w:themeColor="text1"/>
          <w:sz w:val="24"/>
          <w:szCs w:val="24"/>
        </w:rPr>
        <w:t>AgR</w:t>
      </w:r>
      <w:proofErr w:type="spellEnd"/>
      <w:r w:rsidRPr="009243E8">
        <w:rPr>
          <w:color w:val="000000" w:themeColor="text1"/>
          <w:sz w:val="24"/>
          <w:szCs w:val="24"/>
        </w:rPr>
        <w:t xml:space="preserve">: 134175 </w:t>
      </w:r>
      <w:proofErr w:type="gramStart"/>
      <w:r w:rsidRPr="009243E8">
        <w:rPr>
          <w:color w:val="000000" w:themeColor="text1"/>
          <w:sz w:val="24"/>
          <w:szCs w:val="24"/>
        </w:rPr>
        <w:t>SP ,</w:t>
      </w:r>
      <w:proofErr w:type="gramEnd"/>
      <w:r w:rsidRPr="009243E8">
        <w:rPr>
          <w:color w:val="000000" w:themeColor="text1"/>
          <w:sz w:val="24"/>
          <w:szCs w:val="24"/>
        </w:rPr>
        <w:t xml:space="preserve"> Relator: CELSO DE MELLO, Data de Julgamento: 02/04/1991, Primeira Turma, Data de Publicação: DJ 06-03-1992).</w:t>
      </w:r>
    </w:p>
    <w:p w:rsidR="009243E8" w:rsidRPr="009243E8" w:rsidRDefault="009243E8" w:rsidP="009243E8">
      <w:pPr>
        <w:pStyle w:val="NormalWeb"/>
        <w:shd w:val="clear" w:color="auto" w:fill="FFFFFF"/>
        <w:spacing w:before="0" w:beforeAutospacing="0" w:after="0" w:afterAutospacing="0" w:line="360" w:lineRule="auto"/>
        <w:jc w:val="both"/>
        <w:rPr>
          <w:color w:val="000000" w:themeColor="text1"/>
          <w:sz w:val="24"/>
          <w:szCs w:val="24"/>
        </w:rPr>
      </w:pPr>
    </w:p>
    <w:p w:rsidR="00A2493F" w:rsidRDefault="00A2493F" w:rsidP="009243E8">
      <w:pPr>
        <w:pStyle w:val="NormalWeb"/>
        <w:numPr>
          <w:ilvl w:val="0"/>
          <w:numId w:val="1"/>
        </w:numPr>
        <w:shd w:val="clear" w:color="auto" w:fill="FFFFFF"/>
        <w:spacing w:before="0" w:beforeAutospacing="0" w:after="0" w:afterAutospacing="0" w:line="360" w:lineRule="auto"/>
        <w:ind w:left="0" w:hanging="357"/>
        <w:jc w:val="both"/>
        <w:rPr>
          <w:b/>
          <w:color w:val="000000" w:themeColor="text1"/>
          <w:sz w:val="24"/>
          <w:szCs w:val="24"/>
        </w:rPr>
      </w:pPr>
      <w:r w:rsidRPr="009243E8">
        <w:rPr>
          <w:b/>
          <w:color w:val="000000" w:themeColor="text1"/>
          <w:sz w:val="24"/>
          <w:szCs w:val="24"/>
        </w:rPr>
        <w:t>DAS FORMAS DE EFETIVAÇÃO DO PREQUESTIONAMENTO NO RECURSO EXTRAORDINÁRIO DENTRO DO PARADIGMA DO PROCESSO CONSTITUCIONALIZADO</w:t>
      </w:r>
    </w:p>
    <w:p w:rsidR="009243E8" w:rsidRPr="009243E8" w:rsidRDefault="009243E8" w:rsidP="009243E8">
      <w:pPr>
        <w:pStyle w:val="NormalWeb"/>
        <w:shd w:val="clear" w:color="auto" w:fill="FFFFFF"/>
        <w:spacing w:before="0" w:beforeAutospacing="0" w:after="0" w:afterAutospacing="0" w:line="360" w:lineRule="auto"/>
        <w:jc w:val="both"/>
        <w:rPr>
          <w:b/>
          <w:color w:val="000000" w:themeColor="text1"/>
          <w:sz w:val="24"/>
          <w:szCs w:val="24"/>
        </w:rPr>
      </w:pPr>
    </w:p>
    <w:p w:rsidR="00A2493F" w:rsidRPr="009243E8" w:rsidRDefault="00DC7456"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O prequestionamento poderá se apresentar de diversas formas. A forma mais simples de ser identificado é o prequestionamento de forma expressa, ou explicita. O prequestionamento explícito é aquele cuja parte argui a matéria expressamente, emitindo o seu posicionamento acerca da matéria constitucional, e tendo como decisão esta devidamente fundamentada e indicando os dispositivos constitucionais apreciadas. Destarte, a ausência dessa descrição clara e impugnação expressa inviabilizaria o recebimento do recurso. (PAVANI, 2011, p.1).</w:t>
      </w:r>
    </w:p>
    <w:p w:rsidR="00DC7456" w:rsidRPr="009243E8" w:rsidRDefault="00DC7456"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 xml:space="preserve">Entretanto, há situações em que a decisão emitida é omissa em alguns pontos e, embora a parte tenha cumprido o ônus de </w:t>
      </w:r>
      <w:proofErr w:type="spellStart"/>
      <w:r w:rsidRPr="009243E8">
        <w:rPr>
          <w:color w:val="000000" w:themeColor="text1"/>
          <w:sz w:val="24"/>
          <w:szCs w:val="24"/>
        </w:rPr>
        <w:t>prequestionar</w:t>
      </w:r>
      <w:proofErr w:type="spellEnd"/>
      <w:r w:rsidRPr="009243E8">
        <w:rPr>
          <w:color w:val="000000" w:themeColor="text1"/>
          <w:sz w:val="24"/>
          <w:szCs w:val="24"/>
        </w:rPr>
        <w:t xml:space="preserve">, a decisão judicial não se pronunciou acerca da constitucionalidade do dispositivo posto á análise, destarte, a solução cabível seria </w:t>
      </w:r>
      <w:r w:rsidR="00C05BB0" w:rsidRPr="009243E8">
        <w:rPr>
          <w:color w:val="000000" w:themeColor="text1"/>
          <w:sz w:val="24"/>
          <w:szCs w:val="24"/>
        </w:rPr>
        <w:t>interpor o recurso</w:t>
      </w:r>
      <w:r w:rsidRPr="009243E8">
        <w:rPr>
          <w:color w:val="000000" w:themeColor="text1"/>
          <w:sz w:val="24"/>
          <w:szCs w:val="24"/>
        </w:rPr>
        <w:t xml:space="preserve"> embargo de declaração</w:t>
      </w:r>
      <w:r w:rsidR="00C05BB0" w:rsidRPr="009243E8">
        <w:rPr>
          <w:color w:val="000000" w:themeColor="text1"/>
          <w:sz w:val="24"/>
          <w:szCs w:val="24"/>
        </w:rPr>
        <w:t>, previsto no art. 535 do Código de Processo Civil que se propõe a sanar os vícios de contradição, omissão e obscuridade presentes em sentença ou acórdão,</w:t>
      </w:r>
      <w:r w:rsidRPr="009243E8">
        <w:rPr>
          <w:color w:val="000000" w:themeColor="text1"/>
          <w:sz w:val="24"/>
          <w:szCs w:val="24"/>
        </w:rPr>
        <w:t xml:space="preserve"> para fins de prequestionamento, </w:t>
      </w:r>
      <w:r w:rsidR="00C05BB0" w:rsidRPr="009243E8">
        <w:rPr>
          <w:color w:val="000000" w:themeColor="text1"/>
          <w:sz w:val="24"/>
          <w:szCs w:val="24"/>
        </w:rPr>
        <w:t>a fim de sanar</w:t>
      </w:r>
      <w:r w:rsidRPr="009243E8">
        <w:rPr>
          <w:color w:val="000000" w:themeColor="text1"/>
          <w:sz w:val="24"/>
          <w:szCs w:val="24"/>
        </w:rPr>
        <w:t xml:space="preserve"> o vício da omissão para que o </w:t>
      </w:r>
      <w:r w:rsidRPr="009243E8">
        <w:rPr>
          <w:color w:val="000000" w:themeColor="text1"/>
          <w:sz w:val="24"/>
          <w:szCs w:val="24"/>
        </w:rPr>
        <w:lastRenderedPageBreak/>
        <w:t>Magistrado se manifeste acerca da matéria constitucional prequestionada</w:t>
      </w:r>
      <w:r w:rsidR="00C05BB0" w:rsidRPr="009243E8">
        <w:rPr>
          <w:color w:val="000000" w:themeColor="text1"/>
          <w:sz w:val="24"/>
          <w:szCs w:val="24"/>
        </w:rPr>
        <w:t xml:space="preserve">. Portanto, destaca-se a súmula de nº 98 do STJ asseverando que </w:t>
      </w:r>
      <w:proofErr w:type="gramStart"/>
      <w:r w:rsidR="00C05BB0" w:rsidRPr="009243E8">
        <w:rPr>
          <w:color w:val="000000" w:themeColor="text1"/>
          <w:sz w:val="24"/>
          <w:szCs w:val="24"/>
        </w:rPr>
        <w:t>os embargos de declaração interpostos com propósito de prequestionamento não tem</w:t>
      </w:r>
      <w:proofErr w:type="gramEnd"/>
      <w:r w:rsidR="00C05BB0" w:rsidRPr="009243E8">
        <w:rPr>
          <w:color w:val="000000" w:themeColor="text1"/>
          <w:sz w:val="24"/>
          <w:szCs w:val="24"/>
        </w:rPr>
        <w:t xml:space="preserve"> caráter protelatório. (PAVANI, 2011, p.1).</w:t>
      </w:r>
    </w:p>
    <w:p w:rsidR="00CF2CF6" w:rsidRDefault="00CF2CF6"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Entretanto se a omissão persistir, conforme orientação do Superior Tribunal de Justiça no enunciado 211, não haverá prequestionamento devendo o recorrente interpor recurso especial alegando violação ao art. 535 do CPC pelo Magistrado. (</w:t>
      </w:r>
      <w:r w:rsidR="006F7154" w:rsidRPr="009243E8">
        <w:rPr>
          <w:color w:val="000000" w:themeColor="text1"/>
          <w:sz w:val="24"/>
          <w:szCs w:val="24"/>
        </w:rPr>
        <w:t>JÚNIOR</w:t>
      </w:r>
      <w:r w:rsidRPr="009243E8">
        <w:rPr>
          <w:color w:val="000000" w:themeColor="text1"/>
          <w:sz w:val="24"/>
          <w:szCs w:val="24"/>
        </w:rPr>
        <w:t>, 2014, p. 248)</w:t>
      </w:r>
    </w:p>
    <w:p w:rsidR="009243E8" w:rsidRPr="009243E8" w:rsidRDefault="009243E8" w:rsidP="009243E8">
      <w:pPr>
        <w:pStyle w:val="NormalWeb"/>
        <w:shd w:val="clear" w:color="auto" w:fill="FFFFFF"/>
        <w:spacing w:before="0" w:beforeAutospacing="0" w:after="0" w:afterAutospacing="0" w:line="360" w:lineRule="auto"/>
        <w:jc w:val="both"/>
        <w:rPr>
          <w:color w:val="000000" w:themeColor="text1"/>
          <w:sz w:val="24"/>
          <w:szCs w:val="24"/>
        </w:rPr>
      </w:pPr>
    </w:p>
    <w:p w:rsidR="009243E8" w:rsidRDefault="00C05BB0" w:rsidP="009243E8">
      <w:pPr>
        <w:pStyle w:val="NormalWeb"/>
        <w:numPr>
          <w:ilvl w:val="1"/>
          <w:numId w:val="1"/>
        </w:numPr>
        <w:shd w:val="clear" w:color="auto" w:fill="FFFFFF"/>
        <w:spacing w:before="0" w:beforeAutospacing="0" w:after="0" w:afterAutospacing="0" w:line="360" w:lineRule="auto"/>
        <w:ind w:left="0"/>
        <w:jc w:val="both"/>
        <w:rPr>
          <w:b/>
          <w:color w:val="000000" w:themeColor="text1"/>
          <w:sz w:val="24"/>
          <w:szCs w:val="24"/>
        </w:rPr>
      </w:pPr>
      <w:r w:rsidRPr="009243E8">
        <w:rPr>
          <w:b/>
          <w:color w:val="000000" w:themeColor="text1"/>
          <w:sz w:val="24"/>
          <w:szCs w:val="24"/>
        </w:rPr>
        <w:t>Do prequestionamento implícito e ficto</w:t>
      </w:r>
    </w:p>
    <w:p w:rsidR="009243E8" w:rsidRPr="009243E8" w:rsidRDefault="009243E8" w:rsidP="009243E8">
      <w:pPr>
        <w:pStyle w:val="NormalWeb"/>
        <w:shd w:val="clear" w:color="auto" w:fill="FFFFFF"/>
        <w:spacing w:before="0" w:beforeAutospacing="0" w:after="0" w:afterAutospacing="0" w:line="360" w:lineRule="auto"/>
        <w:jc w:val="both"/>
        <w:rPr>
          <w:b/>
          <w:color w:val="000000" w:themeColor="text1"/>
          <w:sz w:val="24"/>
          <w:szCs w:val="24"/>
        </w:rPr>
      </w:pPr>
    </w:p>
    <w:p w:rsidR="00CF2CF6" w:rsidRPr="009243E8" w:rsidRDefault="00C05BB0"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Este requisito também poderá ser efetivado com a análise, na decisão recorrida, da matéria constitucional que se deseja discutir a constitucionalidade no Supremo Tribunal Federal, logo, se a matéria for devidamente enfrentada pelo Magistrado</w:t>
      </w:r>
      <w:r w:rsidR="00CF2CF6" w:rsidRPr="009243E8">
        <w:rPr>
          <w:color w:val="000000" w:themeColor="text1"/>
          <w:sz w:val="24"/>
          <w:szCs w:val="24"/>
        </w:rPr>
        <w:t>, embora não haja a menção expressa do dispositivo impugnado</w:t>
      </w:r>
      <w:r w:rsidRPr="009243E8">
        <w:rPr>
          <w:color w:val="000000" w:themeColor="text1"/>
          <w:sz w:val="24"/>
          <w:szCs w:val="24"/>
        </w:rPr>
        <w:t>, poderá ser identificado o preque</w:t>
      </w:r>
      <w:r w:rsidR="00CF2CF6" w:rsidRPr="009243E8">
        <w:rPr>
          <w:color w:val="000000" w:themeColor="text1"/>
          <w:sz w:val="24"/>
          <w:szCs w:val="24"/>
        </w:rPr>
        <w:t>stionamento de forma implícita. Destarte o que realmente se leva em consideração é a efetiva manifestação judicial acerca da matéria constitucional e não a expressa menção do dispositivo da Constituição Federal. (</w:t>
      </w:r>
      <w:r w:rsidR="006F7154" w:rsidRPr="009243E8">
        <w:rPr>
          <w:color w:val="000000" w:themeColor="text1"/>
          <w:sz w:val="24"/>
          <w:szCs w:val="24"/>
        </w:rPr>
        <w:t>JÚNIOR</w:t>
      </w:r>
      <w:r w:rsidR="00CF2CF6" w:rsidRPr="009243E8">
        <w:rPr>
          <w:color w:val="000000" w:themeColor="text1"/>
          <w:sz w:val="24"/>
          <w:szCs w:val="24"/>
        </w:rPr>
        <w:t>, 2014, p. 47).</w:t>
      </w:r>
    </w:p>
    <w:p w:rsidR="005C20BD" w:rsidRDefault="00CF2CF6" w:rsidP="009243E8">
      <w:pPr>
        <w:pStyle w:val="NormalWeb"/>
        <w:shd w:val="clear" w:color="auto" w:fill="FFFFFF"/>
        <w:spacing w:before="0" w:beforeAutospacing="0" w:after="0" w:afterAutospacing="0" w:line="360" w:lineRule="auto"/>
        <w:ind w:firstLine="1134"/>
        <w:jc w:val="both"/>
        <w:rPr>
          <w:color w:val="000000" w:themeColor="text1"/>
          <w:sz w:val="24"/>
          <w:szCs w:val="24"/>
        </w:rPr>
      </w:pPr>
      <w:r w:rsidRPr="009243E8">
        <w:rPr>
          <w:color w:val="000000" w:themeColor="text1"/>
          <w:sz w:val="24"/>
          <w:szCs w:val="24"/>
        </w:rPr>
        <w:t xml:space="preserve">Retomando a discussão acerca dos embargos de declaração </w:t>
      </w:r>
      <w:r w:rsidR="006F7154" w:rsidRPr="009243E8">
        <w:rPr>
          <w:color w:val="000000" w:themeColor="text1"/>
          <w:sz w:val="24"/>
          <w:szCs w:val="24"/>
        </w:rPr>
        <w:t xml:space="preserve">para fins </w:t>
      </w:r>
      <w:proofErr w:type="spellStart"/>
      <w:r w:rsidR="006F7154" w:rsidRPr="009243E8">
        <w:rPr>
          <w:color w:val="000000" w:themeColor="text1"/>
          <w:sz w:val="24"/>
          <w:szCs w:val="24"/>
        </w:rPr>
        <w:t>prequestionadores</w:t>
      </w:r>
      <w:proofErr w:type="spellEnd"/>
      <w:r w:rsidR="006F7154" w:rsidRPr="009243E8">
        <w:rPr>
          <w:color w:val="000000" w:themeColor="text1"/>
          <w:sz w:val="24"/>
          <w:szCs w:val="24"/>
        </w:rPr>
        <w:t xml:space="preserve">, o </w:t>
      </w:r>
      <w:r w:rsidRPr="009243E8">
        <w:rPr>
          <w:color w:val="000000" w:themeColor="text1"/>
          <w:sz w:val="24"/>
          <w:szCs w:val="24"/>
        </w:rPr>
        <w:t xml:space="preserve">Supremo Tribunal Federal já admitiu o chamado prequestionamento ficto, sendo aquele que se considera preenchido o requisito somente com a simples interposição do recurso embargo de declaração para fins </w:t>
      </w:r>
      <w:proofErr w:type="spellStart"/>
      <w:r w:rsidRPr="009243E8">
        <w:rPr>
          <w:color w:val="000000" w:themeColor="text1"/>
          <w:sz w:val="24"/>
          <w:szCs w:val="24"/>
        </w:rPr>
        <w:t>prequestionadores</w:t>
      </w:r>
      <w:proofErr w:type="spellEnd"/>
      <w:r w:rsidRPr="009243E8">
        <w:rPr>
          <w:color w:val="000000" w:themeColor="text1"/>
          <w:sz w:val="24"/>
          <w:szCs w:val="24"/>
        </w:rPr>
        <w:t xml:space="preserve">, independente de </w:t>
      </w:r>
      <w:r w:rsidR="006F7154" w:rsidRPr="009243E8">
        <w:rPr>
          <w:color w:val="000000" w:themeColor="text1"/>
          <w:sz w:val="24"/>
          <w:szCs w:val="24"/>
        </w:rPr>
        <w:t xml:space="preserve">êxito do mesmo. Esta é a interpretação é </w:t>
      </w:r>
      <w:proofErr w:type="gramStart"/>
      <w:r w:rsidR="006F7154" w:rsidRPr="009243E8">
        <w:rPr>
          <w:color w:val="000000" w:themeColor="text1"/>
          <w:sz w:val="24"/>
          <w:szCs w:val="24"/>
        </w:rPr>
        <w:t>a  mais</w:t>
      </w:r>
      <w:proofErr w:type="gramEnd"/>
      <w:r w:rsidR="006F7154" w:rsidRPr="009243E8">
        <w:rPr>
          <w:color w:val="000000" w:themeColor="text1"/>
          <w:sz w:val="24"/>
          <w:szCs w:val="24"/>
        </w:rPr>
        <w:t xml:space="preserve"> flexível do enunciado de nº 356 da súmula da jurisprudência do STF. Entretanto, a 1º Turma do STF não está recebendo o prequestionamento ficto, segundo Didier Jr, sem qualquer justificativa razoável pois a antiga posição seria a mais correta para o autor, não submetendo o cidadão á disposição do trib</w:t>
      </w:r>
      <w:r w:rsidR="005C20BD" w:rsidRPr="009243E8">
        <w:rPr>
          <w:color w:val="000000" w:themeColor="text1"/>
          <w:sz w:val="24"/>
          <w:szCs w:val="24"/>
        </w:rPr>
        <w:t xml:space="preserve">unal recorrido. </w:t>
      </w:r>
      <w:r w:rsidR="006F7154" w:rsidRPr="009243E8">
        <w:rPr>
          <w:color w:val="000000" w:themeColor="text1"/>
          <w:sz w:val="24"/>
          <w:szCs w:val="24"/>
        </w:rPr>
        <w:t>(JÚNIOR, 2014, p. 249)</w:t>
      </w:r>
    </w:p>
    <w:p w:rsidR="009243E8" w:rsidRPr="009243E8" w:rsidRDefault="009243E8" w:rsidP="009243E8">
      <w:pPr>
        <w:pStyle w:val="NormalWeb"/>
        <w:shd w:val="clear" w:color="auto" w:fill="FFFFFF"/>
        <w:spacing w:before="0" w:beforeAutospacing="0" w:after="0" w:afterAutospacing="0" w:line="360" w:lineRule="auto"/>
        <w:jc w:val="both"/>
        <w:rPr>
          <w:color w:val="000000" w:themeColor="text1"/>
          <w:sz w:val="24"/>
          <w:szCs w:val="24"/>
        </w:rPr>
      </w:pPr>
    </w:p>
    <w:p w:rsidR="009243E8" w:rsidRPr="009243E8" w:rsidRDefault="009243E8" w:rsidP="009243E8">
      <w:pPr>
        <w:spacing w:after="0" w:line="360" w:lineRule="auto"/>
        <w:jc w:val="both"/>
        <w:outlineLvl w:val="0"/>
        <w:rPr>
          <w:b/>
          <w:color w:val="000000" w:themeColor="text1"/>
        </w:rPr>
      </w:pPr>
      <w:r w:rsidRPr="009243E8">
        <w:rPr>
          <w:b/>
          <w:color w:val="000000" w:themeColor="text1"/>
        </w:rPr>
        <w:t xml:space="preserve">3 ANÁLISE DO VOTO DA MINISTRA RELATORA ELLEN GRACE NO AGRAVO INTERNO AO AGRAVO DE INSTRUMENTO DE Nº 375011: SOBRE A RELATIVIZAÇÃO DO PREQUESTIONAMENTO DO ENTENDIMENTO DO SUPREMO TRIBUNAL FEDERAL </w:t>
      </w:r>
    </w:p>
    <w:p w:rsidR="009243E8" w:rsidRDefault="009243E8" w:rsidP="009243E8">
      <w:pPr>
        <w:spacing w:after="0" w:line="360" w:lineRule="auto"/>
        <w:jc w:val="both"/>
        <w:outlineLvl w:val="0"/>
        <w:rPr>
          <w:color w:val="000000" w:themeColor="text1"/>
        </w:rPr>
      </w:pPr>
    </w:p>
    <w:p w:rsidR="009243E8" w:rsidRPr="009243E8" w:rsidRDefault="009243E8" w:rsidP="009243E8">
      <w:pPr>
        <w:spacing w:after="0" w:line="360" w:lineRule="auto"/>
        <w:ind w:firstLine="1134"/>
        <w:jc w:val="both"/>
        <w:outlineLvl w:val="0"/>
        <w:rPr>
          <w:rFonts w:ascii="Times New Roman" w:hAnsi="Times New Roman" w:cs="Times New Roman"/>
          <w:color w:val="000000" w:themeColor="text1"/>
          <w:sz w:val="24"/>
          <w:szCs w:val="24"/>
        </w:rPr>
      </w:pPr>
      <w:r w:rsidRPr="009243E8">
        <w:rPr>
          <w:rFonts w:ascii="Times New Roman" w:hAnsi="Times New Roman" w:cs="Times New Roman"/>
          <w:color w:val="000000" w:themeColor="text1"/>
          <w:sz w:val="24"/>
          <w:szCs w:val="24"/>
        </w:rPr>
        <w:t xml:space="preserve">Com base no que fora apresentado até agora, conclui-se pela natureza polêmica que circunda a técnica processual do prequestionamento desde sua concepção até os dias atuais, o que por sua vez vem causando acaloradas discussões doutrinárias que certamente se </w:t>
      </w:r>
      <w:r w:rsidRPr="009243E8">
        <w:rPr>
          <w:rFonts w:ascii="Times New Roman" w:hAnsi="Times New Roman" w:cs="Times New Roman"/>
          <w:color w:val="000000" w:themeColor="text1"/>
          <w:sz w:val="24"/>
          <w:szCs w:val="24"/>
        </w:rPr>
        <w:lastRenderedPageBreak/>
        <w:t>refletem em aplicações jurisprudenciais muitas vezes divergentes entre si. Porém, dentro deste contexto ainda longe de uma devida pacificação, é notória uma tendência interessante que pode ser observada através da análise dos critérios que viabilizam tal requisito de admissibilidade nos tribunais, principalmente no que se refere aos casos de análise de cabimento do denominado prequestionamento implícito pois, ao contrário de sua contraparte explícita, esta modalidade certamente é a que apesenta maiores dificuldades uma vez que, na prática, exige-se um intenso e cauteloso exercício de interpretação para saber se a questão constitucional foi efetivamente debatida, pois não estará expresso os dispositivos correspondentes às questões de âmbito constitucional discutidas.</w:t>
      </w:r>
    </w:p>
    <w:p w:rsidR="009243E8" w:rsidRPr="009243E8" w:rsidRDefault="009243E8" w:rsidP="009243E8">
      <w:pPr>
        <w:shd w:val="clear" w:color="auto" w:fill="FFFFFF"/>
        <w:spacing w:after="0" w:line="360" w:lineRule="auto"/>
        <w:contextualSpacing/>
        <w:jc w:val="both"/>
        <w:rPr>
          <w:rFonts w:ascii="Times New Roman" w:hAnsi="Times New Roman" w:cs="Times New Roman"/>
          <w:sz w:val="24"/>
          <w:szCs w:val="24"/>
        </w:rPr>
      </w:pPr>
      <w:r w:rsidRPr="009243E8">
        <w:rPr>
          <w:rFonts w:ascii="Times New Roman" w:hAnsi="Times New Roman" w:cs="Times New Roman"/>
          <w:color w:val="000000" w:themeColor="text1"/>
          <w:sz w:val="24"/>
          <w:szCs w:val="24"/>
        </w:rPr>
        <w:t xml:space="preserve">Desta forma, o </w:t>
      </w:r>
      <w:r w:rsidRPr="009243E8">
        <w:rPr>
          <w:rFonts w:ascii="Times New Roman" w:hAnsi="Times New Roman" w:cs="Times New Roman"/>
          <w:sz w:val="24"/>
          <w:szCs w:val="24"/>
          <w:lang w:eastAsia="pt-BR"/>
        </w:rPr>
        <w:t>AI-</w:t>
      </w:r>
      <w:proofErr w:type="spellStart"/>
      <w:r w:rsidRPr="009243E8">
        <w:rPr>
          <w:rFonts w:ascii="Times New Roman" w:hAnsi="Times New Roman" w:cs="Times New Roman"/>
          <w:sz w:val="24"/>
          <w:szCs w:val="24"/>
          <w:lang w:eastAsia="pt-BR"/>
        </w:rPr>
        <w:t>AgR</w:t>
      </w:r>
      <w:proofErr w:type="spellEnd"/>
      <w:r w:rsidRPr="009243E8">
        <w:rPr>
          <w:rFonts w:ascii="Times New Roman" w:hAnsi="Times New Roman" w:cs="Times New Roman"/>
          <w:sz w:val="24"/>
          <w:szCs w:val="24"/>
          <w:lang w:eastAsia="pt-BR"/>
        </w:rPr>
        <w:t xml:space="preserve"> 375011</w:t>
      </w:r>
      <w:r w:rsidRPr="009243E8">
        <w:rPr>
          <w:rFonts w:ascii="Times New Roman" w:hAnsi="Times New Roman" w:cs="Times New Roman"/>
          <w:sz w:val="24"/>
          <w:szCs w:val="24"/>
        </w:rPr>
        <w:t xml:space="preserve">, cuja Ministra Relatora fora Ellen Gracie </w:t>
      </w:r>
      <w:r w:rsidRPr="009243E8">
        <w:rPr>
          <w:rFonts w:ascii="Times New Roman" w:hAnsi="Times New Roman" w:cs="Times New Roman"/>
          <w:sz w:val="24"/>
          <w:szCs w:val="24"/>
          <w:lang w:eastAsia="pt-BR"/>
        </w:rPr>
        <w:t>(Supremo Tribunal Federal, 2ª Turma, Agravo Regimental em Agravo de Instrumento nº 375011/RS, Rel. Ministra Ellen Gracie, j. un. 05/10/2004, DJ 28/10/2004.)</w:t>
      </w:r>
      <w:r w:rsidRPr="009243E8">
        <w:rPr>
          <w:rFonts w:ascii="Times New Roman" w:hAnsi="Times New Roman" w:cs="Times New Roman"/>
          <w:sz w:val="24"/>
          <w:szCs w:val="24"/>
        </w:rPr>
        <w:t>, oferece uma síntese bastante elucidativa sobre a tendência aqui afirmada em sede de prequestionamento:</w:t>
      </w:r>
    </w:p>
    <w:p w:rsidR="009243E8" w:rsidRDefault="009243E8" w:rsidP="009243E8">
      <w:pPr>
        <w:spacing w:after="0" w:line="360" w:lineRule="auto"/>
        <w:ind w:firstLine="1134"/>
        <w:jc w:val="both"/>
        <w:outlineLvl w:val="0"/>
      </w:pPr>
    </w:p>
    <w:p w:rsidR="009243E8" w:rsidRPr="009243E8" w:rsidRDefault="009243E8" w:rsidP="009243E8">
      <w:pPr>
        <w:shd w:val="clear" w:color="auto" w:fill="FFFFFF"/>
        <w:spacing w:after="0"/>
        <w:ind w:left="2268"/>
        <w:jc w:val="both"/>
        <w:rPr>
          <w:rFonts w:ascii="Times New Roman" w:hAnsi="Times New Roman" w:cs="Times New Roman"/>
          <w:sz w:val="20"/>
          <w:szCs w:val="20"/>
          <w:lang w:eastAsia="pt-BR"/>
        </w:rPr>
      </w:pPr>
      <w:r w:rsidRPr="009243E8">
        <w:rPr>
          <w:rFonts w:ascii="Times New Roman" w:hAnsi="Times New Roman" w:cs="Times New Roman"/>
          <w:sz w:val="20"/>
          <w:szCs w:val="20"/>
          <w:lang w:eastAsia="pt-BR"/>
        </w:rPr>
        <w:t xml:space="preserve">AGRAVO REGIMENTAL EM AGRAVO DE INSTRUMENTO. SERVIDORES DO MUNICÍPIO DE PORTO ALEGRE. REAJUSTE DE VENCIMENTOS CONCEDIDO PELA LEI MUNICIPAL 7.428/94, ART. 7º, CUJA INCONSTITUCIONALIDADE FOI DECLARADA PELO PLENO DO STF NO RE 251.238. APLICAÇÃO DESTE PRECEDENTE AOS CASOS ANÁLAGOS SUBMETIDOS À TURMA OU AO PLENÁRIO (ART. 101 DO RISTF). 1. Decisão agravada que apontou a ausência de prequestionamento da matéria constitucional suscitada no recurso extraordinário, porquanto a Corte a quo tão-somente aplicou a orientação firmada pelo seu Órgão Especial na ação direta de inconstitucionalidade em que se impugnava o art. 7º da Lei 7.428/94 do Município de Porto Alegre - cujo acórdão não consta do traslado do presente agravo de instrumento -, sem fazer referência aos fundamentos utilizados para chegar à declaração de constitucionalidade da referida norma municipal. 2. Tal circunstância não constitui óbice ao conhecimento e provimento do recurso extraordinário, pois, para tanto, basta a simples declaração de constitucionalidade pelo Tribunal a quo da norma municipal em discussão, mesmo que desacompanhada do aresto que julgou o </w:t>
      </w:r>
      <w:proofErr w:type="spellStart"/>
      <w:r w:rsidRPr="009243E8">
        <w:rPr>
          <w:rFonts w:ascii="Times New Roman" w:hAnsi="Times New Roman" w:cs="Times New Roman"/>
          <w:sz w:val="20"/>
          <w:szCs w:val="20"/>
          <w:lang w:eastAsia="pt-BR"/>
        </w:rPr>
        <w:t>leading</w:t>
      </w:r>
      <w:proofErr w:type="spellEnd"/>
      <w:r w:rsidRPr="009243E8">
        <w:rPr>
          <w:rFonts w:ascii="Times New Roman" w:hAnsi="Times New Roman" w:cs="Times New Roman"/>
          <w:sz w:val="20"/>
          <w:szCs w:val="20"/>
          <w:lang w:eastAsia="pt-BR"/>
        </w:rPr>
        <w:t xml:space="preserve"> case. 3. O RE 251.238 foi provido para se julgar procedente ação direta de inconstitucionalidade da competência originária do Tribunal de Justiça estadual, processo que, como se sabe, tem caráter objetivo, abstrato e efeitos erga omnes. Esta decisão, por força do art. 101 do RISTF, deve ser imediatamente aplicada aos casos análogos submetidos à Turma ou ao Plenário. Nesse sentido, o RE 323.526, 1ª Turma, rel. Min. Sepúlveda Pertence. 4. Agravo regimental provido. </w:t>
      </w:r>
    </w:p>
    <w:p w:rsidR="009243E8" w:rsidRDefault="009243E8" w:rsidP="009243E8">
      <w:pPr>
        <w:shd w:val="clear" w:color="auto" w:fill="FFFFFF"/>
        <w:spacing w:after="0" w:line="360" w:lineRule="auto"/>
        <w:ind w:left="2268"/>
        <w:jc w:val="both"/>
        <w:rPr>
          <w:sz w:val="20"/>
          <w:szCs w:val="20"/>
          <w:lang w:eastAsia="pt-BR"/>
        </w:rPr>
      </w:pPr>
    </w:p>
    <w:p w:rsidR="009243E8" w:rsidRPr="009243E8" w:rsidRDefault="009243E8" w:rsidP="009243E8">
      <w:pPr>
        <w:spacing w:after="0" w:line="360" w:lineRule="auto"/>
        <w:ind w:firstLine="1134"/>
        <w:jc w:val="both"/>
        <w:outlineLvl w:val="0"/>
        <w:rPr>
          <w:rFonts w:ascii="Times New Roman" w:hAnsi="Times New Roman" w:cs="Times New Roman"/>
          <w:sz w:val="24"/>
          <w:szCs w:val="24"/>
        </w:rPr>
      </w:pPr>
      <w:r w:rsidRPr="009243E8">
        <w:rPr>
          <w:rFonts w:ascii="Times New Roman" w:hAnsi="Times New Roman" w:cs="Times New Roman"/>
          <w:sz w:val="24"/>
          <w:szCs w:val="24"/>
        </w:rPr>
        <w:t xml:space="preserve">Através dos argumentos expostos no julgamento do Agravo Interno aqui apresentado, observa-se que apesar do tribunal a quo, cuja decisão encontra-se agravada, ao enfrentar a questão constitucional ter decidido pela inconstitucionalidade da lei invocando apenas orientação prévia de seu órgão especial no sentido da inconstitucionalidade da Lei Municipal Nº 7.428/94 orientação essa cujo acordão não fora translado de forma expressa no </w:t>
      </w:r>
      <w:r w:rsidRPr="009243E8">
        <w:rPr>
          <w:rFonts w:ascii="Times New Roman" w:hAnsi="Times New Roman" w:cs="Times New Roman"/>
          <w:sz w:val="24"/>
          <w:szCs w:val="24"/>
        </w:rPr>
        <w:lastRenderedPageBreak/>
        <w:t>acordão do atual agravo interno, ainda assim, nessas circunstâncias a Ministra Relatora Ellen Gracie considera como efetivo o prequestionamento uma vez que, para fins de cabimento do Recurso Extraordinário bastaria tão somente a declaração de inconstitucionalidade prolatada pelo tribunal a quo.</w:t>
      </w:r>
    </w:p>
    <w:p w:rsidR="009243E8" w:rsidRPr="009243E8" w:rsidRDefault="009243E8" w:rsidP="009243E8">
      <w:pPr>
        <w:spacing w:after="0" w:line="360" w:lineRule="auto"/>
        <w:ind w:firstLine="1134"/>
        <w:jc w:val="both"/>
        <w:outlineLvl w:val="0"/>
        <w:rPr>
          <w:rFonts w:ascii="Times New Roman" w:hAnsi="Times New Roman" w:cs="Times New Roman"/>
          <w:sz w:val="24"/>
          <w:szCs w:val="24"/>
        </w:rPr>
      </w:pPr>
      <w:r w:rsidRPr="009243E8">
        <w:rPr>
          <w:rFonts w:ascii="Times New Roman" w:hAnsi="Times New Roman" w:cs="Times New Roman"/>
          <w:sz w:val="24"/>
          <w:szCs w:val="24"/>
        </w:rPr>
        <w:t>Este entendimento, demonstra de forma clara um critério hermeneuticamente mais largo para configuração do prequestionamento pois, considerando o contexto de tal requisito de admissibilidade em sua modalidade implícita, mesmo sem a presença manifesta do acordão respectivo, a utilização do conteúdo deste último pelo tribunal a quo apresentar-se-ia como suficiente desde que ventilasse sobre a questão constitucional agora discutida em RE. De fato, a partir das 3 teorias já citadas sobre a configuração do prequestionamento (já discutidas na parte das divergências doutrinárias e jurisprudenciais sobre o conceito), conclui-se que a posição tomada pela Ministra Relatora amolda-se À terceira corrente (ou hibrida) que considera configurado tal prequestionamento a partir do devido debate prévio sobre a matéria constitucional incumbindo tanto à parte o ônus de seguir a matéria quanto ao tribunal a quo competente o ônus de enfrenta-la(não necessariamente de forma explícita), e neste enfrentamento é que se encontra o núcleo da tendência atual no que se refere à efetivação de prequestionamento.</w:t>
      </w:r>
    </w:p>
    <w:p w:rsidR="009243E8" w:rsidRPr="009243E8" w:rsidRDefault="009243E8" w:rsidP="009243E8">
      <w:pPr>
        <w:spacing w:after="0" w:line="360" w:lineRule="auto"/>
        <w:ind w:firstLine="1134"/>
        <w:jc w:val="both"/>
        <w:outlineLvl w:val="0"/>
        <w:rPr>
          <w:rFonts w:ascii="Times New Roman" w:hAnsi="Times New Roman" w:cs="Times New Roman"/>
          <w:sz w:val="24"/>
          <w:szCs w:val="24"/>
        </w:rPr>
      </w:pPr>
      <w:r w:rsidRPr="009243E8">
        <w:rPr>
          <w:rFonts w:ascii="Times New Roman" w:hAnsi="Times New Roman" w:cs="Times New Roman"/>
          <w:sz w:val="24"/>
          <w:szCs w:val="24"/>
        </w:rPr>
        <w:t xml:space="preserve">Em sede da análise já feita anteriormente sobre prequestionamento implícito, apresentou-se o entendimento atual de que, para a configuração deste requisito, era necessária que a matéria constitucional fosse devidamente enfrentada pelo juízo a quo sendo este enfrentamento, mais relevante, segundo afirma </w:t>
      </w:r>
      <w:proofErr w:type="spellStart"/>
      <w:r w:rsidRPr="009243E8">
        <w:rPr>
          <w:rFonts w:ascii="Times New Roman" w:hAnsi="Times New Roman" w:cs="Times New Roman"/>
          <w:sz w:val="24"/>
          <w:szCs w:val="24"/>
        </w:rPr>
        <w:t>Fredie</w:t>
      </w:r>
      <w:proofErr w:type="spellEnd"/>
      <w:r w:rsidRPr="009243E8">
        <w:rPr>
          <w:rFonts w:ascii="Times New Roman" w:hAnsi="Times New Roman" w:cs="Times New Roman"/>
          <w:sz w:val="24"/>
          <w:szCs w:val="24"/>
        </w:rPr>
        <w:t xml:space="preserve"> Didier júnior que a expressa menção de dispositivo constitucional</w:t>
      </w:r>
      <w:r w:rsidRPr="009243E8">
        <w:rPr>
          <w:rFonts w:ascii="Times New Roman" w:hAnsi="Times New Roman" w:cs="Times New Roman"/>
          <w:color w:val="000000" w:themeColor="text1"/>
          <w:sz w:val="24"/>
          <w:szCs w:val="24"/>
        </w:rPr>
        <w:t xml:space="preserve"> (JÚNIOR, 2014, p. 47).</w:t>
      </w:r>
      <w:r w:rsidRPr="009243E8">
        <w:rPr>
          <w:rFonts w:ascii="Times New Roman" w:hAnsi="Times New Roman" w:cs="Times New Roman"/>
          <w:sz w:val="24"/>
          <w:szCs w:val="24"/>
        </w:rPr>
        <w:t xml:space="preserve"> Nesse sentido o movimento processual atual, defende a tese da prevalência da cognição suficiente sobre a exauriente, ou seja, de que para efetivação de um devido exercício cognitivo este deve debruçar-se de forma satisfatória sobre as questões suscitadas (mesmo o sendo de forma sucinta) o que não significa enfrentar a matéria de forma exaustiva o que muitas vezes (a depender do contexto) acaba por contribuir para a construção de prolixidades e óbices que impedem a satisfação de certos imperativos como a celeridade processual. Esta tese é igualmente manifestada no entendimento da Ministra Relatora, pois segundo esta, bastaria uma simples declaração de constitucionalidade pelo tribunal a quo, sendo que o termo “simples” fora empregado não de forma a depreciar a cognição do tribunal de origem quanto a sua qualidade mas, ao contrário, para indicar um enfrentamento suficiente (e não necessariamente exauriente o que se reafirma na própria existência do RE que novamente enfrentará a matéria constitucional) de forma que seria </w:t>
      </w:r>
      <w:r w:rsidRPr="009243E8">
        <w:rPr>
          <w:rFonts w:ascii="Times New Roman" w:hAnsi="Times New Roman" w:cs="Times New Roman"/>
          <w:sz w:val="24"/>
          <w:szCs w:val="24"/>
        </w:rPr>
        <w:lastRenderedPageBreak/>
        <w:t>irrelevante a expressa translação do dispositivo constitucional pertinente ou mesmo do acordão utilizado como paradigma pelo tribunal a quo.</w:t>
      </w:r>
    </w:p>
    <w:p w:rsidR="009243E8" w:rsidRPr="009243E8" w:rsidRDefault="009243E8" w:rsidP="009243E8">
      <w:pPr>
        <w:spacing w:after="0" w:line="360" w:lineRule="auto"/>
        <w:ind w:firstLine="1134"/>
        <w:jc w:val="both"/>
        <w:outlineLvl w:val="0"/>
        <w:rPr>
          <w:rFonts w:ascii="Times New Roman" w:hAnsi="Times New Roman" w:cs="Times New Roman"/>
          <w:sz w:val="24"/>
          <w:szCs w:val="24"/>
        </w:rPr>
      </w:pPr>
      <w:r w:rsidRPr="009243E8">
        <w:rPr>
          <w:rFonts w:ascii="Times New Roman" w:hAnsi="Times New Roman" w:cs="Times New Roman"/>
          <w:sz w:val="24"/>
          <w:szCs w:val="24"/>
        </w:rPr>
        <w:t>Apesar da época, o Agravo Interno aqui apresentado sintetiza bem o movimento atual de subjetivação do que seja enfrentar a matéria constitucional, adotado por certa corrente doutrinária e jurisprudencial, o que certamente viabiliza uma flexibilização no tradicional rigor imposto ao prequestionamento desde sua concepção (cabe ressaltar que o</w:t>
      </w:r>
      <w:r w:rsidRPr="009243E8">
        <w:rPr>
          <w:rFonts w:ascii="Times New Roman" w:hAnsi="Times New Roman" w:cs="Times New Roman"/>
          <w:color w:val="000000" w:themeColor="text1"/>
          <w:sz w:val="24"/>
          <w:szCs w:val="24"/>
        </w:rPr>
        <w:t xml:space="preserve"> </w:t>
      </w:r>
      <w:r w:rsidRPr="009243E8">
        <w:rPr>
          <w:rFonts w:ascii="Times New Roman" w:hAnsi="Times New Roman" w:cs="Times New Roman"/>
          <w:sz w:val="24"/>
          <w:szCs w:val="24"/>
          <w:lang w:eastAsia="pt-BR"/>
        </w:rPr>
        <w:t>AI-</w:t>
      </w:r>
      <w:proofErr w:type="spellStart"/>
      <w:r w:rsidRPr="009243E8">
        <w:rPr>
          <w:rFonts w:ascii="Times New Roman" w:hAnsi="Times New Roman" w:cs="Times New Roman"/>
          <w:sz w:val="24"/>
          <w:szCs w:val="24"/>
          <w:lang w:eastAsia="pt-BR"/>
        </w:rPr>
        <w:t>AgR</w:t>
      </w:r>
      <w:proofErr w:type="spellEnd"/>
      <w:r w:rsidRPr="009243E8">
        <w:rPr>
          <w:rFonts w:ascii="Times New Roman" w:hAnsi="Times New Roman" w:cs="Times New Roman"/>
          <w:sz w:val="24"/>
          <w:szCs w:val="24"/>
          <w:lang w:eastAsia="pt-BR"/>
        </w:rPr>
        <w:t xml:space="preserve"> 375011 fora provido por unanimidade).</w:t>
      </w:r>
      <w:r w:rsidRPr="009243E8">
        <w:rPr>
          <w:rFonts w:ascii="Times New Roman" w:hAnsi="Times New Roman" w:cs="Times New Roman"/>
          <w:sz w:val="24"/>
          <w:szCs w:val="24"/>
        </w:rPr>
        <w:t xml:space="preserve">  </w:t>
      </w:r>
    </w:p>
    <w:p w:rsidR="009243E8" w:rsidRPr="009243E8" w:rsidRDefault="009243E8" w:rsidP="009243E8">
      <w:pPr>
        <w:spacing w:after="0" w:line="360" w:lineRule="auto"/>
        <w:ind w:firstLine="1134"/>
        <w:jc w:val="both"/>
        <w:outlineLvl w:val="0"/>
        <w:rPr>
          <w:rFonts w:ascii="Times New Roman" w:hAnsi="Times New Roman" w:cs="Times New Roman"/>
          <w:sz w:val="24"/>
          <w:szCs w:val="24"/>
        </w:rPr>
      </w:pPr>
      <w:r w:rsidRPr="009243E8">
        <w:rPr>
          <w:rFonts w:ascii="Times New Roman" w:hAnsi="Times New Roman" w:cs="Times New Roman"/>
          <w:sz w:val="24"/>
          <w:szCs w:val="24"/>
        </w:rPr>
        <w:t>Por fim, essa crescente abertura formal e hermenêutica em prol de uma relativização do prequestionamento, movimento este aqui exemplificado pelo voto da Ministra Ellen Gracie, indica um cenário na qual o STF passa cada vez mais a seguir uma linha cognitiva diversa daquela que ensejou a própria criação do instituto do prequestionamento, ou seja, se por um lado ainda há amplas discussões acerca dos reais motivos que levaram à criação de tal instituto uma vez que o mesmo fora criado dentro de um período turbulento na qual o STF se via em uma verdadeira crise (a denominada crise do supremo) por conta do excessivo número de demandas remetidas à este órgão, causando uma sobrecarga e falta de eficácia do mesmo (e por isso a desconfiança de que tal requisito nada mais séria do que uma medida criada puramente para desafogar o supremo), por outro lado,  certo é que, este mesmo órgão cada vez mais retoma seu papel de guardião da constituição, e para tanto, é imperativo seguir caminho diverso de outrora sendo imperativo a relativização de um requisito de admissibilidade aos RE criado precipuamente para obstar o devido ingresso a tal recurso.</w:t>
      </w:r>
    </w:p>
    <w:p w:rsidR="009243E8" w:rsidRPr="009243E8" w:rsidRDefault="009243E8" w:rsidP="009243E8">
      <w:pPr>
        <w:spacing w:after="0" w:line="360" w:lineRule="auto"/>
        <w:ind w:firstLine="1134"/>
        <w:jc w:val="both"/>
        <w:outlineLvl w:val="0"/>
        <w:rPr>
          <w:rFonts w:ascii="Times New Roman" w:hAnsi="Times New Roman" w:cs="Times New Roman"/>
          <w:sz w:val="24"/>
          <w:szCs w:val="24"/>
        </w:rPr>
      </w:pPr>
      <w:r w:rsidRPr="009243E8">
        <w:rPr>
          <w:rFonts w:ascii="Times New Roman" w:hAnsi="Times New Roman" w:cs="Times New Roman"/>
          <w:sz w:val="24"/>
          <w:szCs w:val="24"/>
        </w:rPr>
        <w:t>Portanto, a relativização aqui apresentada não significa um caminhar ao abandono do prequestionamento, o que jamais irá ocorrer pois o mesmo atua hodiernamente como importante instrumento de ingresso ao Recurso Extraordinário uma vez que, o STF não deve atuar nesse caso como como mais uma instância revisora mas sim se ater à sua precípua função de guardião da constituição não devendo, assim se debruçar sobre causas novas, mas sim sobre matéria constitucional previamente enfrentada pelos juízos competentes. Nesse sentido, principalmente em se tratando de prequestionamento implícito, o exercício cognitivo do supremo para a averiguação do devido enfrentamento prévio da matéria deve sempre ser regrado não só por formalismos mas pela própria matéria assim como pelos princípios do acesso à justiça e da celeridade processual.</w:t>
      </w:r>
    </w:p>
    <w:p w:rsidR="009243E8" w:rsidRDefault="009243E8" w:rsidP="009243E8">
      <w:pPr>
        <w:spacing w:after="0" w:line="360" w:lineRule="auto"/>
        <w:jc w:val="both"/>
        <w:outlineLvl w:val="0"/>
      </w:pPr>
    </w:p>
    <w:p w:rsidR="009243E8" w:rsidRDefault="009243E8" w:rsidP="009243E8">
      <w:pPr>
        <w:spacing w:after="0" w:line="360" w:lineRule="auto"/>
        <w:jc w:val="both"/>
        <w:outlineLvl w:val="0"/>
        <w:rPr>
          <w:b/>
        </w:rPr>
      </w:pPr>
      <w:r w:rsidRPr="009544A7">
        <w:rPr>
          <w:b/>
        </w:rPr>
        <w:t>4 CONCLUSÃO</w:t>
      </w:r>
    </w:p>
    <w:p w:rsidR="009243E8" w:rsidRDefault="009243E8" w:rsidP="009243E8">
      <w:pPr>
        <w:spacing w:after="0" w:line="360" w:lineRule="auto"/>
        <w:jc w:val="both"/>
        <w:outlineLvl w:val="0"/>
        <w:rPr>
          <w:color w:val="000000" w:themeColor="text1"/>
          <w:sz w:val="24"/>
          <w:szCs w:val="24"/>
        </w:rPr>
      </w:pPr>
    </w:p>
    <w:p w:rsidR="00162AFD" w:rsidRPr="009243E8" w:rsidRDefault="009243E8" w:rsidP="009243E8">
      <w:pPr>
        <w:spacing w:after="0" w:line="360" w:lineRule="auto"/>
        <w:jc w:val="both"/>
        <w:outlineLvl w:val="0"/>
        <w:rPr>
          <w:b/>
        </w:rPr>
      </w:pPr>
      <w:r w:rsidRPr="009243E8">
        <w:rPr>
          <w:color w:val="000000" w:themeColor="text1"/>
          <w:sz w:val="24"/>
          <w:szCs w:val="24"/>
        </w:rPr>
        <w:lastRenderedPageBreak/>
        <w:t>Apesar do manifesto alargamento e pretensão de relativização do prequestionamento quanto requisito de admissibilidade ao supremo em sede de Recurso Extraordinário o fato é que, tal requisito ainda encontra-se envolvo em diversas discussões seja no que tange ao que seriam as causas decididas no que concerne ao devido enfrentamento da matéria constitucional, seja quanto ao ônus da parte e do juiz/ tribunal, às reais intenções de sua criação ou mesmo em relação do que efetivamente seja prequestionamento, uma vez que até hoje ainda não há entendimento conceitual pacificado. Tais divergências em última instância, convergem para o dificultamento do acesso ao supremo, por extrapolar o limite aceitável de criteriosidade inerente ao grau em que se encontra tal órgão, acabando por inviabilizar as garantias constitucionais dando lugar à um mero exercício de afirmação deltológica (ser) de proteção às regras e princípios constitucionais, porém falhando no âmbito ontológico (dever ser). Portanto, mais urgente que uma abertura formal ou hermenêutica em prol de uma facilitação para satisfação do prequestionamento é a necessidade de unificação doutrinária e jurisprudêncial acerca do que realmente venha a ser este requisito, o que servirá de base e guia para que posteriores modificações e relativizações do mesmo não acabem por entrar em contradição com sua precípua natureza ou mesmo com funções do supremo, prevenindo que um remédio processual passe novamente a ser tornar óbice no acesso ao STF retornando viciosamente ao problema base do: o que, porquê e para que foi fora criado tal mecanismo.</w:t>
      </w:r>
    </w:p>
    <w:p w:rsidR="009243E8" w:rsidRPr="009243E8" w:rsidRDefault="009243E8" w:rsidP="002C7DC8">
      <w:pPr>
        <w:pStyle w:val="NormalWeb"/>
        <w:shd w:val="clear" w:color="auto" w:fill="FFFFFF"/>
        <w:spacing w:before="0" w:beforeAutospacing="0" w:after="0" w:afterAutospacing="0" w:line="360" w:lineRule="auto"/>
        <w:jc w:val="both"/>
        <w:rPr>
          <w:color w:val="000000" w:themeColor="text1"/>
          <w:sz w:val="24"/>
          <w:szCs w:val="24"/>
        </w:rPr>
      </w:pPr>
    </w:p>
    <w:p w:rsidR="005C20BD" w:rsidRDefault="006F7154" w:rsidP="000F3DF1">
      <w:pPr>
        <w:pStyle w:val="NormalWeb"/>
        <w:shd w:val="clear" w:color="auto" w:fill="FFFFFF"/>
        <w:spacing w:line="360" w:lineRule="auto"/>
        <w:jc w:val="both"/>
        <w:rPr>
          <w:rFonts w:eastAsia="Arial Unicode MS"/>
          <w:b/>
          <w:color w:val="000000" w:themeColor="text1"/>
          <w:sz w:val="24"/>
          <w:szCs w:val="24"/>
          <w:u w:color="000000"/>
          <w:lang w:val="pt-PT"/>
        </w:rPr>
      </w:pPr>
      <w:r>
        <w:rPr>
          <w:rFonts w:eastAsia="Arial Unicode MS"/>
          <w:b/>
          <w:color w:val="000000" w:themeColor="text1"/>
          <w:sz w:val="24"/>
          <w:szCs w:val="24"/>
          <w:u w:color="000000"/>
          <w:lang w:val="pt-PT"/>
        </w:rPr>
        <w:t>REFERÊNCIAS</w:t>
      </w:r>
    </w:p>
    <w:p w:rsidR="009243E8" w:rsidRPr="005C20BD" w:rsidRDefault="009243E8" w:rsidP="009243E8">
      <w:pPr>
        <w:pStyle w:val="NormalWeb"/>
        <w:shd w:val="clear" w:color="auto" w:fill="FFFFFF"/>
        <w:spacing w:before="0" w:beforeAutospacing="0" w:after="0" w:afterAutospacing="0" w:line="360" w:lineRule="auto"/>
        <w:jc w:val="both"/>
        <w:rPr>
          <w:color w:val="000000" w:themeColor="text1"/>
          <w:sz w:val="24"/>
          <w:szCs w:val="24"/>
        </w:rPr>
      </w:pPr>
    </w:p>
    <w:p w:rsidR="006F7154" w:rsidRDefault="005C20BD" w:rsidP="000F3DF1">
      <w:pPr>
        <w:spacing w:line="240" w:lineRule="auto"/>
        <w:jc w:val="both"/>
        <w:rPr>
          <w:rFonts w:ascii="Times New Roman" w:hAnsi="Times New Roman" w:cs="Times New Roman"/>
          <w:sz w:val="24"/>
          <w:szCs w:val="24"/>
        </w:rPr>
      </w:pPr>
      <w:r w:rsidRPr="0099690D">
        <w:rPr>
          <w:rFonts w:ascii="Times New Roman" w:hAnsi="Times New Roman" w:cs="Times New Roman"/>
          <w:sz w:val="24"/>
          <w:szCs w:val="24"/>
        </w:rPr>
        <w:t>BRASIL</w:t>
      </w:r>
      <w:r w:rsidRPr="0099690D">
        <w:rPr>
          <w:rFonts w:ascii="Times New Roman" w:hAnsi="Times New Roman" w:cs="Times New Roman"/>
          <w:b/>
          <w:sz w:val="24"/>
          <w:szCs w:val="24"/>
        </w:rPr>
        <w:t>. Constituição Federativa do Brasil</w:t>
      </w:r>
      <w:r w:rsidRPr="0099690D">
        <w:rPr>
          <w:rFonts w:ascii="Times New Roman" w:hAnsi="Times New Roman" w:cs="Times New Roman"/>
          <w:sz w:val="24"/>
          <w:szCs w:val="24"/>
        </w:rPr>
        <w:t>, São Paulo: Saraiva, 2012.</w:t>
      </w:r>
    </w:p>
    <w:p w:rsidR="009243E8" w:rsidRDefault="009243E8" w:rsidP="009243E8">
      <w:pPr>
        <w:spacing w:after="0" w:line="240" w:lineRule="auto"/>
        <w:jc w:val="both"/>
        <w:rPr>
          <w:rFonts w:ascii="Times New Roman" w:hAnsi="Times New Roman" w:cs="Times New Roman"/>
          <w:sz w:val="24"/>
          <w:szCs w:val="24"/>
        </w:rPr>
      </w:pPr>
    </w:p>
    <w:p w:rsidR="005C20BD" w:rsidRPr="005C20BD" w:rsidRDefault="005C20BD" w:rsidP="000F3DF1">
      <w:pPr>
        <w:spacing w:line="240" w:lineRule="auto"/>
        <w:jc w:val="both"/>
        <w:rPr>
          <w:rFonts w:ascii="Times New Roman" w:hAnsi="Times New Roman" w:cs="Times New Roman"/>
          <w:sz w:val="24"/>
          <w:szCs w:val="24"/>
        </w:rPr>
      </w:pPr>
      <w:r>
        <w:rPr>
          <w:rFonts w:ascii="Times New Roman" w:hAnsi="Times New Roman" w:cs="Times New Roman"/>
          <w:sz w:val="24"/>
          <w:szCs w:val="24"/>
        </w:rPr>
        <w:t>BRASIL</w:t>
      </w:r>
      <w:r w:rsidRPr="002D2269">
        <w:rPr>
          <w:rFonts w:ascii="Times New Roman" w:hAnsi="Times New Roman" w:cs="Times New Roman"/>
          <w:b/>
          <w:sz w:val="24"/>
          <w:szCs w:val="24"/>
        </w:rPr>
        <w:t xml:space="preserve">. </w:t>
      </w:r>
      <w:r>
        <w:rPr>
          <w:rFonts w:ascii="Times New Roman" w:hAnsi="Times New Roman" w:cs="Times New Roman"/>
          <w:b/>
          <w:sz w:val="24"/>
          <w:szCs w:val="24"/>
        </w:rPr>
        <w:t xml:space="preserve">Lei de nº 5869 de 11 de Janeiro de 1973. </w:t>
      </w:r>
      <w:r>
        <w:rPr>
          <w:rFonts w:ascii="Times New Roman" w:hAnsi="Times New Roman" w:cs="Times New Roman"/>
          <w:sz w:val="24"/>
          <w:szCs w:val="24"/>
        </w:rPr>
        <w:t>Disponível em:&lt;</w:t>
      </w:r>
      <w:hyperlink r:id="rId8" w:history="1">
        <w:r w:rsidRPr="005C20BD">
          <w:rPr>
            <w:rStyle w:val="Hyperlink"/>
            <w:rFonts w:ascii="Times New Roman" w:hAnsi="Times New Roman" w:cs="Times New Roman"/>
            <w:color w:val="000000" w:themeColor="text1"/>
            <w:sz w:val="24"/>
            <w:szCs w:val="24"/>
            <w:u w:val="none"/>
          </w:rPr>
          <w:t>http://www.planalto.gov.br/ccivil_03/leis/l5869compilada.htm</w:t>
        </w:r>
      </w:hyperlink>
      <w:r>
        <w:rPr>
          <w:rFonts w:ascii="Times New Roman" w:hAnsi="Times New Roman" w:cs="Times New Roman"/>
          <w:sz w:val="24"/>
          <w:szCs w:val="24"/>
        </w:rPr>
        <w:t xml:space="preserve"> </w:t>
      </w:r>
      <w:r w:rsidRPr="001F6E18">
        <w:rPr>
          <w:rFonts w:ascii="Times New Roman" w:hAnsi="Times New Roman" w:cs="Times New Roman"/>
          <w:color w:val="000000" w:themeColor="text1"/>
          <w:sz w:val="24"/>
          <w:szCs w:val="24"/>
        </w:rPr>
        <w:t>&gt;</w:t>
      </w:r>
    </w:p>
    <w:p w:rsidR="006F7154" w:rsidRDefault="006F7154" w:rsidP="000F3DF1">
      <w:pPr>
        <w:spacing w:line="240" w:lineRule="auto"/>
        <w:jc w:val="both"/>
        <w:outlineLvl w:val="0"/>
        <w:rPr>
          <w:rFonts w:ascii="Times New Roman" w:eastAsia="Arial Unicode MS" w:hAnsi="Times New Roman" w:cs="Times New Roman"/>
          <w:color w:val="000000" w:themeColor="text1"/>
          <w:sz w:val="24"/>
          <w:szCs w:val="24"/>
          <w:u w:color="000000"/>
          <w:lang w:val="pt-PT"/>
        </w:rPr>
      </w:pPr>
      <w:r w:rsidRPr="006F7154">
        <w:rPr>
          <w:rFonts w:ascii="Times New Roman" w:eastAsia="Arial Unicode MS" w:hAnsi="Times New Roman" w:cs="Times New Roman"/>
          <w:color w:val="000000" w:themeColor="text1"/>
          <w:sz w:val="24"/>
          <w:szCs w:val="24"/>
          <w:u w:color="000000"/>
          <w:lang w:val="pt-PT"/>
        </w:rPr>
        <w:t>JÚNIOR, Fredie Didier; CUNHA, Leonardo Carneiro.</w:t>
      </w:r>
      <w:r w:rsidRPr="006F7154">
        <w:rPr>
          <w:rFonts w:ascii="Times New Roman" w:eastAsia="Arial Unicode MS" w:hAnsi="Times New Roman" w:cs="Times New Roman"/>
          <w:b/>
          <w:color w:val="000000" w:themeColor="text1"/>
          <w:sz w:val="24"/>
          <w:szCs w:val="24"/>
          <w:u w:color="000000"/>
          <w:lang w:val="pt-PT"/>
        </w:rPr>
        <w:t xml:space="preserve">Curso de Direito Processual Civil: </w:t>
      </w:r>
      <w:r w:rsidRPr="006F7154">
        <w:rPr>
          <w:rFonts w:ascii="Times New Roman" w:eastAsia="Arial Unicode MS" w:hAnsi="Times New Roman" w:cs="Times New Roman"/>
          <w:color w:val="000000" w:themeColor="text1"/>
          <w:sz w:val="24"/>
          <w:szCs w:val="24"/>
          <w:u w:color="000000"/>
          <w:lang w:val="pt-PT"/>
        </w:rPr>
        <w:t>Meios de Impugnação ás Decisões Judiciais. 12ª ed. Bahia, JusPODIVM, 2014.</w:t>
      </w:r>
    </w:p>
    <w:p w:rsidR="009243E8" w:rsidRDefault="009243E8" w:rsidP="009243E8">
      <w:pPr>
        <w:spacing w:after="0" w:line="240" w:lineRule="auto"/>
        <w:jc w:val="both"/>
        <w:outlineLvl w:val="0"/>
        <w:rPr>
          <w:rFonts w:ascii="Times New Roman" w:eastAsia="Arial Unicode MS" w:hAnsi="Times New Roman" w:cs="Times New Roman"/>
          <w:color w:val="000000" w:themeColor="text1"/>
          <w:sz w:val="24"/>
          <w:szCs w:val="24"/>
          <w:u w:color="000000"/>
          <w:lang w:val="pt-PT"/>
        </w:rPr>
      </w:pPr>
    </w:p>
    <w:p w:rsidR="005C20BD" w:rsidRDefault="005C20BD" w:rsidP="000F3DF1">
      <w:pPr>
        <w:spacing w:after="0" w:line="240" w:lineRule="auto"/>
        <w:jc w:val="both"/>
        <w:outlineLvl w:val="0"/>
        <w:rPr>
          <w:rFonts w:ascii="Times New Roman" w:hAnsi="Times New Roman" w:cs="Times New Roman"/>
          <w:color w:val="000000" w:themeColor="text1"/>
          <w:sz w:val="24"/>
          <w:szCs w:val="24"/>
        </w:rPr>
      </w:pPr>
      <w:r w:rsidRPr="005C20BD">
        <w:rPr>
          <w:rFonts w:ascii="Times New Roman" w:hAnsi="Times New Roman" w:cs="Times New Roman"/>
          <w:color w:val="000000" w:themeColor="text1"/>
          <w:sz w:val="24"/>
          <w:szCs w:val="24"/>
        </w:rPr>
        <w:t xml:space="preserve">PAVANI, Vanessa Roda. O prequestionamento. In: </w:t>
      </w:r>
      <w:r w:rsidRPr="005C20BD">
        <w:rPr>
          <w:rStyle w:val="Forte"/>
          <w:rFonts w:ascii="Times New Roman" w:hAnsi="Times New Roman" w:cs="Times New Roman"/>
          <w:color w:val="000000" w:themeColor="text1"/>
          <w:sz w:val="24"/>
          <w:szCs w:val="24"/>
        </w:rPr>
        <w:t>Âmbito Jurídico</w:t>
      </w:r>
      <w:r w:rsidRPr="005C20BD">
        <w:rPr>
          <w:rFonts w:ascii="Times New Roman" w:hAnsi="Times New Roman" w:cs="Times New Roman"/>
          <w:color w:val="000000" w:themeColor="text1"/>
          <w:sz w:val="24"/>
          <w:szCs w:val="24"/>
        </w:rPr>
        <w:t>, Rio Grande, XIV, n. 88, maio 2011. Disponível em: &lt;</w:t>
      </w:r>
      <w:hyperlink r:id="rId9" w:tooltip="Informações Bibliográficas" w:history="1">
        <w:r w:rsidRPr="005C20BD">
          <w:rPr>
            <w:rStyle w:val="Hyperlink"/>
            <w:rFonts w:ascii="Times New Roman" w:hAnsi="Times New Roman" w:cs="Times New Roman"/>
            <w:color w:val="000000" w:themeColor="text1"/>
            <w:sz w:val="24"/>
            <w:szCs w:val="24"/>
            <w:u w:val="none"/>
          </w:rPr>
          <w:t>http://www.ambito-juridico.com.br/site/index.php?n_link=revista_artigos_leitura&amp;artigo_id=9489</w:t>
        </w:r>
      </w:hyperlink>
      <w:r w:rsidRPr="005C20BD">
        <w:rPr>
          <w:rFonts w:ascii="Times New Roman" w:hAnsi="Times New Roman" w:cs="Times New Roman"/>
          <w:color w:val="000000" w:themeColor="text1"/>
          <w:sz w:val="24"/>
          <w:szCs w:val="24"/>
        </w:rPr>
        <w:t xml:space="preserve">&gt;. Acesso em </w:t>
      </w:r>
      <w:r>
        <w:rPr>
          <w:rFonts w:ascii="Times New Roman" w:hAnsi="Times New Roman" w:cs="Times New Roman"/>
          <w:color w:val="000000" w:themeColor="text1"/>
          <w:sz w:val="24"/>
          <w:szCs w:val="24"/>
        </w:rPr>
        <w:t xml:space="preserve">09 de </w:t>
      </w:r>
      <w:proofErr w:type="spellStart"/>
      <w:r w:rsidRPr="005C20BD">
        <w:rPr>
          <w:rFonts w:ascii="Times New Roman" w:hAnsi="Times New Roman" w:cs="Times New Roman"/>
          <w:color w:val="000000" w:themeColor="text1"/>
          <w:sz w:val="24"/>
          <w:szCs w:val="24"/>
        </w:rPr>
        <w:t>nov</w:t>
      </w:r>
      <w:proofErr w:type="spellEnd"/>
      <w:r w:rsidRPr="005C20BD">
        <w:rPr>
          <w:rFonts w:ascii="Times New Roman" w:hAnsi="Times New Roman" w:cs="Times New Roman"/>
          <w:color w:val="000000" w:themeColor="text1"/>
          <w:sz w:val="24"/>
          <w:szCs w:val="24"/>
        </w:rPr>
        <w:t xml:space="preserve"> 2014.</w:t>
      </w:r>
    </w:p>
    <w:p w:rsidR="000F3DF1" w:rsidRDefault="000F3DF1" w:rsidP="000F3DF1">
      <w:pPr>
        <w:pStyle w:val="Default"/>
        <w:jc w:val="both"/>
        <w:rPr>
          <w:color w:val="000000" w:themeColor="text1"/>
        </w:rPr>
      </w:pPr>
    </w:p>
    <w:p w:rsidR="006F7154" w:rsidRPr="006F7154" w:rsidRDefault="006F7154" w:rsidP="000F3DF1">
      <w:pPr>
        <w:pStyle w:val="Default"/>
        <w:jc w:val="both"/>
        <w:rPr>
          <w:color w:val="000000" w:themeColor="text1"/>
        </w:rPr>
      </w:pPr>
      <w:r w:rsidRPr="006F7154">
        <w:rPr>
          <w:color w:val="000000" w:themeColor="text1"/>
        </w:rPr>
        <w:t>STF - AI-</w:t>
      </w:r>
      <w:proofErr w:type="spellStart"/>
      <w:r w:rsidRPr="006F7154">
        <w:rPr>
          <w:color w:val="000000" w:themeColor="text1"/>
        </w:rPr>
        <w:t>AgR</w:t>
      </w:r>
      <w:proofErr w:type="spellEnd"/>
      <w:r w:rsidRPr="006F7154">
        <w:rPr>
          <w:color w:val="000000" w:themeColor="text1"/>
        </w:rPr>
        <w:t xml:space="preserve">: 375011 </w:t>
      </w:r>
      <w:proofErr w:type="gramStart"/>
      <w:r w:rsidRPr="006F7154">
        <w:rPr>
          <w:color w:val="000000" w:themeColor="text1"/>
        </w:rPr>
        <w:t>RS ,</w:t>
      </w:r>
      <w:proofErr w:type="gramEnd"/>
      <w:r w:rsidRPr="006F7154">
        <w:rPr>
          <w:color w:val="000000" w:themeColor="text1"/>
        </w:rPr>
        <w:t xml:space="preserve"> Relator: ELLEN GRACIE, Data de Julgamento: 05/10/2004, Segunda Turma, Data de Publicação: DJ 28-10-2004 PP-00043 EMENT VOL-02170-02 PP-00362). Disponível em: &lt;</w:t>
      </w:r>
      <w:hyperlink r:id="rId10" w:history="1">
        <w:r w:rsidRPr="005C20BD">
          <w:rPr>
            <w:rStyle w:val="Hyperlink"/>
            <w:color w:val="000000" w:themeColor="text1"/>
            <w:u w:val="none"/>
          </w:rPr>
          <w:t>http://www.jusbrasil.com.br/login?next=http%3A%2F%2Fstf.jusbrasil.com.br%2Fjurisprudencia%2F767055%2Fagregno-agravo-de-instrumento-ai-agr-375011-rs</w:t>
        </w:r>
      </w:hyperlink>
      <w:r w:rsidRPr="006F7154">
        <w:rPr>
          <w:color w:val="000000" w:themeColor="text1"/>
        </w:rPr>
        <w:t>&gt;. Acesso em: 24 de ago. 2014.</w:t>
      </w:r>
    </w:p>
    <w:p w:rsidR="006F7154" w:rsidRPr="006F7154" w:rsidRDefault="006F7154" w:rsidP="000F3DF1">
      <w:pPr>
        <w:pStyle w:val="Default"/>
        <w:jc w:val="both"/>
        <w:rPr>
          <w:color w:val="000000" w:themeColor="text1"/>
        </w:rPr>
      </w:pPr>
    </w:p>
    <w:p w:rsidR="006F7154" w:rsidRPr="006F7154" w:rsidRDefault="006F7154" w:rsidP="000F3DF1">
      <w:pPr>
        <w:pStyle w:val="Default"/>
        <w:jc w:val="both"/>
        <w:rPr>
          <w:color w:val="000000" w:themeColor="text1"/>
        </w:rPr>
      </w:pPr>
      <w:r w:rsidRPr="006F7154">
        <w:rPr>
          <w:color w:val="000000" w:themeColor="text1"/>
        </w:rPr>
        <w:t xml:space="preserve">STF - RE: 104899 </w:t>
      </w:r>
      <w:proofErr w:type="gramStart"/>
      <w:r w:rsidRPr="006F7154">
        <w:rPr>
          <w:color w:val="000000" w:themeColor="text1"/>
        </w:rPr>
        <w:t>RS ,</w:t>
      </w:r>
      <w:proofErr w:type="gramEnd"/>
      <w:r w:rsidRPr="006F7154">
        <w:rPr>
          <w:color w:val="000000" w:themeColor="text1"/>
        </w:rPr>
        <w:t xml:space="preserve"> Relator: Min. ALDIR PASSARINHO, Data de Julgamento: 30/06/1992, SEGUNDA TURMA, Data de Publicação: DJ 18-09-1992 PP-15410 EMENT VOL-01676-02 PP-00263 RTJ VOL-00144-01 PP-00300</w:t>
      </w:r>
      <w:r>
        <w:rPr>
          <w:color w:val="000000" w:themeColor="text1"/>
        </w:rPr>
        <w:t>. Disponível em: &lt;</w:t>
      </w:r>
      <w:hyperlink r:id="rId11" w:history="1">
        <w:r w:rsidRPr="005C20BD">
          <w:rPr>
            <w:rStyle w:val="Hyperlink"/>
            <w:color w:val="000000" w:themeColor="text1"/>
            <w:u w:val="none"/>
          </w:rPr>
          <w:t>http://stf.jusbrasil.com.br/jurisprudencia/14708871/recurso-extraordinario-re-104899-rs</w:t>
        </w:r>
      </w:hyperlink>
      <w:r w:rsidRPr="006F7154">
        <w:rPr>
          <w:color w:val="000000" w:themeColor="text1"/>
        </w:rPr>
        <w:t>&gt;. Acesso em: 24 de ago. 2014.</w:t>
      </w:r>
    </w:p>
    <w:p w:rsidR="006F7154" w:rsidRPr="006F7154" w:rsidRDefault="006F7154" w:rsidP="000F3DF1">
      <w:pPr>
        <w:pStyle w:val="Default"/>
        <w:jc w:val="both"/>
        <w:rPr>
          <w:color w:val="000000" w:themeColor="text1"/>
        </w:rPr>
      </w:pPr>
    </w:p>
    <w:p w:rsidR="008C5F28" w:rsidRPr="004469A9" w:rsidRDefault="006F7154" w:rsidP="004469A9">
      <w:pPr>
        <w:pStyle w:val="Default"/>
        <w:jc w:val="both"/>
        <w:rPr>
          <w:color w:val="000000" w:themeColor="text1"/>
        </w:rPr>
      </w:pPr>
      <w:r w:rsidRPr="006F7154">
        <w:rPr>
          <w:color w:val="000000" w:themeColor="text1"/>
        </w:rPr>
        <w:t>STF - AI-</w:t>
      </w:r>
      <w:proofErr w:type="spellStart"/>
      <w:r w:rsidRPr="006F7154">
        <w:rPr>
          <w:color w:val="000000" w:themeColor="text1"/>
        </w:rPr>
        <w:t>AgR</w:t>
      </w:r>
      <w:proofErr w:type="spellEnd"/>
      <w:r w:rsidRPr="006F7154">
        <w:rPr>
          <w:color w:val="000000" w:themeColor="text1"/>
        </w:rPr>
        <w:t xml:space="preserve">: 134175 </w:t>
      </w:r>
      <w:proofErr w:type="gramStart"/>
      <w:r w:rsidRPr="006F7154">
        <w:rPr>
          <w:color w:val="000000" w:themeColor="text1"/>
        </w:rPr>
        <w:t>SP ,</w:t>
      </w:r>
      <w:proofErr w:type="gramEnd"/>
      <w:r w:rsidRPr="006F7154">
        <w:rPr>
          <w:color w:val="000000" w:themeColor="text1"/>
        </w:rPr>
        <w:t xml:space="preserve"> Relator: CELSO DE MELLO, Data de Julgamento: 02/04/1991, Primeira Turma, Data de Publicação: DJ 06-03-1992 PP-02432 EMENT VOL-01652-02 PP-00316 RTJ VOL-0013</w:t>
      </w:r>
      <w:r>
        <w:rPr>
          <w:color w:val="000000" w:themeColor="text1"/>
        </w:rPr>
        <w:t>6-03 PP-01346. Disponível em: &lt;</w:t>
      </w:r>
      <w:hyperlink r:id="rId12" w:history="1">
        <w:r w:rsidRPr="005C20BD">
          <w:rPr>
            <w:rStyle w:val="Hyperlink"/>
            <w:color w:val="000000" w:themeColor="text1"/>
            <w:u w:val="none"/>
          </w:rPr>
          <w:t>http://stf.jusbrasil.com.br/jurisprudencia/752093/agregno-agravo-de-instrumento-ai-agr-134175-sp</w:t>
        </w:r>
      </w:hyperlink>
      <w:r w:rsidRPr="006F7154">
        <w:rPr>
          <w:color w:val="000000" w:themeColor="text1"/>
        </w:rPr>
        <w:t>&gt;. Acesso em 24 ago. 2014.</w:t>
      </w:r>
    </w:p>
    <w:sectPr w:rsidR="008C5F28" w:rsidRPr="004469A9" w:rsidSect="000F3DF1">
      <w:headerReference w:type="even" r:id="rId13"/>
      <w:headerReference w:type="default" r:id="rId14"/>
      <w:footerReference w:type="even" r:id="rId15"/>
      <w:footerReference w:type="default" r:id="rId16"/>
      <w:headerReference w:type="first" r:id="rId17"/>
      <w:footerReference w:type="first" r:id="rId18"/>
      <w:pgSz w:w="11906" w:h="16838"/>
      <w:pgMar w:top="1701" w:right="1133" w:bottom="1135"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88D" w:rsidRDefault="003F588D" w:rsidP="00F545FB">
      <w:pPr>
        <w:spacing w:after="0" w:line="240" w:lineRule="auto"/>
      </w:pPr>
      <w:r>
        <w:separator/>
      </w:r>
    </w:p>
  </w:endnote>
  <w:endnote w:type="continuationSeparator" w:id="0">
    <w:p w:rsidR="003F588D" w:rsidRDefault="003F588D" w:rsidP="00F5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2" w:rsidRDefault="00F400F2">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2" w:rsidRDefault="00F400F2">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1DB2" w:rsidRPr="009A6B76" w:rsidRDefault="00F71DB2" w:rsidP="00F71DB2">
    <w:pPr>
      <w:pStyle w:val="Rodap"/>
      <w:tabs>
        <w:tab w:val="clear" w:pos="8504"/>
        <w:tab w:val="right" w:pos="9072"/>
      </w:tabs>
      <w:ind w:right="-568"/>
      <w:rPr>
        <w:rFonts w:ascii="Times New Roman" w:hAnsi="Times New Roman" w:cs="Times New Roman"/>
        <w:sz w:val="20"/>
        <w:szCs w:val="20"/>
      </w:rPr>
    </w:pPr>
    <w:r w:rsidRPr="009A6B76">
      <w:rPr>
        <w:rFonts w:ascii="Times New Roman" w:hAnsi="Times New Roman" w:cs="Times New Roman"/>
        <w:sz w:val="20"/>
        <w:szCs w:val="20"/>
      </w:rPr>
      <w:t xml:space="preserve">¹Paper apresentado pela disciplina de </w:t>
    </w:r>
    <w:r>
      <w:rPr>
        <w:rFonts w:ascii="Times New Roman" w:hAnsi="Times New Roman" w:cs="Times New Roman"/>
        <w:sz w:val="20"/>
        <w:szCs w:val="20"/>
      </w:rPr>
      <w:t>Recursos</w:t>
    </w:r>
    <w:r w:rsidRPr="009A6B76">
      <w:rPr>
        <w:rFonts w:ascii="Times New Roman" w:hAnsi="Times New Roman" w:cs="Times New Roman"/>
        <w:sz w:val="20"/>
        <w:szCs w:val="20"/>
      </w:rPr>
      <w:t xml:space="preserve"> da Unidade de Ensino Superior Dom Bosco – UNDB.</w:t>
    </w:r>
  </w:p>
  <w:p w:rsidR="00F71DB2" w:rsidRPr="009A6B76" w:rsidRDefault="00F71DB2" w:rsidP="00F71DB2">
    <w:pPr>
      <w:pStyle w:val="Rodap"/>
      <w:rPr>
        <w:rFonts w:ascii="Times New Roman" w:hAnsi="Times New Roman" w:cs="Times New Roman"/>
        <w:sz w:val="20"/>
        <w:szCs w:val="20"/>
      </w:rPr>
    </w:pPr>
    <w:r>
      <w:rPr>
        <w:rFonts w:ascii="Times New Roman" w:hAnsi="Times New Roman" w:cs="Times New Roman"/>
        <w:sz w:val="20"/>
        <w:szCs w:val="20"/>
      </w:rPr>
      <w:t>²Alunos do 6</w:t>
    </w:r>
    <w:r w:rsidRPr="009A6B76">
      <w:rPr>
        <w:rFonts w:ascii="Times New Roman" w:hAnsi="Times New Roman" w:cs="Times New Roman"/>
        <w:sz w:val="20"/>
        <w:szCs w:val="20"/>
      </w:rPr>
      <w:t>º período da Unidade de Ensino Superior Dom Bosco – UNDB.</w:t>
    </w:r>
  </w:p>
  <w:p w:rsidR="000F3DF1" w:rsidRDefault="000F3DF1">
    <w:pPr>
      <w:pStyle w:val="Rodap"/>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88D" w:rsidRDefault="003F588D" w:rsidP="00F545FB">
      <w:pPr>
        <w:spacing w:after="0" w:line="240" w:lineRule="auto"/>
      </w:pPr>
      <w:r>
        <w:separator/>
      </w:r>
    </w:p>
  </w:footnote>
  <w:footnote w:type="continuationSeparator" w:id="0">
    <w:p w:rsidR="003F588D" w:rsidRDefault="003F588D" w:rsidP="00F54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2" w:rsidRDefault="00F400F2">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2" w:rsidRDefault="00F400F2">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F2" w:rsidRDefault="00F400F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E317DC"/>
    <w:multiLevelType w:val="multilevel"/>
    <w:tmpl w:val="16C4B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CCC"/>
    <w:rsid w:val="00006DB9"/>
    <w:rsid w:val="00026835"/>
    <w:rsid w:val="000F3DF1"/>
    <w:rsid w:val="0015397A"/>
    <w:rsid w:val="00162AFD"/>
    <w:rsid w:val="002553C7"/>
    <w:rsid w:val="00277085"/>
    <w:rsid w:val="002C7DC8"/>
    <w:rsid w:val="003D5258"/>
    <w:rsid w:val="003E41A9"/>
    <w:rsid w:val="003F588D"/>
    <w:rsid w:val="004469A9"/>
    <w:rsid w:val="00565594"/>
    <w:rsid w:val="00571E73"/>
    <w:rsid w:val="005C20BD"/>
    <w:rsid w:val="00664B71"/>
    <w:rsid w:val="006F6057"/>
    <w:rsid w:val="006F7154"/>
    <w:rsid w:val="00701CCC"/>
    <w:rsid w:val="00876BEE"/>
    <w:rsid w:val="008C5F28"/>
    <w:rsid w:val="009000B0"/>
    <w:rsid w:val="009243E8"/>
    <w:rsid w:val="00A2493F"/>
    <w:rsid w:val="00AA16E5"/>
    <w:rsid w:val="00B313A6"/>
    <w:rsid w:val="00BA0306"/>
    <w:rsid w:val="00BD3FEB"/>
    <w:rsid w:val="00C05BB0"/>
    <w:rsid w:val="00C31FE2"/>
    <w:rsid w:val="00C723F2"/>
    <w:rsid w:val="00CD6E71"/>
    <w:rsid w:val="00CF2CF6"/>
    <w:rsid w:val="00D17EE5"/>
    <w:rsid w:val="00D96613"/>
    <w:rsid w:val="00DC6540"/>
    <w:rsid w:val="00DC7456"/>
    <w:rsid w:val="00E04BBE"/>
    <w:rsid w:val="00E3767A"/>
    <w:rsid w:val="00F209EE"/>
    <w:rsid w:val="00F400F2"/>
    <w:rsid w:val="00F545FB"/>
    <w:rsid w:val="00F71DB2"/>
    <w:rsid w:val="00FD7BB4"/>
    <w:rsid w:val="00FF75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5F405B"/>
  <w15:docId w15:val="{7587860C-1982-419C-BA1F-5D7952B1A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1CC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701CC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Body1">
    <w:name w:val="Body 1"/>
    <w:rsid w:val="00701CCC"/>
    <w:pPr>
      <w:outlineLvl w:val="0"/>
    </w:pPr>
    <w:rPr>
      <w:rFonts w:ascii="Helvetica" w:eastAsia="Arial Unicode MS" w:hAnsi="Helvetica" w:cs="Times New Roman"/>
      <w:color w:val="000000"/>
      <w:szCs w:val="20"/>
      <w:u w:color="000000"/>
      <w:lang w:eastAsia="pt-BR"/>
    </w:rPr>
  </w:style>
  <w:style w:type="paragraph" w:styleId="PargrafodaLista">
    <w:name w:val="List Paragraph"/>
    <w:basedOn w:val="Normal"/>
    <w:uiPriority w:val="34"/>
    <w:qFormat/>
    <w:rsid w:val="00701CCC"/>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026835"/>
    <w:pPr>
      <w:spacing w:before="100" w:beforeAutospacing="1" w:after="100" w:afterAutospacing="1" w:line="240" w:lineRule="auto"/>
    </w:pPr>
    <w:rPr>
      <w:rFonts w:ascii="Times New Roman" w:eastAsia="Times New Roman" w:hAnsi="Times New Roman" w:cs="Times New Roman"/>
      <w:color w:val="3A382C"/>
      <w:sz w:val="18"/>
      <w:szCs w:val="18"/>
      <w:lang w:eastAsia="pt-BR"/>
    </w:rPr>
  </w:style>
  <w:style w:type="character" w:styleId="Hyperlink">
    <w:name w:val="Hyperlink"/>
    <w:rsid w:val="006F7154"/>
    <w:rPr>
      <w:color w:val="0000FF"/>
      <w:u w:val="single"/>
    </w:rPr>
  </w:style>
  <w:style w:type="character" w:styleId="Forte">
    <w:name w:val="Strong"/>
    <w:basedOn w:val="Fontepargpadro"/>
    <w:uiPriority w:val="22"/>
    <w:qFormat/>
    <w:rsid w:val="005C20BD"/>
    <w:rPr>
      <w:b/>
      <w:bCs/>
    </w:rPr>
  </w:style>
  <w:style w:type="paragraph" w:styleId="Cabealho">
    <w:name w:val="header"/>
    <w:basedOn w:val="Normal"/>
    <w:link w:val="CabealhoChar"/>
    <w:uiPriority w:val="99"/>
    <w:unhideWhenUsed/>
    <w:rsid w:val="00F545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545FB"/>
  </w:style>
  <w:style w:type="paragraph" w:styleId="Rodap">
    <w:name w:val="footer"/>
    <w:basedOn w:val="Normal"/>
    <w:link w:val="RodapChar"/>
    <w:uiPriority w:val="99"/>
    <w:unhideWhenUsed/>
    <w:rsid w:val="00F545FB"/>
    <w:pPr>
      <w:tabs>
        <w:tab w:val="center" w:pos="4252"/>
        <w:tab w:val="right" w:pos="8504"/>
      </w:tabs>
      <w:spacing w:after="0" w:line="240" w:lineRule="auto"/>
    </w:pPr>
  </w:style>
  <w:style w:type="character" w:customStyle="1" w:styleId="RodapChar">
    <w:name w:val="Rodapé Char"/>
    <w:basedOn w:val="Fontepargpadro"/>
    <w:link w:val="Rodap"/>
    <w:uiPriority w:val="99"/>
    <w:rsid w:val="00F54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991090">
      <w:bodyDiv w:val="1"/>
      <w:marLeft w:val="0"/>
      <w:marRight w:val="0"/>
      <w:marTop w:val="0"/>
      <w:marBottom w:val="0"/>
      <w:divBdr>
        <w:top w:val="none" w:sz="0" w:space="0" w:color="auto"/>
        <w:left w:val="none" w:sz="0" w:space="0" w:color="auto"/>
        <w:bottom w:val="none" w:sz="0" w:space="0" w:color="auto"/>
        <w:right w:val="none" w:sz="0" w:space="0" w:color="auto"/>
      </w:divBdr>
      <w:divsChild>
        <w:div w:id="1754400479">
          <w:marLeft w:val="0"/>
          <w:marRight w:val="0"/>
          <w:marTop w:val="150"/>
          <w:marBottom w:val="0"/>
          <w:divBdr>
            <w:top w:val="none" w:sz="0" w:space="0" w:color="auto"/>
            <w:left w:val="none" w:sz="0" w:space="0" w:color="auto"/>
            <w:bottom w:val="none" w:sz="0" w:space="0" w:color="auto"/>
            <w:right w:val="none" w:sz="0" w:space="0" w:color="auto"/>
          </w:divBdr>
          <w:divsChild>
            <w:div w:id="942617583">
              <w:marLeft w:val="0"/>
              <w:marRight w:val="0"/>
              <w:marTop w:val="0"/>
              <w:marBottom w:val="0"/>
              <w:divBdr>
                <w:top w:val="none" w:sz="0" w:space="0" w:color="auto"/>
                <w:left w:val="none" w:sz="0" w:space="0" w:color="auto"/>
                <w:bottom w:val="none" w:sz="0" w:space="0" w:color="auto"/>
                <w:right w:val="none" w:sz="0" w:space="0" w:color="auto"/>
              </w:divBdr>
              <w:divsChild>
                <w:div w:id="235480388">
                  <w:marLeft w:val="0"/>
                  <w:marRight w:val="0"/>
                  <w:marTop w:val="0"/>
                  <w:marBottom w:val="0"/>
                  <w:divBdr>
                    <w:top w:val="none" w:sz="0" w:space="0" w:color="auto"/>
                    <w:left w:val="none" w:sz="0" w:space="0" w:color="auto"/>
                    <w:bottom w:val="none" w:sz="0" w:space="0" w:color="auto"/>
                    <w:right w:val="none" w:sz="0" w:space="0" w:color="auto"/>
                  </w:divBdr>
                  <w:divsChild>
                    <w:div w:id="1530530343">
                      <w:marLeft w:val="0"/>
                      <w:marRight w:val="0"/>
                      <w:marTop w:val="0"/>
                      <w:marBottom w:val="0"/>
                      <w:divBdr>
                        <w:top w:val="none" w:sz="0" w:space="0" w:color="auto"/>
                        <w:left w:val="none" w:sz="0" w:space="0" w:color="auto"/>
                        <w:bottom w:val="none" w:sz="0" w:space="0" w:color="auto"/>
                        <w:right w:val="none" w:sz="0" w:space="0" w:color="auto"/>
                      </w:divBdr>
                      <w:divsChild>
                        <w:div w:id="717819931">
                          <w:marLeft w:val="0"/>
                          <w:marRight w:val="0"/>
                          <w:marTop w:val="0"/>
                          <w:marBottom w:val="0"/>
                          <w:divBdr>
                            <w:top w:val="none" w:sz="0" w:space="0" w:color="auto"/>
                            <w:left w:val="none" w:sz="0" w:space="0" w:color="auto"/>
                            <w:bottom w:val="none" w:sz="0" w:space="0" w:color="auto"/>
                            <w:right w:val="none" w:sz="0" w:space="0" w:color="auto"/>
                          </w:divBdr>
                          <w:divsChild>
                            <w:div w:id="1512061620">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5869compilada.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f.jusbrasil.com.br/jurisprudencia/752093/agregno-agravo-de-instrumento-ai-agr-134175-sp"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f.jusbrasil.com.br/jurisprudencia/14708871/recurso-extraordinario-re-104899-r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jusbrasil.com.br/login?next=http%3A%2F%2Fstf.jusbrasil.com.br%2Fjurisprudencia%2F767055%2Fagregno-agravo-de-instrumento-ai-agr-375011-r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mbito-juridico.com.br/site/index.php?n_link=revista_artigos_leitura&amp;artigo_id=9489" TargetMode="External"/><Relationship Id="rId14"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BF9241-46E5-45FD-9FBC-496A5F586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10</Pages>
  <Words>3763</Words>
  <Characters>20321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dc:creator>
  <cp:lastModifiedBy>mozanielvaz</cp:lastModifiedBy>
  <cp:revision>13</cp:revision>
  <dcterms:created xsi:type="dcterms:W3CDTF">2014-11-09T18:34:00Z</dcterms:created>
  <dcterms:modified xsi:type="dcterms:W3CDTF">2016-09-29T18:39:00Z</dcterms:modified>
</cp:coreProperties>
</file>