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A4" w:rsidRDefault="00DC68A4" w:rsidP="00DC6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Importar para produzir? Uma análise sobre os impactos da atividade industrial nas exportações e importações brasileiras.</w:t>
      </w: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68A4" w:rsidRPr="00DC68A4" w:rsidRDefault="00DC68A4" w:rsidP="00DC68A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DC68A4">
        <w:rPr>
          <w:rFonts w:ascii="Times New Roman" w:hAnsi="Times New Roman" w:cs="Times New Roman"/>
          <w:sz w:val="24"/>
          <w:szCs w:val="24"/>
          <w:lang w:val="pt-BR"/>
        </w:rPr>
        <w:t>Felipe Vieira Ferreira de Moura</w:t>
      </w:r>
      <w:r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2"/>
      </w: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65D3" w:rsidRDefault="003A65D3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65D3" w:rsidRDefault="003A65D3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A65D3" w:rsidRDefault="003A65D3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Resumo: </w:t>
      </w:r>
    </w:p>
    <w:p w:rsidR="00DC68A4" w:rsidRP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Este artigo </w:t>
      </w:r>
      <w:r w:rsidR="00F347C4">
        <w:rPr>
          <w:rFonts w:ascii="Times New Roman" w:hAnsi="Times New Roman" w:cs="Times New Roman"/>
          <w:sz w:val="24"/>
          <w:szCs w:val="24"/>
          <w:lang w:val="pt-BR"/>
        </w:rPr>
        <w:t>analisou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 impacto do crescimento industrial sobre os níveis de exportação e importação da economia br</w:t>
      </w:r>
      <w:r w:rsidR="00F347C4">
        <w:rPr>
          <w:rFonts w:ascii="Times New Roman" w:hAnsi="Times New Roman" w:cs="Times New Roman"/>
          <w:sz w:val="24"/>
          <w:szCs w:val="24"/>
          <w:lang w:val="pt-BR"/>
        </w:rPr>
        <w:t xml:space="preserve">asileira - para tal, tomou-se como base a indústria de transformação, por ser a principal categoria que se utiliza de bens de produção da pauta importadora. Nesse sentido, no contexto da Lei de Thirwall, pôde-se identificar como a atividade interna é restringida pelas contas externas do balanço de pagamentos. Para tal, utilizou-se um modelo de regressão linear simples, com base no Método dos Mínimos Quadrados Ordinários. </w:t>
      </w:r>
      <w:r w:rsidR="000F002E">
        <w:rPr>
          <w:rFonts w:ascii="Times New Roman" w:hAnsi="Times New Roman" w:cs="Times New Roman"/>
          <w:sz w:val="24"/>
          <w:szCs w:val="24"/>
          <w:lang w:val="pt-BR"/>
        </w:rPr>
        <w:t xml:space="preserve">Assim, concluiu-se que o estímulo à indústria de transformação estimula o crescimento das importações em maior medida que as exportações, o que constitui um entrave ao crescimento econômico brasileiro no longo prazo. </w:t>
      </w:r>
    </w:p>
    <w:p w:rsidR="00DC68A4" w:rsidRPr="000F002E" w:rsidRDefault="000F002E" w:rsidP="00AA59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crescimento econômico, exportações e importações setoriais.  </w:t>
      </w: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C68A4" w:rsidRDefault="00DC68A4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4F2540" w:rsidRPr="008B480C" w:rsidRDefault="00AA598A" w:rsidP="00AA59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B480C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1 Introdução</w:t>
      </w:r>
    </w:p>
    <w:p w:rsidR="00D66DB2" w:rsidRDefault="00EB6A86" w:rsidP="00EB6A8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1B6650">
        <w:rPr>
          <w:rFonts w:ascii="Times New Roman" w:hAnsi="Times New Roman" w:cs="Times New Roman"/>
          <w:sz w:val="24"/>
          <w:szCs w:val="24"/>
          <w:lang w:val="pt-BR"/>
        </w:rPr>
        <w:t>Ao final da década de 1970, ganhou destaque na escola keynesiana a abordagem do balanço de pagamentos como restrição ao crescimento econômico no longo prazo</w:t>
      </w:r>
      <w:r w:rsidR="00C77A26">
        <w:rPr>
          <w:rFonts w:ascii="Times New Roman" w:hAnsi="Times New Roman" w:cs="Times New Roman"/>
          <w:sz w:val="24"/>
          <w:szCs w:val="24"/>
          <w:lang w:val="pt-BR"/>
        </w:rPr>
        <w:t>. Entre os principais expoentes dessa linha de pensamento, Thirlwall (1979) associou as limitações ao crescimento econômico às qu</w:t>
      </w:r>
      <w:r w:rsidR="00D66DB2">
        <w:rPr>
          <w:rFonts w:ascii="Times New Roman" w:hAnsi="Times New Roman" w:cs="Times New Roman"/>
          <w:sz w:val="24"/>
          <w:szCs w:val="24"/>
          <w:lang w:val="pt-BR"/>
        </w:rPr>
        <w:t>estões de demanda, sobretudo àquelas advindas de desequilíbrios no comércio exterior. Segundo a Lei de Thirlwall</w:t>
      </w:r>
      <w:r w:rsidR="00D66DB2" w:rsidRPr="00D66DB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66DB2">
        <w:rPr>
          <w:rFonts w:ascii="Times New Roman" w:hAnsi="Times New Roman" w:cs="Times New Roman"/>
          <w:sz w:val="24"/>
          <w:szCs w:val="24"/>
          <w:lang w:val="pt-BR"/>
        </w:rPr>
        <w:t xml:space="preserve">em versão simplificada, há uma taxa de crescimento do produto que é compatível com o equilíbrio do balanço de pagamento, dada pela relação entre a elasticidade-renda das exportações sobre a elasticidade-renda das importações. </w:t>
      </w:r>
    </w:p>
    <w:p w:rsidR="00F02424" w:rsidRDefault="00CA2E18" w:rsidP="00CA2E1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despeito da simplicidade dessa teorização, a Lei de Thirlwall tem potencial analítico para explicar os hiatos de desenvolvimento existentes entre as diferentes economias. A ideia por trás dessa lei </w:t>
      </w:r>
      <w:r w:rsidR="00E62822">
        <w:rPr>
          <w:rFonts w:ascii="Times New Roman" w:hAnsi="Times New Roman" w:cs="Times New Roman"/>
          <w:sz w:val="24"/>
          <w:szCs w:val="24"/>
          <w:lang w:val="pt-BR"/>
        </w:rPr>
        <w:t>é</w:t>
      </w:r>
      <w:r w:rsidR="008A5DAB">
        <w:rPr>
          <w:rFonts w:ascii="Times New Roman" w:hAnsi="Times New Roman" w:cs="Times New Roman"/>
          <w:sz w:val="24"/>
          <w:szCs w:val="24"/>
          <w:lang w:val="pt-BR"/>
        </w:rPr>
        <w:t xml:space="preserve"> de que aumentos na renda interna</w:t>
      </w:r>
      <w:r w:rsidR="00E008E0">
        <w:rPr>
          <w:rFonts w:ascii="Times New Roman" w:hAnsi="Times New Roman" w:cs="Times New Roman"/>
          <w:sz w:val="24"/>
          <w:szCs w:val="24"/>
          <w:lang w:val="pt-BR"/>
        </w:rPr>
        <w:t xml:space="preserve"> elevam o nível de importações que, não supridos pelas exportações, incidem em déficits na conta corrente do balanço de pagamentos, o que não se sustenta no longo prazo. Para manter os déficits correntes, o país deve incentivar a entrada de capitais, por meio de taxas de juros mais elevadas, o que, por sua vez, desestimula o nível de atividade interna. Dessa maneira, quanto mais alta a elasticidade-renda das importações e mais baixa a elasticidade-renda das exportações, maior a tendência de desequilíbrios no balanço de pagamentos e menor a taxa de crescimento potencial de determinada economia – e vice-versa.  </w:t>
      </w:r>
      <w:r w:rsidR="008A5DA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327E48" w:rsidRDefault="005C12EE" w:rsidP="00327E4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Para economia brasileira, diversos autores se dedica</w:t>
      </w:r>
      <w:r w:rsidR="007A2E38">
        <w:rPr>
          <w:rFonts w:ascii="Times New Roman" w:hAnsi="Times New Roman" w:cs="Times New Roman"/>
          <w:sz w:val="24"/>
          <w:szCs w:val="24"/>
          <w:lang w:val="pt-BR"/>
        </w:rPr>
        <w:t>ram ao estudo das elasticidades</w:t>
      </w:r>
      <w:r w:rsidR="00F868B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7567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3"/>
      </w:r>
      <w:r w:rsidR="007A2E38">
        <w:rPr>
          <w:rFonts w:ascii="Times New Roman" w:hAnsi="Times New Roman" w:cs="Times New Roman"/>
          <w:sz w:val="24"/>
          <w:szCs w:val="24"/>
          <w:lang w:val="pt-BR"/>
        </w:rPr>
        <w:t>. De maneira geral, chegou-se a conclusão que o Brasil apresenta alta elasticidade-renda das importações e baixa elasticidade-renda das exportações,</w:t>
      </w:r>
      <w:r w:rsidR="00D07567">
        <w:rPr>
          <w:rFonts w:ascii="Times New Roman" w:hAnsi="Times New Roman" w:cs="Times New Roman"/>
          <w:sz w:val="24"/>
          <w:szCs w:val="24"/>
          <w:lang w:val="pt-BR"/>
        </w:rPr>
        <w:t xml:space="preserve"> o que representa um entrave ao crescimento de longo prazo do país. </w:t>
      </w:r>
      <w:r w:rsidR="00F33A0C">
        <w:rPr>
          <w:rFonts w:ascii="Times New Roman" w:hAnsi="Times New Roman" w:cs="Times New Roman"/>
          <w:sz w:val="24"/>
          <w:szCs w:val="24"/>
          <w:lang w:val="pt-BR"/>
        </w:rPr>
        <w:t xml:space="preserve">Mais profundamente, o presente trabalho buscou identificar o perfil das exportações e, principalmente, das importações brasileiras, entendendo que a composição das </w:t>
      </w:r>
      <w:r w:rsidR="001D4B57">
        <w:rPr>
          <w:rFonts w:ascii="Times New Roman" w:hAnsi="Times New Roman" w:cs="Times New Roman"/>
          <w:sz w:val="24"/>
          <w:szCs w:val="24"/>
          <w:lang w:val="pt-BR"/>
        </w:rPr>
        <w:t xml:space="preserve">atividades muito pode acrescentar à abordagem do balanço de pagamentos. </w:t>
      </w:r>
      <w:r w:rsidR="00A868C9">
        <w:rPr>
          <w:rFonts w:ascii="Times New Roman" w:hAnsi="Times New Roman" w:cs="Times New Roman"/>
          <w:sz w:val="24"/>
          <w:szCs w:val="24"/>
          <w:lang w:val="pt-BR"/>
        </w:rPr>
        <w:t>Os gráficos</w:t>
      </w:r>
      <w:r w:rsidR="001D4B57">
        <w:rPr>
          <w:rFonts w:ascii="Times New Roman" w:hAnsi="Times New Roman" w:cs="Times New Roman"/>
          <w:sz w:val="24"/>
          <w:szCs w:val="24"/>
          <w:lang w:val="pt-BR"/>
        </w:rPr>
        <w:t xml:space="preserve"> 1 e 2 indicam a composição setorial das exportações</w:t>
      </w:r>
      <w:r w:rsidR="007A2E3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27E48">
        <w:rPr>
          <w:rFonts w:ascii="Times New Roman" w:hAnsi="Times New Roman" w:cs="Times New Roman"/>
          <w:sz w:val="24"/>
          <w:szCs w:val="24"/>
          <w:lang w:val="pt-BR"/>
        </w:rPr>
        <w:t>e importações.</w:t>
      </w:r>
    </w:p>
    <w:p w:rsidR="00613323" w:rsidRDefault="00613323" w:rsidP="0061332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Analisando a composição das exportações e importações brasileiras, é possível identificar alguns aspectos e levantar questionamentos. Em primeiro lugar, constata-se que a composição dos setores que exportam e importam basicamente não se alterou de 1996 para cá, mantendo certa estrutura nos indicadores externos. Em segundo, os setores intermediário e de bens de capital, em conjunto com o setor alimentício e agricultura e pecuária, respondem por parcela relevante das exportações. E por fim, chama atenção o fato de que os principais produtos de importação não se referem a bens de consumo finais, duráveis ou não-duráveis e outros, mas a bens de produção, principalmente intermediários, bens de capital, máquinas e equipamentos e combustíveis. Em conjunto, esses quatro setores são responsáveis, em média, por quase 50% das importações brasileiras. </w:t>
      </w:r>
    </w:p>
    <w:p w:rsidR="00613323" w:rsidRDefault="00613323" w:rsidP="0061332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Desse modo, observa-se que a maior parcela das importações brasileiras é composta por insumos, isto é, bens a serem utilizados no processo de produção. Nesse sentido, seguindo a linha de pensamento proposta por Thirlwall e considerando a alta elasticidade-renda das importações e a baixa elasticidade-renda das exportações na economia brasileira, a questão imposta pelo presente trabalho relaciona-se aos efeitos da atividade econômica interna sobre os indicadores externos: ao estimular a produção, considerando as elasticidades-renda, qual efeito sobre as exportações e importações brasileiras?  </w:t>
      </w:r>
    </w:p>
    <w:p w:rsidR="00613323" w:rsidRDefault="00613323" w:rsidP="0061332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Para analisar a questão proposta, tomou-se como medida, além dos valores de exportação e importação, o setor industrial de transformação, por entender que suas atividades são as que mais se utilizam de bens intermediários, bens de capital, máquinas e equipamentos.</w:t>
      </w:r>
    </w:p>
    <w:p w:rsidR="00EC288D" w:rsidRPr="00EC288D" w:rsidRDefault="00EC288D" w:rsidP="00EC288D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C288D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Gráfico</w:t>
      </w:r>
      <w:r w:rsidR="00613323" w:rsidRPr="00EC288D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EC288D">
        <w:rPr>
          <w:rFonts w:ascii="Times New Roman" w:hAnsi="Times New Roman" w:cs="Times New Roman"/>
          <w:b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EC288D">
        <w:rPr>
          <w:rFonts w:ascii="Times New Roman" w:hAnsi="Times New Roman" w:cs="Times New Roman"/>
          <w:b/>
          <w:sz w:val="24"/>
          <w:szCs w:val="24"/>
          <w:lang w:val="pt-BR"/>
        </w:rPr>
        <w:t>Exportações brasileiras, 1996-2015, composição dos setores.</w:t>
      </w:r>
    </w:p>
    <w:p w:rsidR="00613323" w:rsidRDefault="00EC288D" w:rsidP="00EC288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288D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5612130" cy="364744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5331" w:rsidRDefault="00CD5331" w:rsidP="00EC288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594BCE">
        <w:rPr>
          <w:rFonts w:ascii="Times New Roman" w:hAnsi="Times New Roman" w:cs="Times New Roman"/>
          <w:sz w:val="20"/>
          <w:szCs w:val="20"/>
          <w:lang w:val="pt-BR"/>
        </w:rPr>
        <w:t>Fonte: Elaboração própria, com base nos dados da FUNCEX</w:t>
      </w:r>
    </w:p>
    <w:p w:rsidR="00CD5331" w:rsidRDefault="00CD5331" w:rsidP="00EC288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13323" w:rsidRPr="00EC288D" w:rsidRDefault="00EC288D" w:rsidP="00EC28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C288D">
        <w:rPr>
          <w:rFonts w:ascii="Times New Roman" w:hAnsi="Times New Roman" w:cs="Times New Roman"/>
          <w:b/>
          <w:sz w:val="24"/>
          <w:szCs w:val="24"/>
          <w:lang w:val="pt-BR"/>
        </w:rPr>
        <w:t>Gráfico 2 – Importações brasileiras, 1996-2015, composição dos setores.</w:t>
      </w:r>
    </w:p>
    <w:p w:rsidR="00CD5331" w:rsidRPr="00CD5331" w:rsidRDefault="00EC288D" w:rsidP="006133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288D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6343650" cy="3762375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5331" w:rsidRPr="00E43312" w:rsidRDefault="00594BCE" w:rsidP="00E4331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594BCE">
        <w:rPr>
          <w:rFonts w:ascii="Times New Roman" w:hAnsi="Times New Roman" w:cs="Times New Roman"/>
          <w:sz w:val="20"/>
          <w:szCs w:val="20"/>
          <w:lang w:val="pt-BR"/>
        </w:rPr>
        <w:t>Fonte: Elaboração própri</w:t>
      </w:r>
      <w:r w:rsidR="00E43312">
        <w:rPr>
          <w:rFonts w:ascii="Times New Roman" w:hAnsi="Times New Roman" w:cs="Times New Roman"/>
          <w:sz w:val="20"/>
          <w:szCs w:val="20"/>
          <w:lang w:val="pt-BR"/>
        </w:rPr>
        <w:t>a, com base nos dados da FUNCEX</w:t>
      </w:r>
    </w:p>
    <w:p w:rsidR="0036403E" w:rsidRPr="008B480C" w:rsidRDefault="0036403E" w:rsidP="003640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B480C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2 </w:t>
      </w:r>
      <w:r w:rsidR="008B480C" w:rsidRPr="008B480C">
        <w:rPr>
          <w:rFonts w:ascii="Times New Roman" w:hAnsi="Times New Roman" w:cs="Times New Roman"/>
          <w:b/>
          <w:sz w:val="24"/>
          <w:szCs w:val="24"/>
          <w:lang w:val="pt-BR"/>
        </w:rPr>
        <w:t>Metodologia</w:t>
      </w:r>
    </w:p>
    <w:p w:rsidR="0036403E" w:rsidRDefault="0036403E" w:rsidP="00E0616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0616A" w:rsidRDefault="00E0616A" w:rsidP="00E0616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estimativa do modelo será baseada no </w:t>
      </w:r>
      <w:r w:rsidR="00812B2A">
        <w:rPr>
          <w:rFonts w:ascii="Times New Roman" w:hAnsi="Times New Roman" w:cs="Times New Roman"/>
          <w:sz w:val="24"/>
          <w:szCs w:val="24"/>
          <w:lang w:val="pt-BR"/>
        </w:rPr>
        <w:t>princípio dos mínimos quadrados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12B2A">
        <w:rPr>
          <w:rFonts w:ascii="Times New Roman" w:hAnsi="Times New Roman" w:cs="Times New Roman"/>
          <w:sz w:val="24"/>
          <w:szCs w:val="24"/>
          <w:lang w:val="pt-BR"/>
        </w:rPr>
        <w:t xml:space="preserve">que, </w:t>
      </w:r>
      <w:r>
        <w:rPr>
          <w:rFonts w:ascii="Times New Roman" w:hAnsi="Times New Roman" w:cs="Times New Roman"/>
          <w:sz w:val="24"/>
          <w:szCs w:val="24"/>
          <w:lang w:val="pt-BR"/>
        </w:rPr>
        <w:t>segundo Griffiths, Hill e Judge (2003), afirma que “para ajustar uma reta aos valores dos dados, devemos procurar a reta (y</w:t>
      </w:r>
      <w:r w:rsidRPr="00E0616A">
        <w:rPr>
          <w:rFonts w:ascii="Times New Roman" w:hAnsi="Times New Roman" w:cs="Times New Roman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= b</w:t>
      </w:r>
      <w:r w:rsidRPr="00E0616A">
        <w:rPr>
          <w:rFonts w:ascii="Times New Roman" w:hAnsi="Times New Roman" w:cs="Times New Roman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+ b</w:t>
      </w:r>
      <w:r w:rsidRPr="00E0616A">
        <w:rPr>
          <w:rFonts w:ascii="Times New Roman" w:hAnsi="Times New Roman" w:cs="Times New Roman"/>
          <w:sz w:val="24"/>
          <w:szCs w:val="24"/>
          <w:lang w:val="pt-BR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pt-BR"/>
        </w:rPr>
        <w:t>x</w:t>
      </w:r>
      <w:r w:rsidRPr="00E0616A">
        <w:rPr>
          <w:rFonts w:ascii="Times New Roman" w:hAnsi="Times New Roman" w:cs="Times New Roman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) tal que a soma dos quadrados das distâncias verticais de cada ponta à reta seja a menor possível” (GRIFFITHS; HILL; JUDGE, 2003, p.57). O modelo de regressão linear simples estabelecido neste trabalho – de modo a determinar o impacto das variações da produção industrial de transformação nas exportações e importações - portanto, é: </w:t>
      </w:r>
    </w:p>
    <w:p w:rsidR="00D30130" w:rsidRDefault="00D30130" w:rsidP="0036403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6403E" w:rsidRDefault="00D30130" w:rsidP="00CD0C4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m:oMath>
        <m:r>
          <w:rPr>
            <w:rFonts w:ascii="Cambria Math" w:hAnsi="Cambria Math" w:cs="Times New Roman"/>
            <w:sz w:val="24"/>
            <w:szCs w:val="24"/>
            <w:lang w:val="pt-BR"/>
          </w:rPr>
          <m:t>y=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>c</m:t>
        </m:r>
        <m:r>
          <w:rPr>
            <w:rFonts w:ascii="Cambria Math" w:hAnsi="Cambria Math" w:cs="Times New Roman"/>
            <w:sz w:val="24"/>
            <w:szCs w:val="24"/>
            <w:lang w:val="pt-BR"/>
          </w:rPr>
          <m:t xml:space="preserve"> + βX                                           (1)</m:t>
        </m:r>
      </m:oMath>
      <w:r w:rsidR="0036403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D30130" w:rsidRDefault="00D30130" w:rsidP="0036403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30130" w:rsidRDefault="00D30130" w:rsidP="0036403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em que </w:t>
      </w:r>
      <m:oMath>
        <m:r>
          <w:rPr>
            <w:rFonts w:ascii="Cambria Math" w:hAnsi="Cambria Math" w:cs="Times New Roman"/>
            <w:sz w:val="24"/>
            <w:szCs w:val="24"/>
            <w:lang w:val="pt-BR"/>
          </w:rPr>
          <m:t>y</m:t>
        </m:r>
      </m:oMath>
      <w:r>
        <w:rPr>
          <w:rFonts w:ascii="Times New Roman" w:hAnsi="Times New Roman" w:cs="Times New Roman"/>
          <w:sz w:val="24"/>
          <w:szCs w:val="24"/>
          <w:lang w:val="pt-BR"/>
        </w:rPr>
        <w:t xml:space="preserve"> corresponde ao regressando (exportações e importações), </w:t>
      </w:r>
      <m:oMath>
        <m:r>
          <w:rPr>
            <w:rFonts w:ascii="Cambria Math" w:hAnsi="Cambria Math" w:cs="Times New Roman"/>
            <w:sz w:val="28"/>
            <w:szCs w:val="28"/>
            <w:lang w:val="pt-BR"/>
          </w:rPr>
          <m:t>c</m:t>
        </m:r>
      </m:oMath>
      <w:r>
        <w:rPr>
          <w:rFonts w:ascii="Times New Roman" w:hAnsi="Times New Roman" w:cs="Times New Roman"/>
          <w:sz w:val="24"/>
          <w:szCs w:val="24"/>
          <w:lang w:val="pt-BR"/>
        </w:rPr>
        <w:t xml:space="preserve"> ao coeficiente linear ou intercepto, </w:t>
      </w:r>
      <m:oMath>
        <m:r>
          <w:rPr>
            <w:rFonts w:ascii="Cambria Math" w:hAnsi="Cambria Math" w:cs="Times New Roman"/>
            <w:sz w:val="24"/>
            <w:szCs w:val="24"/>
            <w:lang w:val="pt-BR"/>
          </w:rPr>
          <m:t>β</m:t>
        </m:r>
      </m:oMath>
      <w:r>
        <w:rPr>
          <w:rFonts w:ascii="Times New Roman" w:hAnsi="Times New Roman" w:cs="Times New Roman"/>
          <w:sz w:val="24"/>
          <w:szCs w:val="24"/>
          <w:lang w:val="pt-BR"/>
        </w:rPr>
        <w:t xml:space="preserve"> ao parâmetro da regressão e </w:t>
      </w:r>
      <m:oMath>
        <m:r>
          <w:rPr>
            <w:rFonts w:ascii="Cambria Math" w:hAnsi="Cambria Math" w:cs="Times New Roman"/>
            <w:sz w:val="24"/>
            <w:szCs w:val="24"/>
            <w:lang w:val="pt-BR"/>
          </w:rPr>
          <m:t>X</m:t>
        </m:r>
      </m:oMath>
      <w:r>
        <w:rPr>
          <w:rFonts w:ascii="Times New Roman" w:hAnsi="Times New Roman" w:cs="Times New Roman"/>
          <w:sz w:val="24"/>
          <w:szCs w:val="24"/>
          <w:lang w:val="pt-BR"/>
        </w:rPr>
        <w:t xml:space="preserve"> ao regressor (produção industrial de transformação).  </w:t>
      </w:r>
    </w:p>
    <w:p w:rsidR="00E471D0" w:rsidRDefault="003A75D9" w:rsidP="0036403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As</w:t>
      </w:r>
      <w:r w:rsidR="00D30130">
        <w:rPr>
          <w:rFonts w:ascii="Times New Roman" w:hAnsi="Times New Roman" w:cs="Times New Roman"/>
          <w:sz w:val="24"/>
          <w:szCs w:val="24"/>
          <w:lang w:val="pt-BR"/>
        </w:rPr>
        <w:t xml:space="preserve"> séries temporais foram construídas a partir da base de dados do Ipeadata, em variações mensais que contemplaram o período de 01/1980 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02/2014 – </w:t>
      </w:r>
      <w:r w:rsidR="00D30130">
        <w:rPr>
          <w:rFonts w:ascii="Times New Roman" w:hAnsi="Times New Roman" w:cs="Times New Roman"/>
          <w:sz w:val="24"/>
          <w:szCs w:val="24"/>
          <w:lang w:val="pt-BR"/>
        </w:rPr>
        <w:t>portanto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D30130">
        <w:rPr>
          <w:rFonts w:ascii="Times New Roman" w:hAnsi="Times New Roman" w:cs="Times New Roman"/>
          <w:sz w:val="24"/>
          <w:szCs w:val="24"/>
          <w:lang w:val="pt-BR"/>
        </w:rPr>
        <w:t xml:space="preserve"> 410 observações.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Para os indicadores de exportação e importação, os dados se encontram em valores correntes (em milhões de US$) e a fonte utilizada foi a </w:t>
      </w:r>
      <w:r w:rsidRPr="003A75D9">
        <w:rPr>
          <w:rFonts w:ascii="Times New Roman" w:hAnsi="Times New Roman" w:cs="Times New Roman"/>
          <w:sz w:val="24"/>
          <w:szCs w:val="24"/>
          <w:lang w:val="pt-BR"/>
        </w:rPr>
        <w:t>Fundação Centro de Estudos do Comércio Exterior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(FUNCEX). Na produção da indústria de transformação, por sua vez, tem-se o quantum da produção, com ano base (=100) em 2002, em que a fonte utilizada foi o Instituto Brasileiro de Geografia e Estatística (IBGE). </w:t>
      </w:r>
      <w:r w:rsidR="00ED4140">
        <w:rPr>
          <w:rStyle w:val="Refdenotaderodap"/>
          <w:rFonts w:ascii="Times New Roman" w:hAnsi="Times New Roman" w:cs="Times New Roman"/>
          <w:sz w:val="24"/>
          <w:szCs w:val="24"/>
          <w:lang w:val="pt-BR"/>
        </w:rPr>
        <w:footnoteReference w:id="4"/>
      </w:r>
    </w:p>
    <w:p w:rsidR="00D30130" w:rsidRDefault="003A75D9" w:rsidP="0036403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E29D0">
        <w:rPr>
          <w:rFonts w:ascii="Times New Roman" w:hAnsi="Times New Roman" w:cs="Times New Roman"/>
          <w:sz w:val="24"/>
          <w:szCs w:val="24"/>
          <w:lang w:val="pt-BR"/>
        </w:rPr>
        <w:t>Montada a tabela com as séries, o seguinte passo metodológico foi torná-las estacionárias, utilizando-se do método do teste de raiz unitária. Segundo Cazarotto (2006), uma série é estacionária se “a sua média e variância forem constantes ao longo do tempo e a covariância entre dois períodos de tempo depender apenas da defasagem entre eles, e não do período de tempo em que a covariância é calculada...” (CAZAROTTO, 2006, p. 14). Ainda segundo o autor, a estimação de um modelo com série não estacionária – ou seja, que tem raiz unitária – pode levar ao problema que se convencionou chamar de regressão espúria, ou seja, que apresenta um alto valor de R</w:t>
      </w:r>
      <w:r w:rsidR="002E29D0" w:rsidRPr="00926B25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2E29D0">
        <w:rPr>
          <w:rFonts w:ascii="Times New Roman" w:hAnsi="Times New Roman" w:cs="Times New Roman"/>
          <w:sz w:val="24"/>
          <w:szCs w:val="24"/>
          <w:lang w:val="pt-BR"/>
        </w:rPr>
        <w:t xml:space="preserve"> sem que haja qualquer relação significativa entre as variáveis. Por isso, para que a regressão seja válida é necessário tornar as séries estacionárias, eliminando a raiz unitária. </w:t>
      </w:r>
      <w:r w:rsidR="00F5369A">
        <w:rPr>
          <w:rFonts w:ascii="Times New Roman" w:hAnsi="Times New Roman" w:cs="Times New Roman"/>
          <w:sz w:val="24"/>
          <w:szCs w:val="24"/>
          <w:lang w:val="pt-BR"/>
        </w:rPr>
        <w:t>O teste utilizado foi o “Dickey – Fuller” e os resultados se encontram no Anexo A do presente trabalho.</w:t>
      </w:r>
    </w:p>
    <w:p w:rsidR="00485087" w:rsidRDefault="002E29D0" w:rsidP="0048508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As três séries (exportações, importações e produção industrial) se mostraram não estacionárias em nível. Assim, a regressão foi realizada em primeira diferença – isto é, em termos de variações –</w:t>
      </w:r>
      <w:r w:rsidR="004E68DE">
        <w:rPr>
          <w:rFonts w:ascii="Times New Roman" w:hAnsi="Times New Roman" w:cs="Times New Roman"/>
          <w:sz w:val="24"/>
          <w:szCs w:val="24"/>
          <w:lang w:val="pt-BR"/>
        </w:rPr>
        <w:t xml:space="preserve"> na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qual </w:t>
      </w:r>
      <w:r w:rsidR="004E68DE">
        <w:rPr>
          <w:rFonts w:ascii="Times New Roman" w:hAnsi="Times New Roman" w:cs="Times New Roman"/>
          <w:sz w:val="24"/>
          <w:szCs w:val="24"/>
          <w:lang w:val="pt-BR"/>
        </w:rPr>
        <w:t xml:space="preserve">as séries </w:t>
      </w:r>
      <w:r>
        <w:rPr>
          <w:rFonts w:ascii="Times New Roman" w:hAnsi="Times New Roman" w:cs="Times New Roman"/>
          <w:sz w:val="24"/>
          <w:szCs w:val="24"/>
          <w:lang w:val="pt-BR"/>
        </w:rPr>
        <w:t>foram estacionárias.</w:t>
      </w:r>
      <w:r w:rsidR="002F7110">
        <w:rPr>
          <w:rFonts w:ascii="Times New Roman" w:hAnsi="Times New Roman" w:cs="Times New Roman"/>
          <w:sz w:val="24"/>
          <w:szCs w:val="24"/>
          <w:lang w:val="pt-BR"/>
        </w:rPr>
        <w:t xml:space="preserve"> Nesse ponto, deve-se destacar que, ao realizar a </w:t>
      </w:r>
      <w:r w:rsidR="00241591">
        <w:rPr>
          <w:rFonts w:ascii="Times New Roman" w:hAnsi="Times New Roman" w:cs="Times New Roman"/>
          <w:sz w:val="24"/>
          <w:szCs w:val="24"/>
          <w:lang w:val="pt-BR"/>
        </w:rPr>
        <w:t>regressão em primeira diferença</w:t>
      </w:r>
      <w:r w:rsidR="00A35D2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F7110">
        <w:rPr>
          <w:rFonts w:ascii="Times New Roman" w:hAnsi="Times New Roman" w:cs="Times New Roman"/>
          <w:sz w:val="24"/>
          <w:szCs w:val="24"/>
          <w:lang w:val="pt-BR"/>
        </w:rPr>
        <w:t xml:space="preserve"> perdeu-se uma observação, referente ao primeiro mês da amostra (01/1980). </w:t>
      </w:r>
      <w:r w:rsidR="000856EA">
        <w:rPr>
          <w:rFonts w:ascii="Times New Roman" w:hAnsi="Times New Roman" w:cs="Times New Roman"/>
          <w:sz w:val="24"/>
          <w:szCs w:val="24"/>
          <w:lang w:val="pt-BR"/>
        </w:rPr>
        <w:t>Eliminada a raiz unitária, não foram constatados problemas de</w:t>
      </w:r>
      <w:r w:rsidR="004E68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856EA">
        <w:rPr>
          <w:rFonts w:ascii="Times New Roman" w:hAnsi="Times New Roman" w:cs="Times New Roman"/>
          <w:sz w:val="24"/>
          <w:szCs w:val="24"/>
          <w:lang w:val="pt-BR"/>
        </w:rPr>
        <w:t xml:space="preserve">colinearidade e heterocedasticidade.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E0616A" w:rsidRDefault="00E0616A" w:rsidP="0036403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B480C" w:rsidRPr="00A35D2C" w:rsidRDefault="008B480C" w:rsidP="008B480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35D2C">
        <w:rPr>
          <w:rFonts w:ascii="Times New Roman" w:hAnsi="Times New Roman" w:cs="Times New Roman"/>
          <w:b/>
          <w:sz w:val="24"/>
          <w:szCs w:val="24"/>
          <w:lang w:val="pt-BR"/>
        </w:rPr>
        <w:t xml:space="preserve">3 Resultados </w:t>
      </w:r>
    </w:p>
    <w:p w:rsidR="008B480C" w:rsidRDefault="008B480C" w:rsidP="008B48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:rsidR="00636DED" w:rsidRDefault="00F075E0" w:rsidP="00B70BF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 sentido de avaliar e comparar a relação entre o produto da indústria da transformação e os indicadores de exportação e importação, realizou-se a rodagem do modelo para cada regressando em particular. Para o cruzamento entre produto industrial e exportações, o resultado obtido foi:  </w:t>
      </w:r>
    </w:p>
    <w:p w:rsidR="00A35D2C" w:rsidRDefault="00636DED" w:rsidP="00B70BF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pt-BR"/>
            </w:rPr>
            <w:lastRenderedPageBreak/>
            <m:t xml:space="preserve">Exportações=0,01+0,734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Pib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transformação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pt-BR"/>
            </w:rPr>
            <m:t xml:space="preserve">                                    (2)</m:t>
          </m:r>
        </m:oMath>
      </m:oMathPara>
    </w:p>
    <w:p w:rsidR="00636DED" w:rsidRDefault="00636DED" w:rsidP="00B70BFB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B0435" w:rsidRDefault="00F075E0" w:rsidP="00B70B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Como pode-se observar nas tabelas do “E-Views” anexadas nesse trabalho, ambos os parâmetros – coeficientes linear e angular - são válidos ao nível de 5% de significância. Ademais, a amplitude do “teste F” indica a validade global do modelo, enquanto R² e R² ajustado indicam que o produto da indústria de transformação explica em torno de 19% das variações médias no valor das exportações. </w:t>
      </w:r>
      <w:r w:rsidR="003D0451">
        <w:rPr>
          <w:rFonts w:ascii="Times New Roman" w:hAnsi="Times New Roman" w:cs="Times New Roman"/>
          <w:sz w:val="24"/>
          <w:szCs w:val="24"/>
          <w:lang w:val="pt-BR"/>
        </w:rPr>
        <w:t>Como o modelo apresentou apenas uma variável explicativa, considera-se, aqui, que o</w:t>
      </w:r>
      <w:r w:rsidR="0066434E">
        <w:rPr>
          <w:rFonts w:ascii="Times New Roman" w:hAnsi="Times New Roman" w:cs="Times New Roman"/>
          <w:sz w:val="24"/>
          <w:szCs w:val="24"/>
          <w:lang w:val="pt-BR"/>
        </w:rPr>
        <w:t xml:space="preserve">s valores de R² são satisfatórios, considerando que um conjunto de outras variáveis contribui para explicar as variações nas exportações. </w:t>
      </w:r>
    </w:p>
    <w:p w:rsidR="00B70BFB" w:rsidRDefault="00BB0435" w:rsidP="00B70B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Na interpretação dos resultados, o modelo aponta que diante de uma variação de 1%</w:t>
      </w:r>
      <w:r w:rsidR="00F075E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no produto industrial de transformação, o valor médio das exportações é impactado positivamente em 0, 734% - a análise em primeira diferença permite a interpret</w:t>
      </w:r>
      <w:r w:rsidR="00B70BFB">
        <w:rPr>
          <w:rFonts w:ascii="Times New Roman" w:hAnsi="Times New Roman" w:cs="Times New Roman"/>
          <w:sz w:val="24"/>
          <w:szCs w:val="24"/>
          <w:lang w:val="pt-BR"/>
        </w:rPr>
        <w:t>ação percentual dos resultados.</w:t>
      </w:r>
    </w:p>
    <w:p w:rsidR="008B480C" w:rsidRDefault="00B70BFB" w:rsidP="00B70BF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No caso das importações, por sua vez:</w:t>
      </w:r>
      <w:r w:rsidR="00F075E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8B480C" w:rsidRDefault="008B480C" w:rsidP="008B48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:rsidR="00F075E0" w:rsidRDefault="00F075E0" w:rsidP="00F075E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  <w:lang w:val="pt-BR"/>
            </w:rPr>
            <m:t xml:space="preserve">Importações=0,01+0,883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pt-BR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Pib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transformação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pt-BR"/>
            </w:rPr>
            <m:t xml:space="preserve">                                    (3)</m:t>
          </m:r>
        </m:oMath>
      </m:oMathPara>
    </w:p>
    <w:p w:rsidR="008B480C" w:rsidRDefault="008B480C" w:rsidP="008B48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:rsidR="00214951" w:rsidRDefault="00B70BFB" w:rsidP="00B70B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  <w:t xml:space="preserve">Nesse caso, apenas o coeficiente angular é válido para análise ao nível de 5% de significância. Similarmente ao caso das exportações, o modelo global é válido e, no caso das importações, a produção industrial de transformação explica em torno de 22% das variações médias no valor do regressando. Na interpretação do resultado, o modelo aponta que diante de uma variação em 1% no produto industrial de transformação, o valor médio das importações é impactado positivamente em 0,883%. </w:t>
      </w:r>
    </w:p>
    <w:p w:rsidR="00214951" w:rsidRDefault="00214951" w:rsidP="00B70B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14951" w:rsidRPr="00214951" w:rsidRDefault="00214951" w:rsidP="0021495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14951">
        <w:rPr>
          <w:rFonts w:ascii="Times New Roman" w:hAnsi="Times New Roman" w:cs="Times New Roman"/>
          <w:b/>
          <w:sz w:val="24"/>
          <w:szCs w:val="24"/>
          <w:lang w:val="pt-BR"/>
        </w:rPr>
        <w:t xml:space="preserve">6 Conclusão </w:t>
      </w:r>
    </w:p>
    <w:p w:rsidR="00214951" w:rsidRDefault="00214951" w:rsidP="002149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:rsidR="00E901E0" w:rsidRDefault="00734E7C" w:rsidP="0021495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 despeito da simplicidade do modelo, identifica-se um problema crônico com que convive a economia brasileira. </w:t>
      </w:r>
      <w:r w:rsidR="00E901E0">
        <w:rPr>
          <w:rFonts w:ascii="Times New Roman" w:hAnsi="Times New Roman" w:cs="Times New Roman"/>
          <w:sz w:val="24"/>
          <w:szCs w:val="24"/>
          <w:lang w:val="pt-BR"/>
        </w:rPr>
        <w:t>De acordo com os resultados apresentados, supondo uma elevação de 10% no produto industrial em sua categoria mais relevante, as importações seriam elevadas, em média, em 8,33%, enquanto as exportaçõ</w:t>
      </w:r>
      <w:r w:rsidR="005C1237">
        <w:rPr>
          <w:rFonts w:ascii="Times New Roman" w:hAnsi="Times New Roman" w:cs="Times New Roman"/>
          <w:sz w:val="24"/>
          <w:szCs w:val="24"/>
          <w:lang w:val="pt-BR"/>
        </w:rPr>
        <w:t>es se elevariam em média 7,34%.</w:t>
      </w:r>
      <w:r w:rsidR="005D72E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901E0">
        <w:rPr>
          <w:rFonts w:ascii="Times New Roman" w:hAnsi="Times New Roman" w:cs="Times New Roman"/>
          <w:sz w:val="24"/>
          <w:szCs w:val="24"/>
          <w:lang w:val="pt-BR"/>
        </w:rPr>
        <w:t>Assim, n</w:t>
      </w:r>
      <w:r>
        <w:rPr>
          <w:rFonts w:ascii="Times New Roman" w:hAnsi="Times New Roman" w:cs="Times New Roman"/>
          <w:sz w:val="24"/>
          <w:szCs w:val="24"/>
          <w:lang w:val="pt-BR"/>
        </w:rPr>
        <w:t>a medida em que eleva a produção, a indústria da transformação estimula o aumento das importações mais do que as exportações – o que representa uma restrição grave ao crescimento de longo prazo.</w:t>
      </w:r>
      <w:r w:rsidR="00E901E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9A1B41" w:rsidRDefault="00EC2034" w:rsidP="0021495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Nesse sentido, a</w:t>
      </w:r>
      <w:r w:rsidR="005C1237">
        <w:rPr>
          <w:rFonts w:ascii="Times New Roman" w:hAnsi="Times New Roman" w:cs="Times New Roman"/>
          <w:sz w:val="24"/>
          <w:szCs w:val="24"/>
          <w:lang w:val="pt-BR"/>
        </w:rPr>
        <w:t xml:space="preserve"> necessidade de importar para impulsionar a atividade produtiva revela uma distorção macroeconômica existente no Brasil, bem como nas demais economias </w:t>
      </w:r>
      <w:r w:rsidR="00783DC6">
        <w:rPr>
          <w:rFonts w:ascii="Times New Roman" w:hAnsi="Times New Roman" w:cs="Times New Roman"/>
          <w:sz w:val="24"/>
          <w:szCs w:val="24"/>
          <w:lang w:val="pt-BR"/>
        </w:rPr>
        <w:t xml:space="preserve">emergentes e subdesenvolvidas. </w:t>
      </w:r>
      <w:r w:rsidR="005C1237">
        <w:rPr>
          <w:rFonts w:ascii="Times New Roman" w:hAnsi="Times New Roman" w:cs="Times New Roman"/>
          <w:sz w:val="24"/>
          <w:szCs w:val="24"/>
          <w:lang w:val="pt-BR"/>
        </w:rPr>
        <w:t xml:space="preserve">Nesses países, o nível de importação cresce não apenas como uma </w:t>
      </w:r>
      <w:r w:rsidR="00783DC6">
        <w:rPr>
          <w:rFonts w:ascii="Times New Roman" w:hAnsi="Times New Roman" w:cs="Times New Roman"/>
          <w:sz w:val="24"/>
          <w:szCs w:val="24"/>
          <w:lang w:val="pt-BR"/>
        </w:rPr>
        <w:t>consequ</w:t>
      </w:r>
      <w:r w:rsidR="005C1237">
        <w:rPr>
          <w:rFonts w:ascii="Times New Roman" w:hAnsi="Times New Roman" w:cs="Times New Roman"/>
          <w:sz w:val="24"/>
          <w:szCs w:val="24"/>
          <w:lang w:val="pt-BR"/>
        </w:rPr>
        <w:t xml:space="preserve">ência </w:t>
      </w:r>
      <w:r w:rsidR="00783DC6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5C1237">
        <w:rPr>
          <w:rFonts w:ascii="Times New Roman" w:hAnsi="Times New Roman" w:cs="Times New Roman"/>
          <w:sz w:val="24"/>
          <w:szCs w:val="24"/>
          <w:lang w:val="pt-BR"/>
        </w:rPr>
        <w:t xml:space="preserve">a expansão da renda interna – que leva os agentes a consumirem mais bens importados, </w:t>
      </w:r>
      <w:r w:rsidR="00783DC6">
        <w:rPr>
          <w:rFonts w:ascii="Times New Roman" w:hAnsi="Times New Roman" w:cs="Times New Roman"/>
          <w:sz w:val="24"/>
          <w:szCs w:val="24"/>
          <w:lang w:val="pt-BR"/>
        </w:rPr>
        <w:t xml:space="preserve">variando de acordo com a propensão a importar – mas cresce por ser fonte necessária de insumos, como elemento propulsor da expansão produtiva. </w:t>
      </w:r>
      <w:r w:rsidR="009A1B41">
        <w:rPr>
          <w:rFonts w:ascii="Times New Roman" w:hAnsi="Times New Roman" w:cs="Times New Roman"/>
          <w:sz w:val="24"/>
          <w:szCs w:val="24"/>
          <w:lang w:val="pt-BR"/>
        </w:rPr>
        <w:t>Dessa maneira, o estímulo à atividade econômica em países com alto coeficiente de importação é acompanhado de déficits na conta corrente do balanço de pagamentos.</w:t>
      </w:r>
      <w:r w:rsidR="005D72E8">
        <w:rPr>
          <w:rFonts w:ascii="Times New Roman" w:hAnsi="Times New Roman" w:cs="Times New Roman"/>
          <w:sz w:val="24"/>
          <w:szCs w:val="24"/>
          <w:lang w:val="pt-BR"/>
        </w:rPr>
        <w:t xml:space="preserve"> Nesse contexto, como a elasticidade-renda das exportações tende a ser baixa, o valor exportado comumente não compensa o valor importado. </w:t>
      </w:r>
    </w:p>
    <w:p w:rsidR="005E52C0" w:rsidRDefault="00EC2034" w:rsidP="0021495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Esse desequilíbrio no balanço é o ponto fundamental sobre o qual se debruça a Lei de Thirlwall. Para promover o crescimento interno, as economias menos desenvolvidas – com alta elasticidade-renda das importações e baixa elasticidade-renda das exportações – necessitam incorrer em déficits na conta corrente, que são compensados pela entrada de capitais advindos dos países mais desenvolvidos. Para manter a entrada de capitais, por sua vez, países como o Brasil dependem, em grande medida, de manutenção da taxa de juros em patamares elevados, o </w:t>
      </w: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que, por sua vez, </w:t>
      </w:r>
      <w:r w:rsidR="00FD49E7">
        <w:rPr>
          <w:rFonts w:ascii="Times New Roman" w:hAnsi="Times New Roman" w:cs="Times New Roman"/>
          <w:sz w:val="24"/>
          <w:szCs w:val="24"/>
          <w:lang w:val="pt-BR"/>
        </w:rPr>
        <w:t xml:space="preserve">restringe os investimentos e a atividade econômica. Como os déficits correntes e a entrada de capitais não se sustentam no longo prazo, o crescimento fica limitado aos contornos das elasticidades-renda das exportações e importações. </w:t>
      </w:r>
    </w:p>
    <w:p w:rsidR="005E52C0" w:rsidRDefault="005E52C0" w:rsidP="00214951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No caso brasileiro, um instrumento frequentemente utilizado para contornar a limitação externa ao crescimento consiste na intervenção pública para manter desvalorizada a moeda nacional, no intuito de promover as exportações e conter as importações (</w:t>
      </w:r>
      <w:r w:rsidR="00485087">
        <w:rPr>
          <w:rFonts w:ascii="Times New Roman" w:hAnsi="Times New Roman" w:cs="Times New Roman"/>
          <w:sz w:val="24"/>
          <w:szCs w:val="24"/>
          <w:lang w:val="pt-BR"/>
        </w:rPr>
        <w:t>FERNANDEZ, 2015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). No entanto, conforme o modelo apresentado sugere, a estratégia de encarecer as importações não se mostra eficiente diante do alto coeficiente de importação na produção industrial. Além disso, taxas de câmbio mais elevadas, incentivando a demanda e restringindo a oferta externa, andam na contramão do regime de metas para inflação, outro problema comum na economia brasileira. </w:t>
      </w:r>
    </w:p>
    <w:p w:rsidR="00D40BF8" w:rsidRDefault="005E52C0" w:rsidP="00D40BF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Dessa maneira, qual seria a melhor solução para o problema apresent</w:t>
      </w:r>
      <w:r w:rsidR="00DE59A8">
        <w:rPr>
          <w:rFonts w:ascii="Times New Roman" w:hAnsi="Times New Roman" w:cs="Times New Roman"/>
          <w:sz w:val="24"/>
          <w:szCs w:val="24"/>
          <w:lang w:val="pt-BR"/>
        </w:rPr>
        <w:t xml:space="preserve">ado? Estaria o Brasil fadado à eterna limitação do balanço de pagamento em seu crescimento potencial?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171584" w:rsidRDefault="00D40BF8" w:rsidP="000B76B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No caso brasileiro, assim como em outras economias emergentes, a solução mais eficiente, com reais efeitos de longo prazo, seria a diminuição da dependência dos insumos externos na produção industria</w:t>
      </w:r>
      <w:r w:rsidR="00C7679D">
        <w:rPr>
          <w:rFonts w:ascii="Times New Roman" w:hAnsi="Times New Roman" w:cs="Times New Roman"/>
          <w:sz w:val="24"/>
          <w:szCs w:val="24"/>
          <w:lang w:val="pt-BR"/>
        </w:rPr>
        <w:t xml:space="preserve">l do país. Caso isso ocorresse, o estímulo à atividade industrial, e logo, econômica, poderia ser desprovido </w:t>
      </w:r>
      <w:r w:rsidR="00213754">
        <w:rPr>
          <w:rFonts w:ascii="Times New Roman" w:hAnsi="Times New Roman" w:cs="Times New Roman"/>
          <w:sz w:val="24"/>
          <w:szCs w:val="24"/>
          <w:lang w:val="pt-BR"/>
        </w:rPr>
        <w:t>do aumento do déficit em conta corrente.</w:t>
      </w:r>
      <w:r w:rsidR="00171584">
        <w:rPr>
          <w:rFonts w:ascii="Times New Roman" w:hAnsi="Times New Roman" w:cs="Times New Roman"/>
          <w:sz w:val="24"/>
          <w:szCs w:val="24"/>
          <w:lang w:val="pt-BR"/>
        </w:rPr>
        <w:t xml:space="preserve"> Assim, faz-se necessário aumentar os investimentos em setores estratégicos, que diminuam dependência externa, tais como setores de bens intermediários, bens de capital, equipamentos de informática, setores energéticos, entre outros. </w:t>
      </w:r>
      <w:r w:rsidR="00213754">
        <w:rPr>
          <w:rFonts w:ascii="Times New Roman" w:hAnsi="Times New Roman" w:cs="Times New Roman"/>
          <w:sz w:val="24"/>
          <w:szCs w:val="24"/>
          <w:lang w:val="pt-BR"/>
        </w:rPr>
        <w:t xml:space="preserve"> Nesse mesmo sentido, a</w:t>
      </w:r>
      <w:r w:rsidR="00171584">
        <w:rPr>
          <w:rFonts w:ascii="Times New Roman" w:hAnsi="Times New Roman" w:cs="Times New Roman"/>
          <w:sz w:val="24"/>
          <w:szCs w:val="24"/>
          <w:lang w:val="pt-BR"/>
        </w:rPr>
        <w:t xml:space="preserve"> produção mais eficiente e a</w:t>
      </w:r>
      <w:r w:rsidR="00213754">
        <w:rPr>
          <w:rFonts w:ascii="Times New Roman" w:hAnsi="Times New Roman" w:cs="Times New Roman"/>
          <w:sz w:val="24"/>
          <w:szCs w:val="24"/>
          <w:lang w:val="pt-BR"/>
        </w:rPr>
        <w:t xml:space="preserve"> incorporação de maior valor agregado às exportações, elevando o valor das exportações em relação às importações</w:t>
      </w:r>
      <w:r w:rsidR="000B76BE">
        <w:rPr>
          <w:rFonts w:ascii="Times New Roman" w:hAnsi="Times New Roman" w:cs="Times New Roman"/>
          <w:sz w:val="24"/>
          <w:szCs w:val="24"/>
          <w:lang w:val="pt-BR"/>
        </w:rPr>
        <w:t>, também seria uma estratégia eficiente para elevar o crescimento potencial do país.</w:t>
      </w:r>
      <w:r w:rsidR="001715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B76B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D40BF8" w:rsidRPr="003A75D9" w:rsidRDefault="00171584" w:rsidP="000B76B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B76B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1375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40BF8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B70BFB" w:rsidRDefault="00B70BF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E75B1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27E48" w:rsidRDefault="00327E48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27E48" w:rsidRDefault="00327E48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27E48" w:rsidRDefault="00327E48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27E48" w:rsidRDefault="00327E48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27E48" w:rsidRDefault="00327E48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27E48" w:rsidRDefault="00327E48" w:rsidP="0093741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A6184B" w:rsidRDefault="00A6184B" w:rsidP="00A6184B">
      <w:pPr>
        <w:spacing w:line="240" w:lineRule="auto"/>
        <w:ind w:firstLine="3544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6184B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Referências</w:t>
      </w:r>
    </w:p>
    <w:p w:rsidR="002310A3" w:rsidRDefault="002310A3" w:rsidP="00A6184B">
      <w:pPr>
        <w:spacing w:line="240" w:lineRule="auto"/>
        <w:ind w:firstLine="3544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310A3" w:rsidRDefault="002310A3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D0793" w:rsidRPr="000D0793" w:rsidRDefault="000D0793" w:rsidP="000D0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0D0793">
        <w:rPr>
          <w:rFonts w:ascii="Times New Roman" w:hAnsi="Times New Roman" w:cs="Times New Roman"/>
          <w:bCs/>
          <w:sz w:val="24"/>
          <w:szCs w:val="24"/>
          <w:lang w:val="pt-BR"/>
        </w:rPr>
        <w:t>ARAÚJO, Eliane; MARCONI, Nelson.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D0793">
        <w:rPr>
          <w:rFonts w:ascii="Times New Roman" w:hAnsi="Times New Roman" w:cs="Times New Roman"/>
          <w:b/>
          <w:bCs/>
          <w:sz w:val="24"/>
          <w:szCs w:val="24"/>
          <w:lang w:val="pt-BR"/>
        </w:rPr>
        <w:t>Estrutura produtiva e comércio exterior no Brasil: uma investigação sobre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0D0793">
        <w:rPr>
          <w:rFonts w:ascii="Times New Roman" w:hAnsi="Times New Roman" w:cs="Times New Roman"/>
          <w:b/>
          <w:bCs/>
          <w:sz w:val="24"/>
          <w:szCs w:val="24"/>
          <w:lang w:val="pt-BR"/>
        </w:rPr>
        <w:t>as elasticidades-renda da demanda por exportações setoriais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2014. [S.l]. Disponível em &lt;</w:t>
      </w:r>
      <w:r w:rsidRPr="000D0793">
        <w:rPr>
          <w:lang w:val="pt-BR"/>
        </w:rPr>
        <w:t xml:space="preserve"> </w:t>
      </w:r>
      <w:hyperlink r:id="rId9" w:history="1">
        <w:r w:rsidRPr="009E70AC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pt-BR"/>
          </w:rPr>
          <w:t>http://sicetel.org.br/sicetel2014/wp-content/uploads/2014/09/Eliane-e-Nelson.pdf</w:t>
        </w:r>
      </w:hyperlink>
      <w:r>
        <w:rPr>
          <w:rFonts w:ascii="Times New Roman" w:hAnsi="Times New Roman" w:cs="Times New Roman"/>
          <w:bCs/>
          <w:sz w:val="24"/>
          <w:szCs w:val="24"/>
          <w:lang w:val="pt-BR"/>
        </w:rPr>
        <w:t>&gt; Acesso em: 23/05/2016</w:t>
      </w:r>
    </w:p>
    <w:p w:rsidR="000D0793" w:rsidRDefault="000D0793" w:rsidP="00083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:rsidR="002310A3" w:rsidRDefault="002310A3" w:rsidP="00083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CAZAROTTO, Simone. </w:t>
      </w:r>
      <w:r w:rsidRPr="0047147B">
        <w:rPr>
          <w:rFonts w:ascii="Times New Roman" w:hAnsi="Times New Roman" w:cs="Times New Roman"/>
          <w:b/>
          <w:sz w:val="24"/>
          <w:szCs w:val="24"/>
          <w:lang w:val="pt-BR"/>
        </w:rPr>
        <w:t>Teste de Raiz Unitária em modelo painel: uma aplicação a teoria da paridade real de juros na América Latina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2006. 70p. Dissertação (Mestrado) – Universidade Federal de Santa Catarina, Instituto de Economia e Finanças, Santa Catarina. </w:t>
      </w:r>
    </w:p>
    <w:p w:rsidR="00485087" w:rsidRDefault="00485087" w:rsidP="00083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:rsidR="00485087" w:rsidRDefault="00485087" w:rsidP="0048508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FERNANDEZ, Marwill Jhonatan Dávila. </w:t>
      </w:r>
      <w:r w:rsidRPr="00C93E5F">
        <w:rPr>
          <w:rFonts w:ascii="Times New Roman" w:hAnsi="Times New Roman" w:cs="Times New Roman"/>
          <w:b/>
          <w:sz w:val="24"/>
          <w:szCs w:val="24"/>
          <w:lang w:val="pt-BR"/>
        </w:rPr>
        <w:t>Desindustrialização e o investimento em infrestrutura no Brasil como instrumento conciliador de uma política industrial base no Brasil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Revista de Economia Política, vol.35, n.3 (140), p576-600, jul/set. 2015. </w:t>
      </w:r>
    </w:p>
    <w:p w:rsidR="002310A3" w:rsidRDefault="002310A3" w:rsidP="00083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:rsidR="002310A3" w:rsidRDefault="002310A3" w:rsidP="00083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613323">
        <w:rPr>
          <w:rFonts w:ascii="Times New Roman" w:hAnsi="Times New Roman" w:cs="Times New Roman"/>
          <w:sz w:val="24"/>
          <w:szCs w:val="24"/>
          <w:lang w:val="pt-BR"/>
        </w:rPr>
        <w:t>GRIFFITHS, William E.; HILL, R. Carter;  JUDGE, George G. </w:t>
      </w:r>
      <w:r w:rsidRPr="00613323">
        <w:rPr>
          <w:rFonts w:ascii="Times New Roman" w:hAnsi="Times New Roman" w:cs="Times New Roman"/>
          <w:b/>
          <w:sz w:val="24"/>
          <w:szCs w:val="24"/>
          <w:lang w:val="pt-BR"/>
        </w:rPr>
        <w:t>Econometria</w:t>
      </w:r>
      <w:r w:rsidRPr="00613323">
        <w:rPr>
          <w:rFonts w:ascii="Times New Roman" w:hAnsi="Times New Roman" w:cs="Times New Roman"/>
          <w:sz w:val="24"/>
          <w:szCs w:val="24"/>
          <w:lang w:val="pt-BR"/>
        </w:rPr>
        <w:t>. </w:t>
      </w:r>
      <w:r w:rsidRPr="00E169A6">
        <w:rPr>
          <w:rFonts w:ascii="Times New Roman" w:hAnsi="Times New Roman" w:cs="Times New Roman"/>
          <w:sz w:val="24"/>
          <w:szCs w:val="24"/>
          <w:lang w:val="pt-BR"/>
        </w:rPr>
        <w:t>2. ed. São Paulo: Saraiva, 2003. 471p.</w:t>
      </w:r>
    </w:p>
    <w:p w:rsidR="002310A3" w:rsidRDefault="002310A3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0D0793" w:rsidP="000D0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0D0793">
        <w:rPr>
          <w:rFonts w:ascii="Times New Roman" w:hAnsi="Times New Roman" w:cs="Times New Roman"/>
          <w:sz w:val="24"/>
          <w:szCs w:val="24"/>
          <w:lang w:val="pt-BR"/>
        </w:rPr>
        <w:t>MAIA</w:t>
      </w:r>
      <w:r>
        <w:rPr>
          <w:rFonts w:ascii="Times New Roman" w:hAnsi="Times New Roman" w:cs="Times New Roman"/>
          <w:sz w:val="24"/>
          <w:szCs w:val="24"/>
          <w:lang w:val="pt-BR"/>
        </w:rPr>
        <w:t>, Sinezio Fernandes; NUNES, Daniella Nobrega.</w:t>
      </w:r>
      <w:r w:rsidRPr="000D079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Abertura econômica e crescimento: Abordagem de Thirlwall para estudos do desempenho da balança comercial brasileira.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2006, João Pessoa. </w:t>
      </w:r>
      <w:r w:rsidRPr="000D0793">
        <w:rPr>
          <w:rFonts w:ascii="Times New Roman" w:hAnsi="Times New Roman" w:cs="Times New Roman"/>
          <w:bCs/>
          <w:sz w:val="24"/>
          <w:szCs w:val="24"/>
          <w:lang w:val="pt-BR"/>
        </w:rPr>
        <w:t>Sociedade Brasileira de Economia, Administracao e Sociologia Rural (SOBER)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. </w:t>
      </w:r>
    </w:p>
    <w:p w:rsidR="000D0793" w:rsidRDefault="000D0793" w:rsidP="000D0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:rsidR="00E75B15" w:rsidRPr="00AB3545" w:rsidRDefault="00AB3545" w:rsidP="002310A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05595C">
        <w:rPr>
          <w:rFonts w:ascii="Times New Roman" w:hAnsi="Times New Roman" w:cs="Times New Roman"/>
          <w:sz w:val="24"/>
          <w:szCs w:val="24"/>
          <w:lang w:val="pt-BR"/>
        </w:rPr>
        <w:t>NSTITUTO DE PESQUISA ECONÔMICA APLICADA</w:t>
      </w:r>
      <w:r w:rsidR="009E70A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9E70AC" w:rsidRPr="0005595C">
        <w:rPr>
          <w:rFonts w:ascii="Times New Roman" w:hAnsi="Times New Roman" w:cs="Times New Roman"/>
          <w:b/>
          <w:sz w:val="24"/>
          <w:szCs w:val="24"/>
          <w:lang w:val="pt-BR"/>
        </w:rPr>
        <w:t>Base de Dados</w:t>
      </w:r>
      <w:r w:rsidR="009E70AC">
        <w:rPr>
          <w:rFonts w:ascii="Times New Roman" w:hAnsi="Times New Roman" w:cs="Times New Roman"/>
          <w:sz w:val="24"/>
          <w:szCs w:val="24"/>
          <w:lang w:val="pt-BR"/>
        </w:rPr>
        <w:t>. Disponível em &lt;</w:t>
      </w:r>
      <w:r w:rsidR="009E70AC" w:rsidRPr="009E70AC">
        <w:rPr>
          <w:lang w:val="pt-BR"/>
        </w:rPr>
        <w:t xml:space="preserve"> </w:t>
      </w:r>
      <w:r w:rsidR="009E70AC" w:rsidRPr="009E70AC">
        <w:rPr>
          <w:rFonts w:ascii="Times New Roman" w:hAnsi="Times New Roman" w:cs="Times New Roman"/>
          <w:sz w:val="24"/>
          <w:szCs w:val="24"/>
          <w:lang w:val="pt-BR"/>
        </w:rPr>
        <w:t xml:space="preserve">http://www.ipeadata.gov.br/ </w:t>
      </w:r>
      <w:r w:rsidR="009E70AC">
        <w:rPr>
          <w:rFonts w:ascii="Times New Roman" w:hAnsi="Times New Roman" w:cs="Times New Roman"/>
          <w:sz w:val="24"/>
          <w:szCs w:val="24"/>
          <w:lang w:val="pt-BR"/>
        </w:rPr>
        <w:t>&gt;</w:t>
      </w:r>
      <w:r w:rsidR="0005595C">
        <w:rPr>
          <w:rFonts w:ascii="Times New Roman" w:hAnsi="Times New Roman" w:cs="Times New Roman"/>
          <w:sz w:val="24"/>
          <w:szCs w:val="24"/>
          <w:lang w:val="pt-BR"/>
        </w:rPr>
        <w:t xml:space="preserve"> Último acesso em 25/05/2016</w:t>
      </w: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27E48" w:rsidRDefault="00327E48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231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Anexo A – Teste de Raiz Unitária </w:t>
      </w:r>
    </w:p>
    <w:p w:rsidR="00E75B15" w:rsidRDefault="00E75B15" w:rsidP="00BC6A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608E5" w:rsidRDefault="005608E5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Pr="009E70AC" w:rsidRDefault="005608E5" w:rsidP="00E75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val="pt-BR"/>
        </w:rPr>
      </w:pPr>
      <w:r w:rsidRPr="009E70AC">
        <w:rPr>
          <w:rFonts w:ascii="Arial" w:hAnsi="Arial" w:cs="Arial"/>
          <w:b/>
          <w:sz w:val="18"/>
          <w:szCs w:val="18"/>
          <w:lang w:val="pt-BR"/>
        </w:rPr>
        <w:t xml:space="preserve">Produto Industrial – Nível </w:t>
      </w:r>
    </w:p>
    <w:p w:rsidR="005608E5" w:rsidRPr="009E70AC" w:rsidRDefault="005608E5" w:rsidP="00E75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val="pt-BR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E75B15" w:rsidTr="00E75B15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70AC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Null Hypothesis: PIBI 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 w:rsidTr="00E75B15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 w:rsidTr="00E75B15"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 Length: 12 (Automatic - based on SIC, maxlag=17)</w:t>
            </w:r>
          </w:p>
        </w:tc>
      </w:tr>
      <w:tr w:rsidR="00E75B1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75B1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 w:rsidTr="00E75B15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-3.255307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0.0754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-3.981343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-3.421183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-3.133343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 w:rsidTr="00E75B15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 w:rsidTr="00E75B15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 w:rsidTr="00E75B15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D(PIBI)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 w:rsidTr="00E75B15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 w:rsidTr="00E75B15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05/25/16   Time: 17:04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 w:rsidTr="00E75B15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1981M02 2014M02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 w:rsidTr="00E75B15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397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75B1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PIBI(-1)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-0.114077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0.035043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-3.255307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0.0012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D(PIBI(-1))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-0.187859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0.050767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-3.700444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D(PIBI(-2))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-0.005519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0.051014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-0.108181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0.9139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D(PIBI(-3))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-0.099812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0.049301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-2.024554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0.0436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D(PIBI(-4))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-0.205740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0.047987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-4.287401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D(PIBI(-5))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-0.040930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0.048548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-0.843083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0.3997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D(PIBI(-6))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-0.146796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0.045833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-3.202837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0.0015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D(PIBI(-7))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-0.215755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0.044551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-4.842849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D(PIBI(-8))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-0.090254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0.045485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-1.984242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0.0479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D(PIBI(-9))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-0.165436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0.043265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-3.823756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D(PIBI(-10))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-0.192674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0.042920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-4.489186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D(PIBI(-11))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-0.052012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0.043863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-1.185776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0.2364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D(PIBI(-12))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0.610566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0.041370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14.75862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7.899198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2.488703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3.174022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0.0016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@TREND(1980M01)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0.016606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0.004998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3.322534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</w:t>
            </w:r>
          </w:p>
        </w:tc>
      </w:tr>
      <w:tr w:rsidR="00E75B1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 w:rsidT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0.647069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0.100004</w:t>
            </w:r>
          </w:p>
        </w:tc>
      </w:tr>
      <w:tr w:rsidR="00E75B15" w:rsidT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0.634135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7.119920</w:t>
            </w:r>
          </w:p>
        </w:tc>
      </w:tr>
      <w:tr w:rsidR="00E75B15" w:rsidT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4.306613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5.795232</w:t>
            </w:r>
          </w:p>
        </w:tc>
      </w:tr>
      <w:tr w:rsidR="00E75B15" w:rsidT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7084.922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5.945758</w:t>
            </w:r>
          </w:p>
        </w:tc>
      </w:tr>
      <w:tr w:rsidR="00E75B15" w:rsidT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-1135.353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5.854860</w:t>
            </w:r>
          </w:p>
        </w:tc>
      </w:tr>
      <w:tr w:rsidR="00E75B15" w:rsidT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50.02607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2.118873</w:t>
            </w:r>
          </w:p>
        </w:tc>
      </w:tr>
      <w:tr w:rsidR="00E75B1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5B1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B15" w:rsidRDefault="00E7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C6A3E" w:rsidRDefault="00E75B15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608E5">
        <w:rPr>
          <w:rFonts w:ascii="Arial" w:hAnsi="Arial" w:cs="Arial"/>
          <w:sz w:val="18"/>
          <w:szCs w:val="18"/>
          <w:lang w:val="pt-BR"/>
        </w:rPr>
        <w:br/>
      </w:r>
    </w:p>
    <w:p w:rsidR="00E75B15" w:rsidRDefault="005608E5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Não rejeita-se Ho, série</w:t>
      </w:r>
      <w:r w:rsidR="00563B4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não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estacionária </w:t>
      </w:r>
    </w:p>
    <w:p w:rsidR="00EB3F24" w:rsidRPr="00BC6A3E" w:rsidRDefault="00EB3F24" w:rsidP="00EB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val="pt-BR"/>
        </w:rPr>
      </w:pPr>
      <w:r w:rsidRPr="00BC6A3E">
        <w:rPr>
          <w:rFonts w:ascii="Arial" w:hAnsi="Arial" w:cs="Arial"/>
          <w:b/>
          <w:sz w:val="18"/>
          <w:szCs w:val="18"/>
          <w:lang w:val="pt-BR"/>
        </w:rPr>
        <w:t xml:space="preserve">Produto Industrial – 1° diferença </w:t>
      </w:r>
    </w:p>
    <w:p w:rsidR="00EB3F24" w:rsidRPr="00BC6A3E" w:rsidRDefault="00EB3F24" w:rsidP="00EB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t-BR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EB3F24" w:rsidTr="00563B4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D(IND)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563B4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563B47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 Length: 12 (Automatic - based on SIC, maxlag=17)</w:t>
            </w: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563B4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-16.95644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-3.981462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-3.421241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-3.133377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563B4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563B4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563B4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D(IND,2)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563B4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563B47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05/25/16   Time: 17:08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563B4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1981M04 2014M02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563B47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395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-16.59556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0.978717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-16.95644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14.28908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0.944054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15.13587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D(IND(-2),2)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12.92658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0.872054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14.82314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D(IND(-3),2)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11.54346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0.792344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14.56874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D(IND(-4),2)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10.09085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0.710737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14.19773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D(IND(-5),2)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8.728538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0.625473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13.95510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D(IND(-6),2)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7.344062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0.539991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13.60034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D(IND(-7),2)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5.907937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0.457490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12.91380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D(IND(-8),2)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4.544880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0.373177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12.17890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D(IND(-9),2)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3.184323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0.287492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11.07622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D(IND(-10),2)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1.850458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0.205302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9.013334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D(IND(-11),2)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0.661533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0.124798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5.300834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D(IND(-12),2)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0.206309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0.050574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4.079330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0.005409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0.189861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0.8495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@TREND(1980M02)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-3.58E-06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2.26E-05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-0.158662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0.8740</w:t>
            </w: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563B4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0.943052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-0.000130</w:t>
            </w:r>
          </w:p>
        </w:tc>
      </w:tr>
      <w:tr w:rsidR="00EB3F24" w:rsidTr="00563B4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0.940954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0.210301</w:t>
            </w:r>
          </w:p>
        </w:tc>
      </w:tr>
      <w:tr w:rsidR="00EB3F24" w:rsidTr="00563B4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0.051102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-3.072768</w:t>
            </w:r>
          </w:p>
        </w:tc>
      </w:tr>
      <w:tr w:rsidR="00EB3F24" w:rsidTr="00563B4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0.992321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-2.921671</w:t>
            </w:r>
          </w:p>
        </w:tc>
      </w:tr>
      <w:tr w:rsidR="00EB3F24" w:rsidTr="00563B4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621.8716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-3.012902</w:t>
            </w:r>
          </w:p>
        </w:tc>
      </w:tr>
      <w:tr w:rsidR="00EB3F24" w:rsidTr="00563B4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449.4858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1.997570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63B47" w:rsidRDefault="00563B47" w:rsidP="00EB3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Rejeita-se Ho, série estacionária</w:t>
      </w:r>
    </w:p>
    <w:p w:rsidR="00563B47" w:rsidRDefault="00563B47" w:rsidP="00EB3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63B47" w:rsidRDefault="00563B47" w:rsidP="00EB3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63B47" w:rsidRDefault="00563B47" w:rsidP="00EB3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C6A3E" w:rsidRDefault="00BC6A3E" w:rsidP="00EB3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C6A3E" w:rsidRDefault="00BC6A3E" w:rsidP="00EB3F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B3F24" w:rsidRPr="00563B47" w:rsidRDefault="00EB3F24" w:rsidP="00EB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val="pt-BR"/>
        </w:rPr>
      </w:pPr>
      <w:r w:rsidRPr="00563B47">
        <w:rPr>
          <w:rFonts w:ascii="Arial" w:hAnsi="Arial" w:cs="Arial"/>
          <w:sz w:val="18"/>
          <w:szCs w:val="18"/>
          <w:lang w:val="pt-BR"/>
        </w:rPr>
        <w:lastRenderedPageBreak/>
        <w:br/>
      </w:r>
    </w:p>
    <w:p w:rsidR="00EB3F24" w:rsidRPr="00EB3F24" w:rsidRDefault="00EB3F24" w:rsidP="00EB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B3F24">
        <w:rPr>
          <w:rFonts w:ascii="Arial" w:hAnsi="Arial" w:cs="Arial"/>
          <w:b/>
          <w:sz w:val="18"/>
          <w:szCs w:val="18"/>
        </w:rPr>
        <w:t xml:space="preserve">Importações – Nível </w:t>
      </w:r>
    </w:p>
    <w:p w:rsidR="00EB3F24" w:rsidRDefault="00EB3F24" w:rsidP="00EB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EB3F24" w:rsidTr="00EB3F24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IMP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 Length: 16 (Automatic - based on SIC, maxlag=17)</w:t>
            </w: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-0.249144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0.9918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-3.981582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-3.421299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-3.133412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RPr="00563B4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Pr="00613323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63B47" w:rsidRPr="00613323" w:rsidRDefault="00563B47" w:rsidP="00563B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Pr="00613323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Pr="00613323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Pr="00613323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RPr="00563B47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Pr="00613323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Pr="00613323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Pr="00613323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Pr="00613323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Pr="00613323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D(IMP)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05/25/16   Time: 17:06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1981M06 2014M02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393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-0.003176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0.012748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-0.249144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0.8034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-0.396556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0.051284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-7.732600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-0.012086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0.052101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-0.231979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0.8167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0.220747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0.052448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4.208861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D(IMP(-4))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-0.002015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0.054400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-0.037036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0.9705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D(IMP(-5))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-0.157690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0.050232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-3.139211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0.0018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D(IMP(-6))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-0.101536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0.050794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-1.998990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0.0463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D(IMP(-7))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-0.128080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0.050043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-2.559414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0.0109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D(IMP(-8))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-0.138756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0.049908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-2.780223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0.0057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D(IMP(-9))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-0.125413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0.050547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-2.481131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0.0135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D(IMP(-10))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-0.229629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0.050479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-4.548988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-0.042274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0.051361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-0.823089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0.4110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0.441397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0.051500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8.570820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0.075588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0.057876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1.306029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0.1923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D(IMP(-14))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0.037499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0.057321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0.654196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0.5134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D(IMP(-15))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-0.338589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0.057501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-5.888376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D(IMP(-16))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-0.297854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0.057348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-5.193776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-105.9135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82.08666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-1.290264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0.1978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@TREND(1980M01)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1.065025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0.580708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1.834012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0.0674</w:t>
            </w: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0.495702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41.28097</w:t>
            </w:r>
          </w:p>
        </w:tc>
      </w:tr>
      <w:tr w:rsidR="00EB3F24" w:rsidT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0.471430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938.9385</w:t>
            </w:r>
          </w:p>
        </w:tc>
      </w:tr>
      <w:tr w:rsidR="00EB3F24" w:rsidT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682.6344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15.93693</w:t>
            </w:r>
          </w:p>
        </w:tc>
      </w:tr>
      <w:tr w:rsidR="00EB3F24" w:rsidT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1.74E+08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16.12905</w:t>
            </w:r>
          </w:p>
        </w:tc>
      </w:tr>
      <w:tr w:rsidR="00EB3F24" w:rsidT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-3112.608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16.01307</w:t>
            </w:r>
          </w:p>
        </w:tc>
      </w:tr>
      <w:tr w:rsidR="00EB3F24" w:rsidT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20.42357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1.942093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608E5" w:rsidRDefault="00EB3F24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B3F24">
        <w:rPr>
          <w:rFonts w:ascii="Arial" w:hAnsi="Arial" w:cs="Arial"/>
          <w:sz w:val="18"/>
          <w:szCs w:val="18"/>
          <w:lang w:val="pt-BR"/>
        </w:rPr>
        <w:br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Não rejeita-se Ho, série estacionária</w:t>
      </w:r>
    </w:p>
    <w:p w:rsidR="00BC6A3E" w:rsidRDefault="00BC6A3E" w:rsidP="00BC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C6A3E">
        <w:rPr>
          <w:rFonts w:ascii="Arial" w:hAnsi="Arial" w:cs="Arial"/>
          <w:b/>
          <w:sz w:val="18"/>
          <w:szCs w:val="18"/>
        </w:rPr>
        <w:lastRenderedPageBreak/>
        <w:t xml:space="preserve">Importações – 1° diferença </w:t>
      </w:r>
    </w:p>
    <w:p w:rsidR="00BC6A3E" w:rsidRPr="00BC6A3E" w:rsidRDefault="00BC6A3E" w:rsidP="00BC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D(IMP)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 Length: 12 (Automatic - based on SIC, maxlag=17)</w:t>
            </w: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-13.33078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-3.981462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-3.421241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-3.133377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D(IMP,2)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05/25/16   Time: 17:11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1981M04 2014M02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395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-14.72531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1.104609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-13.33078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12.30856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1.075168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11.44804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D(IMP(-2),2)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10.84805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1.012076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10.71862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D(IMP(-3),2)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9.541643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0.931137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10.24730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D(IMP(-4),2)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8.265171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0.841485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9.822126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D(IMP(-5),2)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7.004827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0.744137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9.413356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D(IMP(-6),2)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5.768235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0.641455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8.992423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D(IMP(-7),2)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4.577203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0.536360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8.533819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D(IMP(-8),2)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3.463212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0.430958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8.036086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D(IMP(-9),2)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2.425863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0.327248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7.412916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D(IMP(-10),2)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1.407458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0.227315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6.191676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0.528579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0.131535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4.018543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D(IMP(-12),2)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0.138919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0.051020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2.722805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0.0068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0.002672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0.013177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0.202790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0.8394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@TREND(1980M02)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-1.16E-05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5.49E-05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-0.211068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0.8329</w:t>
            </w: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0.920795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-0.000621</w:t>
            </w:r>
          </w:p>
        </w:tc>
      </w:tr>
      <w:tr w:rsidR="00BC6A3E" w:rsidT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0.917877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0.434431</w:t>
            </w:r>
          </w:p>
        </w:tc>
      </w:tr>
      <w:tr w:rsidR="00BC6A3E" w:rsidT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0.124495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-1.291865</w:t>
            </w:r>
          </w:p>
        </w:tc>
      </w:tr>
      <w:tr w:rsidR="00BC6A3E" w:rsidT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5.889636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-1.140768</w:t>
            </w:r>
          </w:p>
        </w:tc>
      </w:tr>
      <w:tr w:rsidR="00BC6A3E" w:rsidT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270.1434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-1.231999</w:t>
            </w:r>
          </w:p>
        </w:tc>
      </w:tr>
      <w:tr w:rsidR="00BC6A3E" w:rsidT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315.5494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2.005417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C6A3E" w:rsidRDefault="00BC6A3E" w:rsidP="00BC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Rejeita-se Ho, série estacionária</w:t>
      </w:r>
    </w:p>
    <w:p w:rsidR="00E75B15" w:rsidRDefault="00E75B15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75B15" w:rsidRDefault="00E75B15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C6A3E" w:rsidRDefault="00BC6A3E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C6A3E" w:rsidRDefault="00BC6A3E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C6A3E" w:rsidRDefault="00BC6A3E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EB3F24" w:rsidRPr="00EB3F24" w:rsidRDefault="00EB3F24" w:rsidP="00EB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EB3F24">
        <w:rPr>
          <w:rFonts w:ascii="Arial" w:hAnsi="Arial" w:cs="Arial"/>
          <w:b/>
          <w:sz w:val="18"/>
          <w:szCs w:val="18"/>
        </w:rPr>
        <w:lastRenderedPageBreak/>
        <w:t xml:space="preserve">Exportações – Nível </w:t>
      </w:r>
    </w:p>
    <w:p w:rsidR="00EB3F24" w:rsidRDefault="00EB3F24" w:rsidP="00EB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EB3F24" w:rsidTr="00EB3F24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EXPOR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 Length: 16 (Automatic - based on SIC, maxlag=17)</w:t>
            </w: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-1.316982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0.8822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-3.981582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-3.421299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-3.133412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D(EXPOR)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05/25/16   Time: 17:07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1981M06 2014M02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393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EXPOR(-1)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-0.019121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0.014518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-1.316982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0.1887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-0.321522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0.051188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-6.281192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-0.062030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0.053779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-1.153431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0.2495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0.057167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0.053872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1.061163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0.2893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D(EXPOR(-4))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-0.085492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0.053752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-1.590483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0.1126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D(EXPOR(-5))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-0.051485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0.049672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-1.036516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0.3006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D(EXPOR(-6))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-0.170301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0.049687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-3.427465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D(EXPOR(-7))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-0.088946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0.049691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-1.789962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0.0743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D(EXPOR(-8))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-0.143141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0.050424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-2.838724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0.0048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D(EXPOR(-9))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-0.096001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0.050699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-1.893553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0.0591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D(EXPOR(-10))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-0.231914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0.049992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-4.639052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D(EXPOR(-11))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-0.011377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0.049540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-0.229643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0.8185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D(EXPOR(-12))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0.531432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0.049837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10.66348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D(EXPOR(-13))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0.199243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0.056887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3.502426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D(EXPOR(-14))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-0.011806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0.058007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-0.203521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0.8388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D(EXPOR(-15))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-0.165135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0.058244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-2.835214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0.0048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D(EXPOR(-16))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-0.242768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0.054759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-4.433420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-91.72582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96.45975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-0.950923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0.3423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@TREND(1980M01)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1.459336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0.737348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1.979169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0.0485</w:t>
            </w: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 w:rsidT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0.482114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35.78838</w:t>
            </w:r>
          </w:p>
        </w:tc>
      </w:tr>
      <w:tr w:rsidR="00EB3F24" w:rsidT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0.457189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1104.468</w:t>
            </w:r>
          </w:p>
        </w:tc>
      </w:tr>
      <w:tr w:rsidR="00EB3F24" w:rsidT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813.7245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16.28826</w:t>
            </w:r>
          </w:p>
        </w:tc>
      </w:tr>
      <w:tr w:rsidR="00EB3F24" w:rsidT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2.48E+08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16.48038</w:t>
            </w:r>
          </w:p>
        </w:tc>
      </w:tr>
      <w:tr w:rsidR="00EB3F24" w:rsidT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-3181.643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16.36439</w:t>
            </w:r>
          </w:p>
        </w:tc>
      </w:tr>
      <w:tr w:rsidR="00EB3F24" w:rsidT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19.34259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1.982416</w:t>
            </w:r>
          </w:p>
        </w:tc>
      </w:tr>
      <w:tr w:rsidR="00EB3F24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B3F24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3F24" w:rsidRDefault="00EB3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B3F24" w:rsidRDefault="00EB3F24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B3F24">
        <w:rPr>
          <w:rFonts w:ascii="Arial" w:hAnsi="Arial" w:cs="Arial"/>
          <w:sz w:val="18"/>
          <w:szCs w:val="18"/>
          <w:lang w:val="pt-BR"/>
        </w:rPr>
        <w:br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Não rejeita-se Ho, série estacionária</w:t>
      </w:r>
    </w:p>
    <w:p w:rsidR="00BC6A3E" w:rsidRDefault="00BC6A3E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C6A3E" w:rsidRDefault="00BC6A3E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C6A3E" w:rsidRPr="00BC6A3E" w:rsidRDefault="00BC6A3E" w:rsidP="00BC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BC6A3E">
        <w:rPr>
          <w:rFonts w:ascii="Arial" w:hAnsi="Arial" w:cs="Arial"/>
          <w:b/>
          <w:sz w:val="18"/>
          <w:szCs w:val="18"/>
        </w:rPr>
        <w:lastRenderedPageBreak/>
        <w:t xml:space="preserve">Exportações – 1° diferença </w:t>
      </w:r>
    </w:p>
    <w:p w:rsidR="00BC6A3E" w:rsidRDefault="00BC6A3E" w:rsidP="00BC6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 Hypothesis: D(EXPOR)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Lag Length: 11 (Automatic - based on SIC, maxlag=17)</w:t>
            </w: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-17.01042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-3.981402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-3.421212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-3.133360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 Variable: D(EXPOR,2)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05/25/16   Time: 17:13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 (adjusted): 1981M03 2014M02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396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-13.09069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0.769569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-17.01042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10.84767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0.737200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14.71469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D(EXPOR(-2),2)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9.567515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0.684484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13.97770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D(EXPOR(-3),2)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8.439029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0.619998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13.61139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D(EXPOR(-4),2)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7.285711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0.548658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13.27916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D(EXPOR(-5),2)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6.279713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0.476955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13.16625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D(EXPOR(-6),2)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5.192433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0.408001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12.72651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D(EXPOR(-7),2)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4.107057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0.338857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12.12033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D(EXPOR(-8),2)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2.969258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0.264590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11.22210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D(EXPOR(-9),2)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1.993884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0.189114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10.54329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D(EXPOR(-10),2)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1.007310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0.114745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8.778719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D(EXPOR(-11),2)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0.254013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0.049657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5.115338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0.011293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0.028619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0.9772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@TREND(1980M02)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-5.05E-06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4.71E-05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-0.107167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0.9147</w:t>
            </w: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 w:rsidT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0.907269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0.000218</w:t>
            </w:r>
          </w:p>
        </w:tc>
      </w:tr>
      <w:tr w:rsidR="00BC6A3E" w:rsidT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0.904113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0.346241</w:t>
            </w:r>
          </w:p>
        </w:tc>
      </w:tr>
      <w:tr w:rsidR="00BC6A3E" w:rsidT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0.107216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-1.593236</w:t>
            </w:r>
          </w:p>
        </w:tc>
      </w:tr>
      <w:tr w:rsidR="00BC6A3E" w:rsidT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4.391164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-1.452479</w:t>
            </w:r>
          </w:p>
        </w:tc>
      </w:tr>
      <w:tr w:rsidR="00BC6A3E" w:rsidT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329.4607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-1.537472</w:t>
            </w:r>
          </w:p>
        </w:tc>
      </w:tr>
      <w:tr w:rsidR="00BC6A3E" w:rsidT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287.4948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2.057516</w:t>
            </w:r>
          </w:p>
        </w:tc>
      </w:tr>
      <w:tr w:rsidR="00BC6A3E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6A3E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A3E" w:rsidRDefault="00B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C6A3E" w:rsidRDefault="00BC6A3E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Rejeita-se Ho, série estacionária</w:t>
      </w:r>
    </w:p>
    <w:p w:rsidR="00851AD4" w:rsidRDefault="00851AD4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51AD4" w:rsidRDefault="00851AD4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51AD4" w:rsidRDefault="00851AD4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51AD4" w:rsidRDefault="00851AD4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51AD4" w:rsidRDefault="00851AD4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51AD4" w:rsidRDefault="00851AD4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51AD4" w:rsidRDefault="00851AD4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Anexo B </w:t>
      </w:r>
      <w:r w:rsidR="00BA7EA1">
        <w:rPr>
          <w:rFonts w:ascii="Times New Roman" w:hAnsi="Times New Roman" w:cs="Times New Roman"/>
          <w:b/>
          <w:sz w:val="24"/>
          <w:szCs w:val="24"/>
          <w:lang w:val="pt-BR"/>
        </w:rPr>
        <w:t>– Rodagem do modelo de regressão linear</w:t>
      </w:r>
    </w:p>
    <w:p w:rsidR="00BA7EA1" w:rsidRDefault="00BA7EA1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A7EA1" w:rsidRPr="00613323" w:rsidRDefault="00BA7EA1" w:rsidP="00BA7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pt-BR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BA7EA1" w:rsidTr="00BA7EA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Dependent Variable: </w:t>
            </w:r>
            <w:r w:rsidRPr="00BA7EA1">
              <w:rPr>
                <w:rFonts w:ascii="Arial" w:hAnsi="Arial" w:cs="Arial"/>
                <w:b/>
                <w:color w:val="000000"/>
                <w:sz w:val="18"/>
                <w:szCs w:val="18"/>
              </w:rPr>
              <w:t>EXPORTAÇÃO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 w:rsidTr="00BA7EA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 w:rsidTr="00BA7EA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05/25/16   Time: 17:15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 w:rsidTr="00BA7EA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1980M02 2014M02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 w:rsidTr="00BA7EA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409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BA7EA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0.010965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0.005550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1.975640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0.0489</w:t>
            </w:r>
          </w:p>
        </w:tc>
      </w:tr>
      <w:tr w:rsid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INDUSTRIA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0.734351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0.073359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10.01040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A7EA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 w:rsidT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0.197568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0.013780</w:t>
            </w:r>
          </w:p>
        </w:tc>
      </w:tr>
      <w:tr w:rsidR="00BA7EA1" w:rsidT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0.195596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0.124992</w:t>
            </w:r>
          </w:p>
        </w:tc>
      </w:tr>
      <w:tr w:rsidR="00BA7EA1" w:rsidT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0.112104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-1.533904</w:t>
            </w:r>
          </w:p>
        </w:tc>
      </w:tr>
      <w:tr w:rsidR="00BA7EA1" w:rsidT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5.114881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-1.514277</w:t>
            </w:r>
          </w:p>
        </w:tc>
      </w:tr>
      <w:tr w:rsidR="00BA7EA1" w:rsidT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315.6834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-1.526138</w:t>
            </w:r>
          </w:p>
        </w:tc>
      </w:tr>
      <w:tr w:rsidR="00BA7EA1" w:rsidT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100.2081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2.472325</w:t>
            </w:r>
          </w:p>
        </w:tc>
      </w:tr>
      <w:tr w:rsid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7EA1" w:rsidRDefault="00BA7EA1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Arial" w:hAnsi="Arial" w:cs="Arial"/>
          <w:sz w:val="18"/>
          <w:szCs w:val="18"/>
        </w:rPr>
        <w:br/>
      </w:r>
    </w:p>
    <w:p w:rsidR="00BA7EA1" w:rsidRDefault="00BA7EA1" w:rsidP="00BA7E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BA7EA1" w:rsidTr="00BA7EA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Dependent Variable: </w:t>
            </w:r>
            <w:r w:rsidRPr="00BA7EA1">
              <w:rPr>
                <w:rFonts w:ascii="Arial" w:hAnsi="Arial" w:cs="Arial"/>
                <w:b/>
                <w:color w:val="000000"/>
                <w:sz w:val="18"/>
                <w:szCs w:val="18"/>
              </w:rPr>
              <w:t>IMPORTAÇÃO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 w:rsidTr="00BA7EA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 w:rsidTr="00BA7EA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Date: 05/25/16   Time: 17:16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 w:rsidTr="00BA7EA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Sample: 1980M02 2014M02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 w:rsidTr="00BA7EA1"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Included observations: 409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BA7EA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0.011824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0.006213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1.902999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0.0577</w:t>
            </w:r>
          </w:p>
        </w:tc>
      </w:tr>
      <w:tr w:rsid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INDUSTRIA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0.883921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0.082124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10.76327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BA7EA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 w:rsidT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0.221571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Mean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0.015212</w:t>
            </w:r>
          </w:p>
        </w:tc>
      </w:tr>
      <w:tr w:rsidR="00BA7EA1" w:rsidT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0.219658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S.D. dependent var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0.142068</w:t>
            </w:r>
          </w:p>
        </w:tc>
      </w:tr>
      <w:tr w:rsidR="00BA7EA1" w:rsidT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0.125498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Akaike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-1.308170</w:t>
            </w:r>
          </w:p>
        </w:tc>
      </w:tr>
      <w:tr w:rsidR="00BA7EA1" w:rsidT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 squared resid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6.410184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-1.288543</w:t>
            </w:r>
          </w:p>
        </w:tc>
      </w:tr>
      <w:tr w:rsidR="00BA7EA1" w:rsidT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269.5208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Hannan-Quinn criter.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-1.300404</w:t>
            </w:r>
          </w:p>
        </w:tc>
      </w:tr>
      <w:tr w:rsidR="00BA7EA1" w:rsidT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115.8479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2.757101</w:t>
            </w:r>
          </w:p>
        </w:tc>
      </w:tr>
      <w:tr w:rsidR="00BA7EA1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Prob(F-statistic)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7EA1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EA1" w:rsidRDefault="00BA7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A7EA1" w:rsidRPr="00A6184B" w:rsidRDefault="00BA7EA1" w:rsidP="00E7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Arial" w:hAnsi="Arial" w:cs="Arial"/>
          <w:sz w:val="18"/>
          <w:szCs w:val="18"/>
        </w:rPr>
        <w:br/>
      </w:r>
    </w:p>
    <w:sectPr w:rsidR="00BA7EA1" w:rsidRPr="00A6184B" w:rsidSect="00D66DB2"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2E7" w:rsidRDefault="001232E7" w:rsidP="00ED4140">
      <w:pPr>
        <w:spacing w:after="0" w:line="240" w:lineRule="auto"/>
      </w:pPr>
      <w:r>
        <w:separator/>
      </w:r>
    </w:p>
  </w:endnote>
  <w:endnote w:type="continuationSeparator" w:id="1">
    <w:p w:rsidR="001232E7" w:rsidRDefault="001232E7" w:rsidP="00ED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2E7" w:rsidRDefault="001232E7" w:rsidP="00ED4140">
      <w:pPr>
        <w:spacing w:after="0" w:line="240" w:lineRule="auto"/>
      </w:pPr>
      <w:r>
        <w:separator/>
      </w:r>
    </w:p>
  </w:footnote>
  <w:footnote w:type="continuationSeparator" w:id="1">
    <w:p w:rsidR="001232E7" w:rsidRDefault="001232E7" w:rsidP="00ED4140">
      <w:pPr>
        <w:spacing w:after="0" w:line="240" w:lineRule="auto"/>
      </w:pPr>
      <w:r>
        <w:continuationSeparator/>
      </w:r>
    </w:p>
  </w:footnote>
  <w:footnote w:id="2">
    <w:p w:rsidR="00DC68A4" w:rsidRPr="00DC68A4" w:rsidRDefault="00DC68A4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DC68A4">
        <w:rPr>
          <w:lang w:val="pt-BR"/>
        </w:rPr>
        <w:t xml:space="preserve"> Graduando em Ciências Econômicas pela Pontif</w:t>
      </w:r>
      <w:r>
        <w:rPr>
          <w:lang w:val="pt-BR"/>
        </w:rPr>
        <w:t xml:space="preserve">ícia Universidade Católica de Minas Gerais </w:t>
      </w:r>
    </w:p>
  </w:footnote>
  <w:footnote w:id="3">
    <w:p w:rsidR="00D07567" w:rsidRPr="00D07567" w:rsidRDefault="00D07567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D07567">
        <w:rPr>
          <w:lang w:val="pt-BR"/>
        </w:rPr>
        <w:t xml:space="preserve"> </w:t>
      </w:r>
      <w:r w:rsidR="00F868BF">
        <w:rPr>
          <w:lang w:val="pt-BR"/>
        </w:rPr>
        <w:t>Ver em Maia e Nunes (</w:t>
      </w:r>
      <w:r w:rsidR="00C65028">
        <w:rPr>
          <w:lang w:val="pt-BR"/>
        </w:rPr>
        <w:t>2006</w:t>
      </w:r>
      <w:r w:rsidR="00F868BF">
        <w:rPr>
          <w:lang w:val="pt-BR"/>
        </w:rPr>
        <w:t>) ; Araújo e Marconi (</w:t>
      </w:r>
      <w:r w:rsidR="00C65028">
        <w:rPr>
          <w:lang w:val="pt-BR"/>
        </w:rPr>
        <w:t>2014</w:t>
      </w:r>
      <w:r w:rsidR="00F868BF">
        <w:rPr>
          <w:lang w:val="pt-BR"/>
        </w:rPr>
        <w:t>)</w:t>
      </w:r>
    </w:p>
  </w:footnote>
  <w:footnote w:id="4">
    <w:p w:rsidR="00ED4140" w:rsidRPr="00ED4140" w:rsidRDefault="00ED414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ED4140">
        <w:rPr>
          <w:lang w:val="pt-BR"/>
        </w:rPr>
        <w:t xml:space="preserve"> </w:t>
      </w:r>
      <w:r>
        <w:rPr>
          <w:lang w:val="pt-BR"/>
        </w:rPr>
        <w:t>As séries temporais, bem como os resultados da regressão encontram-se no a</w:t>
      </w:r>
      <w:r w:rsidR="00C7546C">
        <w:rPr>
          <w:lang w:val="pt-BR"/>
        </w:rPr>
        <w:t>nexo</w:t>
      </w:r>
      <w:r>
        <w:rPr>
          <w:lang w:val="pt-BR"/>
        </w:rPr>
        <w:t xml:space="preserve"> desse trabalho.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598A"/>
    <w:rsid w:val="0005595C"/>
    <w:rsid w:val="00083B53"/>
    <w:rsid w:val="000856EA"/>
    <w:rsid w:val="000B76BE"/>
    <w:rsid w:val="000D0793"/>
    <w:rsid w:val="000F002E"/>
    <w:rsid w:val="001232E7"/>
    <w:rsid w:val="00171584"/>
    <w:rsid w:val="001B6650"/>
    <w:rsid w:val="001C29D8"/>
    <w:rsid w:val="001D1E9F"/>
    <w:rsid w:val="001D4B57"/>
    <w:rsid w:val="00213754"/>
    <w:rsid w:val="00214951"/>
    <w:rsid w:val="002310A3"/>
    <w:rsid w:val="00241591"/>
    <w:rsid w:val="002E29D0"/>
    <w:rsid w:val="002F7110"/>
    <w:rsid w:val="00327E48"/>
    <w:rsid w:val="00357E9F"/>
    <w:rsid w:val="0036403E"/>
    <w:rsid w:val="003A65D3"/>
    <w:rsid w:val="003A75D9"/>
    <w:rsid w:val="003D0451"/>
    <w:rsid w:val="00485087"/>
    <w:rsid w:val="004E68DE"/>
    <w:rsid w:val="004F2540"/>
    <w:rsid w:val="005608E5"/>
    <w:rsid w:val="00563B47"/>
    <w:rsid w:val="00594BCE"/>
    <w:rsid w:val="005C1237"/>
    <w:rsid w:val="005C12EE"/>
    <w:rsid w:val="005D72E8"/>
    <w:rsid w:val="005E52C0"/>
    <w:rsid w:val="00613323"/>
    <w:rsid w:val="00636DED"/>
    <w:rsid w:val="0066434E"/>
    <w:rsid w:val="006F2A26"/>
    <w:rsid w:val="006F6475"/>
    <w:rsid w:val="00734E7C"/>
    <w:rsid w:val="00783DC6"/>
    <w:rsid w:val="007920D6"/>
    <w:rsid w:val="007A2E38"/>
    <w:rsid w:val="007D3C86"/>
    <w:rsid w:val="00812B2A"/>
    <w:rsid w:val="00851AD4"/>
    <w:rsid w:val="008A5DAB"/>
    <w:rsid w:val="008B480C"/>
    <w:rsid w:val="008F0DCB"/>
    <w:rsid w:val="00937416"/>
    <w:rsid w:val="009A1B41"/>
    <w:rsid w:val="009E70AC"/>
    <w:rsid w:val="00A35D2C"/>
    <w:rsid w:val="00A6184B"/>
    <w:rsid w:val="00A76D2A"/>
    <w:rsid w:val="00A77E47"/>
    <w:rsid w:val="00A868C9"/>
    <w:rsid w:val="00AA598A"/>
    <w:rsid w:val="00AB3545"/>
    <w:rsid w:val="00B70BFB"/>
    <w:rsid w:val="00BA7EA1"/>
    <w:rsid w:val="00BB0435"/>
    <w:rsid w:val="00BC2356"/>
    <w:rsid w:val="00BC6A3E"/>
    <w:rsid w:val="00C51B71"/>
    <w:rsid w:val="00C65028"/>
    <w:rsid w:val="00C7546C"/>
    <w:rsid w:val="00C7679D"/>
    <w:rsid w:val="00C77A26"/>
    <w:rsid w:val="00CA2E18"/>
    <w:rsid w:val="00CA5947"/>
    <w:rsid w:val="00CD0C41"/>
    <w:rsid w:val="00CD2DFF"/>
    <w:rsid w:val="00CD5331"/>
    <w:rsid w:val="00D07567"/>
    <w:rsid w:val="00D30130"/>
    <w:rsid w:val="00D40BF8"/>
    <w:rsid w:val="00D53DBF"/>
    <w:rsid w:val="00D66DB2"/>
    <w:rsid w:val="00DC68A4"/>
    <w:rsid w:val="00DE59A8"/>
    <w:rsid w:val="00DE6241"/>
    <w:rsid w:val="00E008E0"/>
    <w:rsid w:val="00E0616A"/>
    <w:rsid w:val="00E07E41"/>
    <w:rsid w:val="00E377D8"/>
    <w:rsid w:val="00E43312"/>
    <w:rsid w:val="00E471D0"/>
    <w:rsid w:val="00E62822"/>
    <w:rsid w:val="00E75B15"/>
    <w:rsid w:val="00E901E0"/>
    <w:rsid w:val="00EB3F24"/>
    <w:rsid w:val="00EB6A86"/>
    <w:rsid w:val="00EC2034"/>
    <w:rsid w:val="00EC288D"/>
    <w:rsid w:val="00ED4140"/>
    <w:rsid w:val="00F02424"/>
    <w:rsid w:val="00F075E0"/>
    <w:rsid w:val="00F33A0C"/>
    <w:rsid w:val="00F347C4"/>
    <w:rsid w:val="00F5369A"/>
    <w:rsid w:val="00F868BF"/>
    <w:rsid w:val="00FD49E7"/>
    <w:rsid w:val="00FF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3013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0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13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414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414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414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D0793"/>
    <w:rPr>
      <w:color w:val="0000FF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61332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icetel.org.br/sicetel2014/wp-content/uploads/2014/09/Eliane-e-Nelson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elipe\Dropbox\FC\Dad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elipe\Dropbox\FC\Dad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7272888405347809E-2"/>
          <c:y val="2.7477226866110864E-2"/>
          <c:w val="0.90471892992471237"/>
          <c:h val="0.54422591806251275"/>
        </c:manualLayout>
      </c:layout>
      <c:lineChart>
        <c:grouping val="standard"/>
        <c:ser>
          <c:idx val="0"/>
          <c:order val="0"/>
          <c:tx>
            <c:strRef>
              <c:f>Plan1!$B$1</c:f>
              <c:strCache>
                <c:ptCount val="1"/>
                <c:pt idx="0">
                  <c:v>bens de capital 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Plan1!$B$2:$B$21</c:f>
              <c:numCache>
                <c:formatCode>0.00%</c:formatCode>
                <c:ptCount val="20"/>
                <c:pt idx="0">
                  <c:v>4.1295619091780894E-2</c:v>
                </c:pt>
                <c:pt idx="1">
                  <c:v>4.9838040861357819E-2</c:v>
                </c:pt>
                <c:pt idx="2">
                  <c:v>5.7045498787116747E-2</c:v>
                </c:pt>
                <c:pt idx="3">
                  <c:v>5.9392525052136845E-2</c:v>
                </c:pt>
                <c:pt idx="4">
                  <c:v>7.5285097353029504E-2</c:v>
                </c:pt>
                <c:pt idx="5">
                  <c:v>7.0124659901896522E-2</c:v>
                </c:pt>
                <c:pt idx="6">
                  <c:v>6.1084103960924209E-2</c:v>
                </c:pt>
                <c:pt idx="7">
                  <c:v>5.3118006020756801E-2</c:v>
                </c:pt>
                <c:pt idx="8">
                  <c:v>6.5587138098294917E-2</c:v>
                </c:pt>
                <c:pt idx="9">
                  <c:v>6.6095337455148215E-2</c:v>
                </c:pt>
                <c:pt idx="10">
                  <c:v>6.012117760608076E-2</c:v>
                </c:pt>
                <c:pt idx="11">
                  <c:v>6.1428895199510766E-2</c:v>
                </c:pt>
                <c:pt idx="12">
                  <c:v>5.8412621235599545E-2</c:v>
                </c:pt>
                <c:pt idx="13">
                  <c:v>4.444858790919777E-2</c:v>
                </c:pt>
                <c:pt idx="14">
                  <c:v>4.0521553062805776E-2</c:v>
                </c:pt>
                <c:pt idx="15">
                  <c:v>3.8122719467903507E-2</c:v>
                </c:pt>
                <c:pt idx="16">
                  <c:v>4.2340788996723992E-2</c:v>
                </c:pt>
                <c:pt idx="17">
                  <c:v>5.0560436132216578E-2</c:v>
                </c:pt>
                <c:pt idx="18">
                  <c:v>3.8013498924850002E-2</c:v>
                </c:pt>
                <c:pt idx="19">
                  <c:v>4.1495860946117451E-2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bens de consumo duráveis 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Plan1!$C$2:$C$21</c:f>
              <c:numCache>
                <c:formatCode>0.00%</c:formatCode>
                <c:ptCount val="20"/>
                <c:pt idx="0">
                  <c:v>2.0824331587433739E-2</c:v>
                </c:pt>
                <c:pt idx="1">
                  <c:v>2.6976240322061133E-2</c:v>
                </c:pt>
                <c:pt idx="2">
                  <c:v>2.7902069500213018E-2</c:v>
                </c:pt>
                <c:pt idx="3">
                  <c:v>2.5137176774731082E-2</c:v>
                </c:pt>
                <c:pt idx="4">
                  <c:v>3.0830542732390515E-2</c:v>
                </c:pt>
                <c:pt idx="5">
                  <c:v>3.0341151489362884E-2</c:v>
                </c:pt>
                <c:pt idx="6">
                  <c:v>2.907563309799174E-2</c:v>
                </c:pt>
                <c:pt idx="7">
                  <c:v>3.0647069196700166E-2</c:v>
                </c:pt>
                <c:pt idx="8">
                  <c:v>2.9916245557028043E-2</c:v>
                </c:pt>
                <c:pt idx="9">
                  <c:v>2.978614481830124E-2</c:v>
                </c:pt>
                <c:pt idx="10">
                  <c:v>2.6645128798582378E-2</c:v>
                </c:pt>
                <c:pt idx="11">
                  <c:v>2.3493449309854614E-2</c:v>
                </c:pt>
                <c:pt idx="12">
                  <c:v>1.9656758700259666E-2</c:v>
                </c:pt>
                <c:pt idx="13">
                  <c:v>1.7445906107897279E-2</c:v>
                </c:pt>
                <c:pt idx="14">
                  <c:v>1.7116671015727062E-2</c:v>
                </c:pt>
                <c:pt idx="15">
                  <c:v>1.3550800775708872E-2</c:v>
                </c:pt>
                <c:pt idx="16">
                  <c:v>1.2698608882471124E-2</c:v>
                </c:pt>
                <c:pt idx="17">
                  <c:v>1.6610074036816934E-2</c:v>
                </c:pt>
                <c:pt idx="18">
                  <c:v>1.1971003892602229E-2</c:v>
                </c:pt>
                <c:pt idx="19">
                  <c:v>1.439920795656289E-2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bens de consumo não duráveis 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Plan1!$D$2:$D$21</c:f>
              <c:numCache>
                <c:formatCode>0.00%</c:formatCode>
                <c:ptCount val="20"/>
                <c:pt idx="0">
                  <c:v>9.0982094868741314E-2</c:v>
                </c:pt>
                <c:pt idx="1">
                  <c:v>8.4026193650874811E-2</c:v>
                </c:pt>
                <c:pt idx="2">
                  <c:v>8.7098799550002215E-2</c:v>
                </c:pt>
                <c:pt idx="3">
                  <c:v>9.1876732820042037E-2</c:v>
                </c:pt>
                <c:pt idx="4">
                  <c:v>8.3962998586681672E-2</c:v>
                </c:pt>
                <c:pt idx="5">
                  <c:v>9.1934771851866243E-2</c:v>
                </c:pt>
                <c:pt idx="6">
                  <c:v>8.9815237059791789E-2</c:v>
                </c:pt>
                <c:pt idx="7">
                  <c:v>8.7515739949964047E-2</c:v>
                </c:pt>
                <c:pt idx="8">
                  <c:v>8.495736528650652E-2</c:v>
                </c:pt>
                <c:pt idx="9">
                  <c:v>8.5092448007997576E-2</c:v>
                </c:pt>
                <c:pt idx="10">
                  <c:v>8.181870480498131E-2</c:v>
                </c:pt>
                <c:pt idx="11">
                  <c:v>8.4315229129678634E-2</c:v>
                </c:pt>
                <c:pt idx="12">
                  <c:v>8.4030994257970268E-2</c:v>
                </c:pt>
                <c:pt idx="13">
                  <c:v>8.5997081438740686E-2</c:v>
                </c:pt>
                <c:pt idx="14">
                  <c:v>7.6747741957173266E-2</c:v>
                </c:pt>
                <c:pt idx="15">
                  <c:v>6.9948080302565399E-2</c:v>
                </c:pt>
                <c:pt idx="16">
                  <c:v>7.1535955394035691E-2</c:v>
                </c:pt>
                <c:pt idx="17">
                  <c:v>7.2330202446830374E-2</c:v>
                </c:pt>
                <c:pt idx="18">
                  <c:v>7.7716232276760083E-2</c:v>
                </c:pt>
                <c:pt idx="19">
                  <c:v>7.7175409944933812E-2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bens intermediários 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Plan1!$E$2:$E$21</c:f>
              <c:numCache>
                <c:formatCode>0.00%</c:formatCode>
                <c:ptCount val="20"/>
                <c:pt idx="0">
                  <c:v>0.34473858929907575</c:v>
                </c:pt>
                <c:pt idx="1">
                  <c:v>0.33930774574415906</c:v>
                </c:pt>
                <c:pt idx="2">
                  <c:v>0.32701272669201931</c:v>
                </c:pt>
                <c:pt idx="3">
                  <c:v>0.32281581734512443</c:v>
                </c:pt>
                <c:pt idx="4">
                  <c:v>0.30615243599841807</c:v>
                </c:pt>
                <c:pt idx="5">
                  <c:v>0.29375518896495145</c:v>
                </c:pt>
                <c:pt idx="6">
                  <c:v>0.2982944580793967</c:v>
                </c:pt>
                <c:pt idx="7">
                  <c:v>0.30564646841554011</c:v>
                </c:pt>
                <c:pt idx="8">
                  <c:v>0.29771676071410974</c:v>
                </c:pt>
                <c:pt idx="9">
                  <c:v>0.29021816926317401</c:v>
                </c:pt>
                <c:pt idx="10">
                  <c:v>0.291488107538177</c:v>
                </c:pt>
                <c:pt idx="11">
                  <c:v>0.28910124561356793</c:v>
                </c:pt>
                <c:pt idx="12">
                  <c:v>0.2903134352736314</c:v>
                </c:pt>
                <c:pt idx="13">
                  <c:v>0.30890721147535877</c:v>
                </c:pt>
                <c:pt idx="14">
                  <c:v>0.31859285350657007</c:v>
                </c:pt>
                <c:pt idx="15">
                  <c:v>0.32812221428151084</c:v>
                </c:pt>
                <c:pt idx="16">
                  <c:v>0.31949304641390947</c:v>
                </c:pt>
                <c:pt idx="17">
                  <c:v>0.32444869415096284</c:v>
                </c:pt>
                <c:pt idx="18">
                  <c:v>0.32938140774040242</c:v>
                </c:pt>
                <c:pt idx="19">
                  <c:v>0.33237262159517922</c:v>
                </c:pt>
              </c:numCache>
            </c:numRef>
          </c:val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combustíveis 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Plan1!$F$2:$F$21</c:f>
              <c:numCache>
                <c:formatCode>0.00%</c:formatCode>
                <c:ptCount val="20"/>
                <c:pt idx="0">
                  <c:v>5.3441389412892931E-3</c:v>
                </c:pt>
                <c:pt idx="1">
                  <c:v>3.447233331505328E-3</c:v>
                </c:pt>
                <c:pt idx="2">
                  <c:v>3.779163471050498E-3</c:v>
                </c:pt>
                <c:pt idx="3">
                  <c:v>4.8525260432196078E-3</c:v>
                </c:pt>
                <c:pt idx="4">
                  <c:v>8.5350400482944108E-3</c:v>
                </c:pt>
                <c:pt idx="5">
                  <c:v>1.8764302138789136E-2</c:v>
                </c:pt>
                <c:pt idx="6">
                  <c:v>2.5872533832527463E-2</c:v>
                </c:pt>
                <c:pt idx="7">
                  <c:v>2.7131208333072254E-2</c:v>
                </c:pt>
                <c:pt idx="8">
                  <c:v>2.5486428129272938E-2</c:v>
                </c:pt>
                <c:pt idx="9">
                  <c:v>3.3291123207034375E-2</c:v>
                </c:pt>
                <c:pt idx="10">
                  <c:v>4.4565033460119516E-2</c:v>
                </c:pt>
                <c:pt idx="11">
                  <c:v>4.6226512518197767E-2</c:v>
                </c:pt>
                <c:pt idx="12">
                  <c:v>5.3700552684296361E-2</c:v>
                </c:pt>
                <c:pt idx="13">
                  <c:v>4.9533929714261786E-2</c:v>
                </c:pt>
                <c:pt idx="14">
                  <c:v>5.2087669053046834E-2</c:v>
                </c:pt>
                <c:pt idx="15">
                  <c:v>5.5717972618897514E-2</c:v>
                </c:pt>
                <c:pt idx="16">
                  <c:v>5.969509577998617E-2</c:v>
                </c:pt>
                <c:pt idx="17">
                  <c:v>4.1011531685874521E-2</c:v>
                </c:pt>
                <c:pt idx="18">
                  <c:v>4.8231066258014876E-2</c:v>
                </c:pt>
                <c:pt idx="19">
                  <c:v>3.8453514836433174E-2</c:v>
                </c:pt>
              </c:numCache>
            </c:numRef>
          </c:val>
        </c:ser>
        <c:ser>
          <c:idx val="5"/>
          <c:order val="5"/>
          <c:tx>
            <c:strRef>
              <c:f>Plan1!$G$1</c:f>
              <c:strCache>
                <c:ptCount val="1"/>
                <c:pt idx="0">
                  <c:v>agricultura e pecuária 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Plan1!$G$2:$G$21</c:f>
              <c:numCache>
                <c:formatCode>0.00%</c:formatCode>
                <c:ptCount val="20"/>
                <c:pt idx="0">
                  <c:v>3.3183087607625741E-2</c:v>
                </c:pt>
                <c:pt idx="1">
                  <c:v>5.3319679995620407E-2</c:v>
                </c:pt>
                <c:pt idx="2">
                  <c:v>4.8354111355087832E-2</c:v>
                </c:pt>
                <c:pt idx="3">
                  <c:v>4.4760405739209169E-2</c:v>
                </c:pt>
                <c:pt idx="4">
                  <c:v>3.8010874117225486E-2</c:v>
                </c:pt>
                <c:pt idx="5">
                  <c:v>4.2280362115254266E-2</c:v>
                </c:pt>
                <c:pt idx="6">
                  <c:v>4.1667733671304795E-2</c:v>
                </c:pt>
                <c:pt idx="7">
                  <c:v>4.5587894146009042E-2</c:v>
                </c:pt>
                <c:pt idx="8">
                  <c:v>4.5192317009675784E-2</c:v>
                </c:pt>
                <c:pt idx="9">
                  <c:v>3.7333063433681986E-2</c:v>
                </c:pt>
                <c:pt idx="10">
                  <c:v>3.6880523093061376E-2</c:v>
                </c:pt>
                <c:pt idx="11">
                  <c:v>4.2301274458615173E-2</c:v>
                </c:pt>
                <c:pt idx="12">
                  <c:v>4.6949246912801175E-2</c:v>
                </c:pt>
                <c:pt idx="13">
                  <c:v>5.9945543223783697E-2</c:v>
                </c:pt>
                <c:pt idx="14">
                  <c:v>5.1361444338964175E-2</c:v>
                </c:pt>
                <c:pt idx="15">
                  <c:v>5.8641953556373021E-2</c:v>
                </c:pt>
                <c:pt idx="16">
                  <c:v>6.5100730079315314E-2</c:v>
                </c:pt>
                <c:pt idx="17">
                  <c:v>7.5678358916172958E-2</c:v>
                </c:pt>
                <c:pt idx="18">
                  <c:v>8.0295160099802518E-2</c:v>
                </c:pt>
                <c:pt idx="19">
                  <c:v>8.9092812198953736E-2</c:v>
                </c:pt>
              </c:numCache>
            </c:numRef>
          </c:val>
        </c:ser>
        <c:ser>
          <c:idx val="6"/>
          <c:order val="6"/>
          <c:tx>
            <c:strRef>
              <c:f>Plan1!$H$1</c:f>
              <c:strCache>
                <c:ptCount val="1"/>
                <c:pt idx="0">
                  <c:v>bebidas - (FOB)  - US$ (milhões)  - Fundação Centro de Estudos do Comércio Exterior (Funcex) - FUNCEX_XVBEB2N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Plan1!$H$2:$H$21</c:f>
            </c:numRef>
          </c:val>
        </c:ser>
        <c:ser>
          <c:idx val="7"/>
          <c:order val="7"/>
          <c:tx>
            <c:strRef>
              <c:f>Plan1!$I$1</c:f>
              <c:strCache>
                <c:ptCount val="1"/>
                <c:pt idx="0">
                  <c:v>couros, artefatos de couro e calçados - (FOB)  - US$ (milhões)  - Fundação Centro de Estudos do Comércio Exterior (Funcex) - FUNCEX_XVCAL2N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Plan1!$I$2:$I$21</c:f>
            </c:numRef>
          </c:val>
        </c:ser>
        <c:ser>
          <c:idx val="8"/>
          <c:order val="8"/>
          <c:tx>
            <c:strRef>
              <c:f>Plan1!$J$1</c:f>
              <c:strCache>
                <c:ptCount val="1"/>
                <c:pt idx="0">
                  <c:v>extração de minerais metálicos - (FOB)  - US$ (milhões)  - Fundação Centro de Estudos do Comércio Exterior (Funcex) - FUNCEX_XVEMM2N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Plan1!$J$2:$J$21</c:f>
            </c:numRef>
          </c:val>
        </c:ser>
        <c:ser>
          <c:idx val="9"/>
          <c:order val="9"/>
          <c:tx>
            <c:strRef>
              <c:f>Plan1!$K$1</c:f>
              <c:strCache>
                <c:ptCount val="1"/>
                <c:pt idx="0">
                  <c:v>extração de minerais não-metálicos - (FOB)  - US$ (milhões)  - Fundação Centro de Estudos do Comércio Exterior (Funcex) - FUNCEX_XVEMNM2N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Plan1!$K$2:$K$21</c:f>
            </c:numRef>
          </c:val>
        </c:ser>
        <c:ser>
          <c:idx val="10"/>
          <c:order val="10"/>
          <c:tx>
            <c:strRef>
              <c:f>Plan1!$L$1</c:f>
              <c:strCache>
                <c:ptCount val="1"/>
                <c:pt idx="0">
                  <c:v>eq. de informática, eletrônicos e ópticos - (FOB)  - US$ (milhões)  - Fundação Centro de Estudos do Comércio Exterior (Funcex) - FUNCEX_XVMAQINF2N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Plan1!$L$2:$L$21</c:f>
            </c:numRef>
          </c:val>
        </c:ser>
        <c:ser>
          <c:idx val="11"/>
          <c:order val="11"/>
          <c:tx>
            <c:strRef>
              <c:f>Plan1!$M$1</c:f>
              <c:strCache>
                <c:ptCount val="1"/>
                <c:pt idx="0">
                  <c:v>celulose, papel e produtos de papel - (FOB) - US$ (milhões)  - Fundação Centro de Estudos do Comércio Exterior (Funcex) - FUNCEX_XVPAP2N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Plan1!$M$2:$M$21</c:f>
            </c:numRef>
          </c:val>
        </c:ser>
        <c:ser>
          <c:idx val="12"/>
          <c:order val="12"/>
          <c:tx>
            <c:strRef>
              <c:f>Plan1!$N$1</c:f>
              <c:strCache>
                <c:ptCount val="1"/>
                <c:pt idx="0">
                  <c:v>derivados do petróleo - (FOB)  - US$ (milhões)  - Fundação Centro de Estudos do Comércio Exterior (Funcex) - FUNCEX_XVPETCOMB2N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Plan1!$N$2:$N$21</c:f>
            </c:numRef>
          </c:val>
        </c:ser>
        <c:ser>
          <c:idx val="13"/>
          <c:order val="13"/>
          <c:tx>
            <c:strRef>
              <c:f>Plan1!$O$1</c:f>
              <c:strCache>
                <c:ptCount val="1"/>
                <c:pt idx="0">
                  <c:v>artigos de vestuário e acessórios - (FOB)  - US$ (milhões)  - Fundação Centro de Estudos do Comércio Exterior (Funcex) - FUNCEX_XVVEST2N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Plan1!$O$2:$O$21</c:f>
            </c:numRef>
          </c:val>
        </c:ser>
        <c:ser>
          <c:idx val="14"/>
          <c:order val="14"/>
          <c:tx>
            <c:strRef>
              <c:f>Plan1!$P$1</c:f>
              <c:strCache>
                <c:ptCount val="1"/>
                <c:pt idx="0">
                  <c:v>extração de carvão mineral - (FOB)  - US$ (milhões)  - Fundação Centro de Estudos do Comércio Exterior (Funcex) - FUNCEX_XVECARV2N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Plan1!$P$2:$P$21</c:f>
            </c:numRef>
          </c:val>
        </c:ser>
        <c:ser>
          <c:idx val="15"/>
          <c:order val="15"/>
          <c:tx>
            <c:strRef>
              <c:f>Plan1!$Q$1</c:f>
              <c:strCache>
                <c:ptCount val="1"/>
                <c:pt idx="0">
                  <c:v>produtos alimentícios</c:v>
                </c:pt>
              </c:strCache>
            </c:strRef>
          </c:tx>
          <c:cat>
            <c:strRef>
              <c:f>Plan1!$A$2:$A$21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Plan1!$Q$2:$Q$21</c:f>
              <c:numCache>
                <c:formatCode>0.00%</c:formatCode>
                <c:ptCount val="20"/>
                <c:pt idx="0">
                  <c:v>0.10148225821749618</c:v>
                </c:pt>
                <c:pt idx="1">
                  <c:v>8.707338824258673E-2</c:v>
                </c:pt>
                <c:pt idx="2">
                  <c:v>8.5498507761597176E-2</c:v>
                </c:pt>
                <c:pt idx="3">
                  <c:v>8.9680287615580778E-2</c:v>
                </c:pt>
                <c:pt idx="4">
                  <c:v>6.9251226980690223E-2</c:v>
                </c:pt>
                <c:pt idx="5">
                  <c:v>8.7023273590645947E-2</c:v>
                </c:pt>
                <c:pt idx="6">
                  <c:v>9.0066146502253183E-2</c:v>
                </c:pt>
                <c:pt idx="7">
                  <c:v>9.107835501504917E-2</c:v>
                </c:pt>
                <c:pt idx="8">
                  <c:v>8.8078086485581963E-2</c:v>
                </c:pt>
                <c:pt idx="9">
                  <c:v>8.5121475272856323E-2</c:v>
                </c:pt>
                <c:pt idx="10">
                  <c:v>8.2803135075163001E-2</c:v>
                </c:pt>
                <c:pt idx="11">
                  <c:v>8.3265984251810268E-2</c:v>
                </c:pt>
                <c:pt idx="12">
                  <c:v>8.5464353913499658E-2</c:v>
                </c:pt>
                <c:pt idx="13">
                  <c:v>0.10250915252312183</c:v>
                </c:pt>
                <c:pt idx="14">
                  <c:v>9.462575701666201E-2</c:v>
                </c:pt>
                <c:pt idx="15">
                  <c:v>8.9132153542471032E-2</c:v>
                </c:pt>
                <c:pt idx="16">
                  <c:v>9.0865816781837333E-2</c:v>
                </c:pt>
                <c:pt idx="17">
                  <c:v>8.9437698275274119E-2</c:v>
                </c:pt>
                <c:pt idx="18">
                  <c:v>9.1863329284184211E-2</c:v>
                </c:pt>
                <c:pt idx="19">
                  <c:v>9.253770235325473E-2</c:v>
                </c:pt>
              </c:numCache>
            </c:numRef>
          </c:val>
        </c:ser>
        <c:marker val="1"/>
        <c:axId val="74085120"/>
        <c:axId val="74086656"/>
      </c:lineChart>
      <c:catAx>
        <c:axId val="74085120"/>
        <c:scaling>
          <c:orientation val="minMax"/>
        </c:scaling>
        <c:axPos val="b"/>
        <c:tickLblPos val="nextTo"/>
        <c:txPr>
          <a:bodyPr/>
          <a:lstStyle/>
          <a:p>
            <a:pPr>
              <a:defRPr lang="pt-BR"/>
            </a:pPr>
            <a:endParaRPr lang="en-US"/>
          </a:p>
        </c:txPr>
        <c:crossAx val="74086656"/>
        <c:crosses val="autoZero"/>
        <c:auto val="1"/>
        <c:lblAlgn val="ctr"/>
        <c:lblOffset val="100"/>
      </c:catAx>
      <c:valAx>
        <c:axId val="74086656"/>
        <c:scaling>
          <c:orientation val="minMax"/>
        </c:scaling>
        <c:axPos val="l"/>
        <c:majorGridlines/>
        <c:numFmt formatCode="0.00%" sourceLinked="1"/>
        <c:tickLblPos val="nextTo"/>
        <c:txPr>
          <a:bodyPr/>
          <a:lstStyle/>
          <a:p>
            <a:pPr>
              <a:defRPr lang="pt-BR"/>
            </a:pPr>
            <a:endParaRPr lang="en-US"/>
          </a:p>
        </c:txPr>
        <c:crossAx val="740851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0351273332409744E-2"/>
          <c:y val="0.70822623464062562"/>
          <c:w val="0.92480210476112501"/>
          <c:h val="0.22111355609309763"/>
        </c:manualLayout>
      </c:layout>
      <c:txPr>
        <a:bodyPr/>
        <a:lstStyle/>
        <a:p>
          <a:pPr>
            <a:defRPr lang="pt-BR"/>
          </a:pPr>
          <a:endParaRPr lang="en-US"/>
        </a:p>
      </c:txPr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4.9450519158478687E-2"/>
          <c:y val="1.3284393177723106E-2"/>
          <c:w val="0.88043508267050363"/>
          <c:h val="0.61632648443725968"/>
        </c:manualLayout>
      </c:layout>
      <c:lineChart>
        <c:grouping val="standard"/>
        <c:ser>
          <c:idx val="0"/>
          <c:order val="0"/>
          <c:tx>
            <c:strRef>
              <c:f>Plan2!$B$1</c:f>
              <c:strCache>
                <c:ptCount val="1"/>
                <c:pt idx="0">
                  <c:v> bens de consumo duráveis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Plan2!$B$2:$B$21</c:f>
              <c:numCache>
                <c:formatCode>0.00%</c:formatCode>
                <c:ptCount val="20"/>
                <c:pt idx="0">
                  <c:v>2.5682223006881312E-2</c:v>
                </c:pt>
                <c:pt idx="1">
                  <c:v>3.2548652309652468E-2</c:v>
                </c:pt>
                <c:pt idx="2">
                  <c:v>3.3286267095154837E-2</c:v>
                </c:pt>
                <c:pt idx="3">
                  <c:v>1.9146361141669992E-2</c:v>
                </c:pt>
                <c:pt idx="4">
                  <c:v>1.6893668813365251E-2</c:v>
                </c:pt>
                <c:pt idx="5">
                  <c:v>1.7983560662278488E-2</c:v>
                </c:pt>
                <c:pt idx="6">
                  <c:v>1.3178210557555472E-2</c:v>
                </c:pt>
                <c:pt idx="7">
                  <c:v>1.098214909296906E-2</c:v>
                </c:pt>
                <c:pt idx="8">
                  <c:v>1.0389335906900854E-2</c:v>
                </c:pt>
                <c:pt idx="9">
                  <c:v>1.2266359346448163E-2</c:v>
                </c:pt>
                <c:pt idx="10">
                  <c:v>1.8067391336838611E-2</c:v>
                </c:pt>
                <c:pt idx="11">
                  <c:v>2.0680103807246959E-2</c:v>
                </c:pt>
                <c:pt idx="12">
                  <c:v>2.2428371488093922E-2</c:v>
                </c:pt>
                <c:pt idx="13">
                  <c:v>3.0030606197710981E-2</c:v>
                </c:pt>
                <c:pt idx="14">
                  <c:v>3.2338749939371907E-2</c:v>
                </c:pt>
                <c:pt idx="15">
                  <c:v>3.4925056194399721E-2</c:v>
                </c:pt>
                <c:pt idx="16">
                  <c:v>3.0780250227075978E-2</c:v>
                </c:pt>
                <c:pt idx="17">
                  <c:v>2.7612244735717509E-2</c:v>
                </c:pt>
                <c:pt idx="18">
                  <c:v>2.5630030762365596E-2</c:v>
                </c:pt>
                <c:pt idx="19">
                  <c:v>2.4050119734320162E-2</c:v>
                </c:pt>
              </c:numCache>
            </c:numRef>
          </c:val>
        </c:ser>
        <c:ser>
          <c:idx val="1"/>
          <c:order val="1"/>
          <c:tx>
            <c:strRef>
              <c:f>Plan2!$C$1</c:f>
              <c:strCache>
                <c:ptCount val="1"/>
                <c:pt idx="0">
                  <c:v>bens de consumo não duráveis 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Plan2!$C$2:$C$21</c:f>
              <c:numCache>
                <c:formatCode>0.00%</c:formatCode>
                <c:ptCount val="20"/>
                <c:pt idx="0">
                  <c:v>5.3237254567642292E-2</c:v>
                </c:pt>
                <c:pt idx="1">
                  <c:v>5.0371740486811797E-2</c:v>
                </c:pt>
                <c:pt idx="2">
                  <c:v>5.3725339823842089E-2</c:v>
                </c:pt>
                <c:pt idx="3">
                  <c:v>4.6447015300557205E-2</c:v>
                </c:pt>
                <c:pt idx="4">
                  <c:v>3.7060430005197022E-2</c:v>
                </c:pt>
                <c:pt idx="5">
                  <c:v>3.4010314243792993E-2</c:v>
                </c:pt>
                <c:pt idx="6">
                  <c:v>3.6504415880659252E-2</c:v>
                </c:pt>
                <c:pt idx="7">
                  <c:v>3.5471079254302353E-2</c:v>
                </c:pt>
                <c:pt idx="8">
                  <c:v>3.1421056802993806E-2</c:v>
                </c:pt>
                <c:pt idx="9">
                  <c:v>3.2080306881810759E-2</c:v>
                </c:pt>
                <c:pt idx="10">
                  <c:v>3.3324104923136963E-2</c:v>
                </c:pt>
                <c:pt idx="11">
                  <c:v>3.3070586821733527E-2</c:v>
                </c:pt>
                <c:pt idx="12">
                  <c:v>2.9249219067301577E-2</c:v>
                </c:pt>
                <c:pt idx="13">
                  <c:v>3.9410398510979994E-2</c:v>
                </c:pt>
                <c:pt idx="14">
                  <c:v>3.6621989816238862E-2</c:v>
                </c:pt>
                <c:pt idx="15">
                  <c:v>3.706119595049788E-2</c:v>
                </c:pt>
                <c:pt idx="16">
                  <c:v>4.0823371973645294E-2</c:v>
                </c:pt>
                <c:pt idx="17">
                  <c:v>4.1438085217180017E-2</c:v>
                </c:pt>
                <c:pt idx="18">
                  <c:v>4.2649357588500088E-2</c:v>
                </c:pt>
                <c:pt idx="19">
                  <c:v>4.9294388743891769E-2</c:v>
                </c:pt>
              </c:numCache>
            </c:numRef>
          </c:val>
        </c:ser>
        <c:ser>
          <c:idx val="2"/>
          <c:order val="2"/>
          <c:tx>
            <c:strRef>
              <c:f>Plan2!$D$1</c:f>
              <c:strCache>
                <c:ptCount val="1"/>
                <c:pt idx="0">
                  <c:v> bens intermediários 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Plan2!$D$2:$D$21</c:f>
              <c:numCache>
                <c:formatCode>0.00%</c:formatCode>
                <c:ptCount val="20"/>
                <c:pt idx="0">
                  <c:v>0.2629411961547623</c:v>
                </c:pt>
                <c:pt idx="1">
                  <c:v>0.2582334019044551</c:v>
                </c:pt>
                <c:pt idx="2">
                  <c:v>0.2674831090886125</c:v>
                </c:pt>
                <c:pt idx="3">
                  <c:v>0.28288601525562757</c:v>
                </c:pt>
                <c:pt idx="4">
                  <c:v>0.29086654135927348</c:v>
                </c:pt>
                <c:pt idx="5">
                  <c:v>0.28666864026008282</c:v>
                </c:pt>
                <c:pt idx="6">
                  <c:v>0.29281854733381241</c:v>
                </c:pt>
                <c:pt idx="7">
                  <c:v>0.3124418312893989</c:v>
                </c:pt>
                <c:pt idx="8">
                  <c:v>0.31752248715099529</c:v>
                </c:pt>
                <c:pt idx="9">
                  <c:v>0.30832746940305594</c:v>
                </c:pt>
                <c:pt idx="10">
                  <c:v>0.29687797426669615</c:v>
                </c:pt>
                <c:pt idx="11">
                  <c:v>0.29193362764237368</c:v>
                </c:pt>
                <c:pt idx="12">
                  <c:v>0.28811157257656178</c:v>
                </c:pt>
                <c:pt idx="13">
                  <c:v>0.28078215447035876</c:v>
                </c:pt>
                <c:pt idx="14">
                  <c:v>0.2774138562988841</c:v>
                </c:pt>
                <c:pt idx="15">
                  <c:v>0.26754349254584475</c:v>
                </c:pt>
                <c:pt idx="16">
                  <c:v>0.26634437739893424</c:v>
                </c:pt>
                <c:pt idx="17">
                  <c:v>0.2639950771903638</c:v>
                </c:pt>
                <c:pt idx="18">
                  <c:v>0.26707672679072458</c:v>
                </c:pt>
                <c:pt idx="19">
                  <c:v>0.28541421914435977</c:v>
                </c:pt>
              </c:numCache>
            </c:numRef>
          </c:val>
        </c:ser>
        <c:ser>
          <c:idx val="3"/>
          <c:order val="3"/>
          <c:tx>
            <c:strRef>
              <c:f>Plan2!$E$1</c:f>
              <c:strCache>
                <c:ptCount val="1"/>
                <c:pt idx="0">
                  <c:v> bens de capital 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Plan2!$E$2:$E$21</c:f>
              <c:numCache>
                <c:formatCode>0.00%</c:formatCode>
                <c:ptCount val="20"/>
                <c:pt idx="0">
                  <c:v>9.7534144777474671E-2</c:v>
                </c:pt>
                <c:pt idx="1">
                  <c:v>0.10700955402756254</c:v>
                </c:pt>
                <c:pt idx="2">
                  <c:v>0.10808571865709955</c:v>
                </c:pt>
                <c:pt idx="3">
                  <c:v>0.10264672732419411</c:v>
                </c:pt>
                <c:pt idx="4">
                  <c:v>8.6751272284848566E-2</c:v>
                </c:pt>
                <c:pt idx="5">
                  <c:v>9.8032797381619519E-2</c:v>
                </c:pt>
                <c:pt idx="6">
                  <c:v>9.2287693323110528E-2</c:v>
                </c:pt>
                <c:pt idx="7">
                  <c:v>7.4042075475114516E-2</c:v>
                </c:pt>
                <c:pt idx="8">
                  <c:v>6.1286418776178242E-2</c:v>
                </c:pt>
                <c:pt idx="9">
                  <c:v>6.7339975845000413E-2</c:v>
                </c:pt>
                <c:pt idx="10">
                  <c:v>6.7831278529350961E-2</c:v>
                </c:pt>
                <c:pt idx="11">
                  <c:v>6.9803797934916784E-2</c:v>
                </c:pt>
                <c:pt idx="12">
                  <c:v>7.2096191238596147E-2</c:v>
                </c:pt>
                <c:pt idx="13">
                  <c:v>8.537118506657182E-2</c:v>
                </c:pt>
                <c:pt idx="14">
                  <c:v>8.2121062367840739E-2</c:v>
                </c:pt>
                <c:pt idx="15">
                  <c:v>7.7885224735715991E-2</c:v>
                </c:pt>
                <c:pt idx="16">
                  <c:v>7.968826350853539E-2</c:v>
                </c:pt>
                <c:pt idx="17">
                  <c:v>7.7736315488315361E-2</c:v>
                </c:pt>
                <c:pt idx="18">
                  <c:v>7.2217131763323658E-2</c:v>
                </c:pt>
                <c:pt idx="19">
                  <c:v>7.5532129280455634E-2</c:v>
                </c:pt>
              </c:numCache>
            </c:numRef>
          </c:val>
        </c:ser>
        <c:ser>
          <c:idx val="4"/>
          <c:order val="4"/>
          <c:tx>
            <c:strRef>
              <c:f>Plan2!$F$1</c:f>
              <c:strCache>
                <c:ptCount val="1"/>
                <c:pt idx="0">
                  <c:v>combustíveis 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Plan2!$F$2:$F$21</c:f>
              <c:numCache>
                <c:formatCode>0.00%</c:formatCode>
                <c:ptCount val="20"/>
                <c:pt idx="0">
                  <c:v>6.0637566646160775E-2</c:v>
                </c:pt>
                <c:pt idx="1">
                  <c:v>5.1855744453180051E-2</c:v>
                </c:pt>
                <c:pt idx="2">
                  <c:v>3.7431780956072462E-2</c:v>
                </c:pt>
                <c:pt idx="3">
                  <c:v>4.889736006791999E-2</c:v>
                </c:pt>
                <c:pt idx="4">
                  <c:v>6.8440397444373774E-2</c:v>
                </c:pt>
                <c:pt idx="5">
                  <c:v>6.3312960717457581E-2</c:v>
                </c:pt>
                <c:pt idx="6">
                  <c:v>6.5230607571496374E-2</c:v>
                </c:pt>
                <c:pt idx="7">
                  <c:v>6.7081747893768875E-2</c:v>
                </c:pt>
                <c:pt idx="8">
                  <c:v>7.9396138948455347E-2</c:v>
                </c:pt>
                <c:pt idx="9">
                  <c:v>7.9991527135923335E-2</c:v>
                </c:pt>
                <c:pt idx="10">
                  <c:v>8.396721854092544E-2</c:v>
                </c:pt>
                <c:pt idx="11">
                  <c:v>8.4612674371638552E-2</c:v>
                </c:pt>
                <c:pt idx="12">
                  <c:v>8.8200375999439681E-2</c:v>
                </c:pt>
                <c:pt idx="13">
                  <c:v>6.4513628107973897E-2</c:v>
                </c:pt>
                <c:pt idx="14">
                  <c:v>7.1552307591700851E-2</c:v>
                </c:pt>
                <c:pt idx="15">
                  <c:v>8.2624073417609495E-2</c:v>
                </c:pt>
                <c:pt idx="16">
                  <c:v>8.242153234189252E-2</c:v>
                </c:pt>
                <c:pt idx="17">
                  <c:v>8.9264004612828393E-2</c:v>
                </c:pt>
                <c:pt idx="18">
                  <c:v>9.2472810551703311E-2</c:v>
                </c:pt>
                <c:pt idx="19">
                  <c:v>6.5770090212523294E-2</c:v>
                </c:pt>
              </c:numCache>
            </c:numRef>
          </c:val>
        </c:ser>
        <c:ser>
          <c:idx val="5"/>
          <c:order val="5"/>
          <c:tx>
            <c:strRef>
              <c:f>Plan2!$G$1</c:f>
              <c:strCache>
                <c:ptCount val="1"/>
                <c:pt idx="0">
                  <c:v> agricultura e pecuária - (FOB)  - US$ (milhões)  - Fundação Centro de Estudos do Comércio Exterior (Funcex) - FUNCEX_MVAGP2N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Plan2!$G$2:$G$21</c:f>
            </c:numRef>
          </c:val>
        </c:ser>
        <c:ser>
          <c:idx val="6"/>
          <c:order val="6"/>
          <c:tx>
            <c:strRef>
              <c:f>Plan2!$H$1</c:f>
              <c:strCache>
                <c:ptCount val="1"/>
                <c:pt idx="0">
                  <c:v> bebidas - (FOB)  - US$ (milhões)  - Fundação Centro de Estudos do Comércio Exterior (Funcex) - FUNCEX_MVBEB2N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Plan2!$H$2:$H$21</c:f>
            </c:numRef>
          </c:val>
        </c:ser>
        <c:ser>
          <c:idx val="7"/>
          <c:order val="7"/>
          <c:tx>
            <c:strRef>
              <c:f>Plan2!$I$1</c:f>
              <c:strCache>
                <c:ptCount val="1"/>
                <c:pt idx="0">
                  <c:v>couros, artefatos de couro e calçados - (FOB)  - US$ (milhões)  - Fundação Centro de Estudos do Comércio Exterior (Funcex) - FUNCEX_MVCAL2N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Plan2!$I$2:$I$21</c:f>
            </c:numRef>
          </c:val>
        </c:ser>
        <c:ser>
          <c:idx val="8"/>
          <c:order val="8"/>
          <c:tx>
            <c:strRef>
              <c:f>Plan2!$J$1</c:f>
              <c:strCache>
                <c:ptCount val="1"/>
                <c:pt idx="0">
                  <c:v> extração de minerais metálicos 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Plan2!$J$2:$J$21</c:f>
            </c:numRef>
          </c:val>
        </c:ser>
        <c:ser>
          <c:idx val="9"/>
          <c:order val="9"/>
          <c:tx>
            <c:strRef>
              <c:f>Plan2!$K$1</c:f>
              <c:strCache>
                <c:ptCount val="1"/>
                <c:pt idx="0">
                  <c:v>extração de minerais não-metálicos - (FOB)  - US$ (milhões)  - Fundação Centro de Estudos do Comércio Exterior (Funcex) - FUNCEX_MVEMNM2N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Plan2!$K$2:$K$21</c:f>
            </c:numRef>
          </c:val>
        </c:ser>
        <c:ser>
          <c:idx val="10"/>
          <c:order val="10"/>
          <c:tx>
            <c:strRef>
              <c:f>Plan2!$L$1</c:f>
              <c:strCache>
                <c:ptCount val="1"/>
                <c:pt idx="0">
                  <c:v> extração de petróleo e gás natural - (FOB)  - US$ (milhões)  - Fundação Centro de Estudos do Comércio Exterior (Funcex) - FUNCEX_MVEPET2N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Plan2!$L$2:$L$21</c:f>
            </c:numRef>
          </c:val>
        </c:ser>
        <c:ser>
          <c:idx val="11"/>
          <c:order val="11"/>
          <c:tx>
            <c:strRef>
              <c:f>Plan2!$M$1</c:f>
              <c:strCache>
                <c:ptCount val="1"/>
                <c:pt idx="0">
                  <c:v>setor: máquinas e equipamentos 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Plan2!$M$2:$M$21</c:f>
              <c:numCache>
                <c:formatCode>0.00%</c:formatCode>
                <c:ptCount val="20"/>
                <c:pt idx="0">
                  <c:v>6.1124421882839994E-2</c:v>
                </c:pt>
                <c:pt idx="1">
                  <c:v>6.7088426832964274E-2</c:v>
                </c:pt>
                <c:pt idx="2">
                  <c:v>6.7327650152937846E-2</c:v>
                </c:pt>
                <c:pt idx="3">
                  <c:v>6.2846880734438129E-2</c:v>
                </c:pt>
                <c:pt idx="4">
                  <c:v>4.9989592533123739E-2</c:v>
                </c:pt>
                <c:pt idx="5">
                  <c:v>5.6451636110140924E-2</c:v>
                </c:pt>
                <c:pt idx="6">
                  <c:v>5.9243629349677383E-2</c:v>
                </c:pt>
                <c:pt idx="7">
                  <c:v>5.4589475699123875E-2</c:v>
                </c:pt>
                <c:pt idx="8">
                  <c:v>4.7636728466875868E-2</c:v>
                </c:pt>
                <c:pt idx="9">
                  <c:v>5.1504035276245135E-2</c:v>
                </c:pt>
                <c:pt idx="10">
                  <c:v>4.8453587985628245E-2</c:v>
                </c:pt>
                <c:pt idx="11">
                  <c:v>4.9279710147691586E-2</c:v>
                </c:pt>
                <c:pt idx="12">
                  <c:v>5.0167226980860846E-2</c:v>
                </c:pt>
                <c:pt idx="13">
                  <c:v>5.4698226571222877E-2</c:v>
                </c:pt>
                <c:pt idx="14">
                  <c:v>5.461313793388714E-2</c:v>
                </c:pt>
                <c:pt idx="15">
                  <c:v>5.3279988998603978E-2</c:v>
                </c:pt>
                <c:pt idx="16">
                  <c:v>5.5047527935457134E-2</c:v>
                </c:pt>
                <c:pt idx="17">
                  <c:v>5.3015706030427219E-2</c:v>
                </c:pt>
                <c:pt idx="18">
                  <c:v>4.818829868250795E-2</c:v>
                </c:pt>
                <c:pt idx="19">
                  <c:v>4.9353483673829711E-2</c:v>
                </c:pt>
              </c:numCache>
            </c:numRef>
          </c:val>
        </c:ser>
        <c:ser>
          <c:idx val="12"/>
          <c:order val="12"/>
          <c:tx>
            <c:strRef>
              <c:f>Plan2!$N$1</c:f>
              <c:strCache>
                <c:ptCount val="1"/>
                <c:pt idx="0">
                  <c:v> eq. de informática, eletrônicos e ópticos </c:v>
                </c:pt>
              </c:strCache>
            </c:strRef>
          </c:tx>
          <c:cat>
            <c:strRef>
              <c:f>Plan2!$A$2:$A$21</c:f>
              <c:strCache>
                <c:ptCount val="20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</c:strCache>
            </c:strRef>
          </c:cat>
          <c:val>
            <c:numRef>
              <c:f>Plan2!$N$2:$N$21</c:f>
              <c:numCache>
                <c:formatCode>0.00%</c:formatCode>
                <c:ptCount val="20"/>
                <c:pt idx="0">
                  <c:v>7.2487908058785216E-2</c:v>
                </c:pt>
                <c:pt idx="1">
                  <c:v>7.3163651629066212E-2</c:v>
                </c:pt>
                <c:pt idx="2">
                  <c:v>7.0604468768642889E-2</c:v>
                </c:pt>
                <c:pt idx="3">
                  <c:v>7.6660800782000757E-2</c:v>
                </c:pt>
                <c:pt idx="4">
                  <c:v>8.6971149606553E-2</c:v>
                </c:pt>
                <c:pt idx="5">
                  <c:v>8.2950455011602392E-2</c:v>
                </c:pt>
                <c:pt idx="6">
                  <c:v>7.0493107026417409E-2</c:v>
                </c:pt>
                <c:pt idx="7">
                  <c:v>7.0830102097565628E-2</c:v>
                </c:pt>
                <c:pt idx="8">
                  <c:v>7.5941461948898101E-2</c:v>
                </c:pt>
                <c:pt idx="9">
                  <c:v>8.0763269726617015E-2</c:v>
                </c:pt>
                <c:pt idx="10">
                  <c:v>8.1340050564826405E-2</c:v>
                </c:pt>
                <c:pt idx="11">
                  <c:v>7.1613053072230329E-2</c:v>
                </c:pt>
                <c:pt idx="12">
                  <c:v>6.5613957661657105E-2</c:v>
                </c:pt>
                <c:pt idx="13">
                  <c:v>6.7766033405060377E-2</c:v>
                </c:pt>
                <c:pt idx="14">
                  <c:v>6.5492963384365319E-2</c:v>
                </c:pt>
                <c:pt idx="15">
                  <c:v>5.9383381212848682E-2</c:v>
                </c:pt>
                <c:pt idx="16">
                  <c:v>5.9202504345525542E-2</c:v>
                </c:pt>
                <c:pt idx="17">
                  <c:v>5.8414379475033723E-2</c:v>
                </c:pt>
                <c:pt idx="18">
                  <c:v>5.8497640027270925E-2</c:v>
                </c:pt>
                <c:pt idx="19">
                  <c:v>5.7516313598767181E-2</c:v>
                </c:pt>
              </c:numCache>
            </c:numRef>
          </c:val>
        </c:ser>
        <c:marker val="1"/>
        <c:axId val="79666176"/>
        <c:axId val="79705984"/>
      </c:lineChart>
      <c:catAx>
        <c:axId val="79666176"/>
        <c:scaling>
          <c:orientation val="minMax"/>
        </c:scaling>
        <c:axPos val="b"/>
        <c:tickLblPos val="nextTo"/>
        <c:txPr>
          <a:bodyPr/>
          <a:lstStyle/>
          <a:p>
            <a:pPr>
              <a:defRPr lang="pt-BR"/>
            </a:pPr>
            <a:endParaRPr lang="en-US"/>
          </a:p>
        </c:txPr>
        <c:crossAx val="79705984"/>
        <c:crosses val="autoZero"/>
        <c:auto val="1"/>
        <c:lblAlgn val="ctr"/>
        <c:lblOffset val="100"/>
      </c:catAx>
      <c:valAx>
        <c:axId val="79705984"/>
        <c:scaling>
          <c:orientation val="minMax"/>
        </c:scaling>
        <c:axPos val="l"/>
        <c:majorGridlines/>
        <c:numFmt formatCode="0.00%" sourceLinked="1"/>
        <c:tickLblPos val="nextTo"/>
        <c:txPr>
          <a:bodyPr/>
          <a:lstStyle/>
          <a:p>
            <a:pPr>
              <a:defRPr lang="pt-BR"/>
            </a:pPr>
            <a:endParaRPr lang="en-US"/>
          </a:p>
        </c:txPr>
        <c:crossAx val="796661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1851218088401096E-2"/>
          <c:y val="0.75220138190722152"/>
          <c:w val="0.90635170603674542"/>
          <c:h val="0.21199365971674081"/>
        </c:manualLayout>
      </c:layout>
      <c:txPr>
        <a:bodyPr/>
        <a:lstStyle/>
        <a:p>
          <a:pPr>
            <a:defRPr lang="pt-BR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B6647-0C51-46AD-9CCA-E8B9A2BE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14</Pages>
  <Words>4229</Words>
  <Characters>24111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5</cp:revision>
  <dcterms:created xsi:type="dcterms:W3CDTF">2016-05-25T12:31:00Z</dcterms:created>
  <dcterms:modified xsi:type="dcterms:W3CDTF">2016-05-25T21:16:00Z</dcterms:modified>
</cp:coreProperties>
</file>