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C50" w:rsidRDefault="00A71C50" w:rsidP="00A71C50">
      <w:pPr>
        <w:pStyle w:val="NormalWeb"/>
        <w:spacing w:before="0" w:beforeAutospacing="0" w:after="0" w:afterAutospacing="0"/>
        <w:jc w:val="center"/>
        <w:textAlignment w:val="baseline"/>
        <w:rPr>
          <w:rFonts w:ascii="Arial" w:hAnsi="Arial" w:cs="Arial"/>
          <w:color w:val="666666"/>
          <w:sz w:val="21"/>
          <w:szCs w:val="21"/>
        </w:rPr>
      </w:pPr>
      <w:r>
        <w:rPr>
          <w:rStyle w:val="apple-converted-space"/>
          <w:rFonts w:ascii="Arial" w:hAnsi="Arial" w:cs="Arial"/>
          <w:color w:val="666666"/>
          <w:sz w:val="21"/>
          <w:szCs w:val="21"/>
        </w:rPr>
        <w:t> </w:t>
      </w:r>
      <w:r>
        <w:rPr>
          <w:rStyle w:val="Forte"/>
          <w:color w:val="666666"/>
          <w:bdr w:val="none" w:sz="0" w:space="0" w:color="auto" w:frame="1"/>
        </w:rPr>
        <w:t>O DIREITO AO CONTRADITÓRIO E À AMPLA DEFESA NO INQUÉRITO POLICIAL</w:t>
      </w:r>
      <w:bookmarkStart w:id="0" w:name="sdfootnote1anc"/>
      <w:r>
        <w:rPr>
          <w:rStyle w:val="Forte"/>
          <w:color w:val="666666"/>
          <w:bdr w:val="none" w:sz="0" w:space="0" w:color="auto" w:frame="1"/>
        </w:rPr>
        <w:fldChar w:fldCharType="begin"/>
      </w:r>
      <w:r>
        <w:rPr>
          <w:rStyle w:val="Forte"/>
          <w:color w:val="666666"/>
          <w:bdr w:val="none" w:sz="0" w:space="0" w:color="auto" w:frame="1"/>
        </w:rPr>
        <w:instrText xml:space="preserve"> HYPERLINK "http://www.webartigos.com/admin/article/update/?ART_ROOT_ID=146208" \l "sdfootnote1sym" </w:instrText>
      </w:r>
      <w:r>
        <w:rPr>
          <w:rStyle w:val="Forte"/>
          <w:color w:val="666666"/>
          <w:bdr w:val="none" w:sz="0" w:space="0" w:color="auto" w:frame="1"/>
        </w:rPr>
        <w:fldChar w:fldCharType="separate"/>
      </w:r>
      <w:r>
        <w:rPr>
          <w:rStyle w:val="Hyperlink"/>
          <w:color w:val="055C8E"/>
          <w:sz w:val="18"/>
          <w:szCs w:val="18"/>
          <w:u w:val="none"/>
          <w:bdr w:val="none" w:sz="0" w:space="0" w:color="auto" w:frame="1"/>
          <w:vertAlign w:val="superscript"/>
        </w:rPr>
        <w:t>1</w:t>
      </w:r>
      <w:r>
        <w:rPr>
          <w:rStyle w:val="Forte"/>
          <w:color w:val="666666"/>
          <w:bdr w:val="none" w:sz="0" w:space="0" w:color="auto" w:frame="1"/>
        </w:rPr>
        <w:fldChar w:fldCharType="end"/>
      </w:r>
      <w:bookmarkEnd w:id="0"/>
    </w:p>
    <w:p w:rsidR="00A71C50" w:rsidRDefault="00A71C50" w:rsidP="00A71C50">
      <w:pPr>
        <w:pStyle w:val="NormalWeb"/>
        <w:spacing w:before="0" w:beforeAutospacing="0" w:after="240" w:afterAutospacing="0"/>
        <w:jc w:val="right"/>
        <w:textAlignment w:val="baseline"/>
        <w:rPr>
          <w:rFonts w:ascii="Arial" w:hAnsi="Arial" w:cs="Arial"/>
          <w:color w:val="666666"/>
          <w:sz w:val="21"/>
          <w:szCs w:val="21"/>
        </w:rPr>
      </w:pPr>
    </w:p>
    <w:p w:rsidR="00A71C50" w:rsidRDefault="00A71C50" w:rsidP="00A71C50">
      <w:pPr>
        <w:pStyle w:val="NormalWeb"/>
        <w:spacing w:before="0" w:beforeAutospacing="0" w:after="0" w:afterAutospacing="0"/>
        <w:jc w:val="right"/>
        <w:textAlignment w:val="baseline"/>
        <w:rPr>
          <w:rFonts w:ascii="Arial" w:hAnsi="Arial" w:cs="Arial"/>
          <w:color w:val="666666"/>
          <w:sz w:val="21"/>
          <w:szCs w:val="21"/>
        </w:rPr>
      </w:pPr>
      <w:r>
        <w:rPr>
          <w:color w:val="666666"/>
          <w:sz w:val="27"/>
          <w:szCs w:val="27"/>
          <w:bdr w:val="none" w:sz="0" w:space="0" w:color="auto" w:frame="1"/>
        </w:rPr>
        <w:t>Evandro Antonio V. de Moura Filho</w:t>
      </w:r>
    </w:p>
    <w:p w:rsidR="00A71C50" w:rsidRDefault="00A71C50" w:rsidP="00A71C50">
      <w:pPr>
        <w:pStyle w:val="NormalWeb"/>
        <w:spacing w:before="0" w:beforeAutospacing="0" w:after="0" w:afterAutospacing="0"/>
        <w:jc w:val="right"/>
        <w:textAlignment w:val="baseline"/>
        <w:rPr>
          <w:rFonts w:ascii="Arial" w:hAnsi="Arial" w:cs="Arial"/>
          <w:color w:val="666666"/>
          <w:sz w:val="21"/>
          <w:szCs w:val="21"/>
        </w:rPr>
      </w:pPr>
      <w:r>
        <w:rPr>
          <w:color w:val="666666"/>
          <w:sz w:val="27"/>
          <w:szCs w:val="27"/>
          <w:bdr w:val="none" w:sz="0" w:space="0" w:color="auto" w:frame="1"/>
        </w:rPr>
        <w:t>Ítalo Gabriel Pereira dos Santos</w:t>
      </w:r>
      <w:bookmarkStart w:id="1" w:name="sdfootnote2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"http://www.webartigos.com/admin/article/update/?ART_ROOT_ID=146208" \l "sdfootnote2sym" </w:instrText>
      </w:r>
      <w:r>
        <w:rPr>
          <w:color w:val="666666"/>
          <w:sz w:val="27"/>
          <w:szCs w:val="27"/>
          <w:bdr w:val="none" w:sz="0" w:space="0" w:color="auto" w:frame="1"/>
        </w:rPr>
        <w:fldChar w:fldCharType="separate"/>
      </w:r>
      <w:r>
        <w:rPr>
          <w:rStyle w:val="Hyperlink"/>
          <w:color w:val="055C8E"/>
          <w:sz w:val="18"/>
          <w:szCs w:val="18"/>
          <w:u w:val="none"/>
          <w:bdr w:val="none" w:sz="0" w:space="0" w:color="auto" w:frame="1"/>
          <w:vertAlign w:val="superscript"/>
        </w:rPr>
        <w:t>2</w:t>
      </w:r>
      <w:r>
        <w:rPr>
          <w:color w:val="666666"/>
          <w:sz w:val="27"/>
          <w:szCs w:val="27"/>
          <w:bdr w:val="none" w:sz="0" w:space="0" w:color="auto" w:frame="1"/>
        </w:rPr>
        <w:fldChar w:fldCharType="end"/>
      </w:r>
      <w:bookmarkEnd w:id="1"/>
    </w:p>
    <w:p w:rsidR="00A71C50" w:rsidRDefault="00A71C50" w:rsidP="00A71C50">
      <w:pPr>
        <w:pStyle w:val="NormalWeb"/>
        <w:spacing w:before="0" w:beforeAutospacing="0" w:after="360" w:afterAutospacing="0"/>
        <w:jc w:val="right"/>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1 – INQUÉRITO POLICIAL; 1.1- Aspectos gerais; 1.2- Natureza Jurídica; 2- INQUÉRITO POLICIAL E SEU CARÁTER PROBATÓRIO; 3- CONTRADITÓRIO E AMPLA DEFESA NO INQUÉRITO POLICIAL; 3.1-</w:t>
      </w:r>
      <w:r>
        <w:rPr>
          <w:rStyle w:val="apple-converted-space"/>
          <w:color w:val="666666"/>
          <w:bdr w:val="none" w:sz="0" w:space="0" w:color="auto" w:frame="1"/>
        </w:rPr>
        <w:t> </w:t>
      </w:r>
      <w:r>
        <w:rPr>
          <w:color w:val="666666"/>
          <w:bdr w:val="none" w:sz="0" w:space="0" w:color="auto" w:frame="1"/>
        </w:rPr>
        <w:t>Princípios do contraditório e da ampla defesa em âmbito penal; 3.2- O direito ao contraditório e à ampla defesa do indiciado</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jc w:val="center"/>
        <w:textAlignment w:val="baseline"/>
        <w:rPr>
          <w:rFonts w:ascii="Arial" w:hAnsi="Arial" w:cs="Arial"/>
          <w:color w:val="666666"/>
          <w:sz w:val="21"/>
          <w:szCs w:val="21"/>
        </w:rPr>
      </w:pPr>
      <w:r>
        <w:rPr>
          <w:rStyle w:val="Forte"/>
          <w:color w:val="666666"/>
          <w:bdr w:val="none" w:sz="0" w:space="0" w:color="auto" w:frame="1"/>
        </w:rPr>
        <w:t>RESUMO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Neste artigo será tratado a temática do inquérito policial, abordando-se o valor probatório que esse inquérito pode apresentar ao constituir o entendimento do juiz quando este proferir uma decisão. Além disso, como objeto principal do trabalho, analisar-se-á com bastante atenção a questão da incidência dos princípios do contraditório e ampla defesa no inquérito policial, pois são considerados indispensáveis para uma correta e justa prestação jurisdicional, tanto que são salvaguardados na Constituição Federal.</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Palavras-chave:</w:t>
      </w:r>
      <w:r>
        <w:rPr>
          <w:rStyle w:val="apple-converted-space"/>
          <w:b/>
          <w:bCs/>
          <w:color w:val="666666"/>
          <w:bdr w:val="none" w:sz="0" w:space="0" w:color="auto" w:frame="1"/>
        </w:rPr>
        <w:t> </w:t>
      </w:r>
      <w:r>
        <w:rPr>
          <w:color w:val="666666"/>
          <w:sz w:val="27"/>
          <w:szCs w:val="27"/>
          <w:bdr w:val="none" w:sz="0" w:space="0" w:color="auto" w:frame="1"/>
        </w:rPr>
        <w:t>inquérito policial; contraditório; ampla defesa; Constituição</w:t>
      </w: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INTRODUÇÃO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lastRenderedPageBreak/>
        <w:t>Desde o momento em que um delito é praticado, nasce para o dever punitivo, confiado pelos cidadãos a este, para que possa efetivamente penalizar o suposto autor do delito. Com o intuito de conseguir punir esse suposto infrator é necessário que esteja a disposição do Estado meios adequados para investigar a situação ocorrida e então punir o criminoso. É neste contesto que se utiliza o inquérito policial, tema de nosso artigo.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No primeiro capítulo, será abordado como se apresenta o inquérito policial no ordenamento jurídico brasileiro, analisando a sua natureza jurídica, com base principalmente doutrinária e legal. Abordando também a função desse inquérito e a qual atuação o</w:t>
      </w:r>
      <w:r>
        <w:rPr>
          <w:rStyle w:val="apple-converted-space"/>
          <w:color w:val="666666"/>
          <w:sz w:val="27"/>
          <w:szCs w:val="27"/>
          <w:bdr w:val="none" w:sz="0" w:space="0" w:color="auto" w:frame="1"/>
        </w:rPr>
        <w:t> </w:t>
      </w:r>
      <w:r>
        <w:rPr>
          <w:rStyle w:val="nfase"/>
          <w:color w:val="666666"/>
          <w:bdr w:val="none" w:sz="0" w:space="0" w:color="auto" w:frame="1"/>
        </w:rPr>
        <w:t>parquet</w:t>
      </w:r>
      <w:r>
        <w:rPr>
          <w:rStyle w:val="apple-converted-space"/>
          <w:i/>
          <w:iCs/>
          <w:color w:val="666666"/>
          <w:bdr w:val="none" w:sz="0" w:space="0" w:color="auto" w:frame="1"/>
        </w:rPr>
        <w:t> </w:t>
      </w:r>
      <w:r>
        <w:rPr>
          <w:color w:val="666666"/>
          <w:sz w:val="27"/>
          <w:szCs w:val="27"/>
          <w:bdr w:val="none" w:sz="0" w:space="0" w:color="auto" w:frame="1"/>
        </w:rPr>
        <w:t>terá nesta investigação preliminar.</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No segundo capítulo, falar-se-á do valor probatório que o inquérito policial tem perante o convencimento do juiz no processo, observando não só o entendimento dos Tribunais acerca deste tema como dos posicionamentos doutrinários que permeiam toda essa discussão acerca da valoração probatória do inquérito policial. Observando também de maneira suscita a ausência do princípio do contraditório e ampla defesa nesta modalidade de inquérito, que será tratado com mais aprofundamento no próximo capítulo.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E, por fim, no último capítulo, tratar-se-á dos princípios constitucionais do contraditório e ampla defesa, abordando seus conceitos e a distinção entre ambos. Além disso, ver-se-á, como foco principal, como se dá sua aplicação na esfera penal e, mais especificamente, no inquérito.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Com relação ao inquérito, há duas correntes doutrinárias que tratam da incidência ou não desses princípios nessa fase de investigação. No decorrer do paper, entender-se-á o porquê dessa discussão e a posição da doutrina majoritária.</w:t>
      </w: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1. INQUÉRITO POLICIAL</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1.1 Aspectos gerais</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No Brasil, a persecução penal ocorre em duas fases: a de investigação preliminar, concretizado por meio do inquérito policial, do termo circunstanciado e pelas peças de informações; e a realizada processualmente, por meio da ação penal (ZANOTTI; SANTOS, 2013, p. 103).</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Com relação ao inquérito a doutrina entende que se trata de um procedimento administrativo e privativo da polícia judiciária, tendo por finalidade apurar a autoria e materialidade das infrações penais. Porém, segundo Bruno Zanotti, admitir-se que a finalidade do inquérito policial seja fornecer justa causa para uma futura ação penal leva ao encontro de prerrogativas do cargo de Delegado de Polícia, como a imparcialidade. Nesse contexto, segundo o mesmo autor, a finalidade do inquérito deve ser:</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 produção de diligências investigativas de modo a se colher todos os possíveis pontos de vista do fato, devidamente respeitados os direitos fundamentais dos afetados pela investigação policial, confirmado (ou não) a autoria e materialidade (2013, p. 104).</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lastRenderedPageBreak/>
        <w:t>Assim, pensar de maneira diferente levaria a entender que a autoridade policial conduz a investigação como se tivesse interesse na acusação do investigado.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Esse inquérito possui algumas características próprias, como: a discricionariedade; a forma escrita; sigiloso; oficialidade; oficiosidade; indisponibilidade; inquisitivo; autoritariedade; e dispensabilidade.</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Para o</w:t>
      </w:r>
      <w:r>
        <w:rPr>
          <w:rStyle w:val="apple-converted-space"/>
          <w:color w:val="666666"/>
          <w:sz w:val="27"/>
          <w:szCs w:val="27"/>
          <w:bdr w:val="none" w:sz="0" w:space="0" w:color="auto" w:frame="1"/>
        </w:rPr>
        <w:t> </w:t>
      </w:r>
      <w:r>
        <w:rPr>
          <w:rStyle w:val="nfase"/>
          <w:color w:val="666666"/>
          <w:bdr w:val="none" w:sz="0" w:space="0" w:color="auto" w:frame="1"/>
        </w:rPr>
        <w:t>paper,</w:t>
      </w:r>
      <w:r>
        <w:rPr>
          <w:rStyle w:val="apple-converted-space"/>
          <w:i/>
          <w:iCs/>
          <w:color w:val="666666"/>
          <w:bdr w:val="none" w:sz="0" w:space="0" w:color="auto" w:frame="1"/>
        </w:rPr>
        <w:t> </w:t>
      </w:r>
      <w:r>
        <w:rPr>
          <w:color w:val="666666"/>
          <w:sz w:val="27"/>
          <w:szCs w:val="27"/>
          <w:bdr w:val="none" w:sz="0" w:space="0" w:color="auto" w:frame="1"/>
        </w:rPr>
        <w:t>deter-se-á à característica da inquisitoriedade, por possuírem relação com o objeto principal a ser abordado.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 inquérito é considerado inquisitivo por concentrar nas mãos de uma única autoridade as atividade persecutórias, podendo essa autoridade agir de ofício, empreendendo com discricionariedade as atividades que entender necessárias para os esclarecimentos acerca da materialidade do fato e da autoria. Além disso, é secreto e escrito, e conforme será visto, a doutrina majoritária entende que não há aplicação do contraditório e ampla defesa, visto que, dessa forma, o instrumento garante um resultado eficaz para o processo (CAPEZ, 2012, p. 114).</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1.2 Natureza jurídica</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É importante ressaltar de antemão que o inquérito não é necessariamente policial, tendo como base o paragrafo único art. 4º, a competência da polícia não exclui a de outras autoridades administrativas que possuem a competência legal de investigar, sendo lícito que outra autoridade administrativa, com relação às sindicâncias e processos administrativos contra funcionários públicos, realize a verificação dos fatos e com base nos dados colhidos seja proposta a denuncia ao Ministério Público. Podendo também a investigação ser realizada por membros do poder legislativo, nas chamadas</w:t>
      </w:r>
      <w:r>
        <w:rPr>
          <w:rStyle w:val="apple-converted-space"/>
          <w:color w:val="666666"/>
          <w:sz w:val="27"/>
          <w:szCs w:val="27"/>
          <w:bdr w:val="none" w:sz="0" w:space="0" w:color="auto" w:frame="1"/>
        </w:rPr>
        <w:t> </w:t>
      </w:r>
      <w:r>
        <w:rPr>
          <w:rStyle w:val="nfase"/>
          <w:color w:val="666666"/>
          <w:bdr w:val="none" w:sz="0" w:space="0" w:color="auto" w:frame="1"/>
        </w:rPr>
        <w:t>Comissões Parlamentares de Inquérito</w:t>
      </w:r>
      <w:r>
        <w:rPr>
          <w:color w:val="666666"/>
          <w:sz w:val="27"/>
          <w:szCs w:val="27"/>
          <w:bdr w:val="none" w:sz="0" w:space="0" w:color="auto" w:frame="1"/>
        </w:rPr>
        <w:t>. Todavia, neste artigo não será abordado essas formas de inquérito, limitando nossa analise ao inquérito policial (LOPES JR., 2012).</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 inquérito policial é definido pelo renomado processualista penal Renato Brasileiro como: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Procedimento administrativo inquisitório e preparatório, presidido pela autoridade policial, consistente em um conjunto de diligências realizadas pela polícia investigativa objetivando a identificação das fontes de prova e a colheita de elementos de informação quanto à autoria e materialidade da infração penal, a fim de possibilitar que o titular da ação penal possa ingressar em juízo. (2012, p. 111)</w:t>
      </w: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Dessa maneira pode-se notar que este é um procedimento de natureza instrumental, destinado a esclarecer os fatos delituosos relatados na notícia do crime, fornecendo meios para o prosseguimento da ação penal ou seu arquivamento. Dessa caráter instrumental nota-se sua dupla função, a preservadora (a existência previa de inquérito policial inibe a instauração de </w:t>
      </w:r>
      <w:r>
        <w:rPr>
          <w:color w:val="666666"/>
          <w:sz w:val="27"/>
          <w:szCs w:val="27"/>
          <w:bdr w:val="none" w:sz="0" w:space="0" w:color="auto" w:frame="1"/>
        </w:rPr>
        <w:lastRenderedPageBreak/>
        <w:t>um processo penal infundado), a qual resguarda a liberdade do inocente e evita custos desnecessários para o Estado, e a preparatória, que fornece elementos de informação para que o titular da ação penal ingresse em juízo, sem falar que acautela meios de prova que poderiam desaparecer com o decorrer do tempo. (DE LIMA. 2012, p.112)</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Nota-se que o inquérito policial tem natureza jurídica meramente administrativa, não resultando a imposição direta de uma sanção, neste momento não há a pretensão acusatória. Dessa maneira não pode-se falar que não exista uma estrutura processual dialética, sob garantia do contraditório e ampla defesa (DE LIMA. 2012, p.112). Nesse sentido afirma Antonio Scarance Fernandes em sua obra Processo Penal Constitucional:</w:t>
      </w: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Só se exige a observância do contraditório, no processo penal, na fase processual, não na fase investigatória. É o que se extrai do art. 5º, LV, da Constituição Federal. Ao mencionar o contraditório, impõe seja observado em processo judicial ou administrativo, não estando aí abrangido o inquérito policial, o que constitui um conjunto de atos praticados por autoridade administrativa, não configuradores de um processo administrativo. Sequer o inquérito é procedimento, pois falta lhe característica essencial do procedimento, ou seja, a formação por atos que devam obedecer a uma sequencia predeterminada pela lei [...] (2007, p.69-70)</w:t>
      </w: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Ao perceber que o inquérito policial tem caráter apenas informativo é comum se perguntar qual é o valor probatório inquérito policial. Renato Brasileiro esclarece tal questionamento ao afirmar que:</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[...]a finalidade do inquérito policial é a colheita de elementos de informação quanto à autoria e materialidade do delito. Tendo em conta que esses elementos de informação não são colhidos sob a égide do contraditório e da ampla defesa</w:t>
      </w:r>
      <w:r>
        <w:rPr>
          <w:color w:val="666666"/>
          <w:sz w:val="27"/>
          <w:szCs w:val="27"/>
          <w:bdr w:val="none" w:sz="0" w:space="0" w:color="auto" w:frame="1"/>
        </w:rPr>
        <w:t>,</w:t>
      </w:r>
      <w:r>
        <w:rPr>
          <w:rStyle w:val="apple-converted-space"/>
          <w:color w:val="666666"/>
          <w:sz w:val="27"/>
          <w:szCs w:val="27"/>
          <w:bdr w:val="none" w:sz="0" w:space="0" w:color="auto" w:frame="1"/>
        </w:rPr>
        <w:t> </w:t>
      </w:r>
      <w:r>
        <w:rPr>
          <w:color w:val="666666"/>
          <w:bdr w:val="none" w:sz="0" w:space="0" w:color="auto" w:frame="1"/>
        </w:rPr>
        <w:t>deduz-se que o inquérito policial tem valor probatório relativo.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Se esses</w:t>
      </w:r>
      <w:r>
        <w:rPr>
          <w:rStyle w:val="apple-converted-space"/>
          <w:color w:val="666666"/>
          <w:bdr w:val="none" w:sz="0" w:space="0" w:color="auto" w:frame="1"/>
        </w:rPr>
        <w:t> </w:t>
      </w:r>
      <w:r>
        <w:rPr>
          <w:rStyle w:val="nfase"/>
          <w:color w:val="666666"/>
          <w:sz w:val="20"/>
          <w:szCs w:val="20"/>
          <w:bdr w:val="none" w:sz="0" w:space="0" w:color="auto" w:frame="1"/>
        </w:rPr>
        <w:t>elementos de informação</w:t>
      </w:r>
      <w:r>
        <w:rPr>
          <w:rStyle w:val="apple-converted-space"/>
          <w:i/>
          <w:iCs/>
          <w:color w:val="666666"/>
          <w:sz w:val="20"/>
          <w:szCs w:val="20"/>
          <w:bdr w:val="none" w:sz="0" w:space="0" w:color="auto" w:frame="1"/>
        </w:rPr>
        <w:t> </w:t>
      </w:r>
      <w:r>
        <w:rPr>
          <w:color w:val="666666"/>
          <w:bdr w:val="none" w:sz="0" w:space="0" w:color="auto" w:frame="1"/>
        </w:rPr>
        <w:t>são colhidos na fase investigatória, sem a necessária participação dialética das partes, ou seja, sem a obrigatória observância do contraditório e ampla defesa, questiona-se acerca da possibilidade de utilização para formar a convicção do juiz em sede processual. (2012, p.114).</w:t>
      </w: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Quanto à atuação do Ministério Público no inquérito policial, este é autorizado a requerer abertura como também acompanhar a atividade policial no curso do inquérito. No entanto por falta de previsão normativa que defina o controle externo da atividade policial, não é possível afirmar que o Ministério Público pode assumir o mando do inquérito policial, embora seja capaz de atuar ativamente, requerendo diligencias e acompanhando a atividade policial. Sendo lícito ao</w:t>
      </w:r>
      <w:r>
        <w:rPr>
          <w:rStyle w:val="apple-converted-space"/>
          <w:color w:val="666666"/>
          <w:sz w:val="27"/>
          <w:szCs w:val="27"/>
          <w:bdr w:val="none" w:sz="0" w:space="0" w:color="auto" w:frame="1"/>
        </w:rPr>
        <w:t> </w:t>
      </w:r>
      <w:r>
        <w:rPr>
          <w:rStyle w:val="nfase"/>
          <w:color w:val="666666"/>
          <w:bdr w:val="none" w:sz="0" w:space="0" w:color="auto" w:frame="1"/>
        </w:rPr>
        <w:t>parquet</w:t>
      </w:r>
      <w:r>
        <w:rPr>
          <w:rStyle w:val="apple-converted-space"/>
          <w:i/>
          <w:iCs/>
          <w:color w:val="666666"/>
          <w:bdr w:val="none" w:sz="0" w:space="0" w:color="auto" w:frame="1"/>
        </w:rPr>
        <w:t> </w:t>
      </w:r>
      <w:r>
        <w:rPr>
          <w:color w:val="666666"/>
          <w:sz w:val="27"/>
          <w:szCs w:val="27"/>
          <w:bdr w:val="none" w:sz="0" w:space="0" w:color="auto" w:frame="1"/>
        </w:rPr>
        <w:t>requisitar a instauração do inquérito policial e/ou acompanhar a sua realização (LOPES JR, 2012, p. 774).</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2- INQUÉRITO POLICIAL E SEU CARÁTER PROBATÓRIO</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lastRenderedPageBreak/>
        <w:t>Entende-se como regra geral que os elementos coletados no andar do inquérito policial tem a função de fundamentar medidas de natureza endoprocedimental e para justificar o processo ou não processo. Entendendo dessa maneira ser completamente inviável pretender transferir para o inquérito policial a estrutura dialética do processo e suas garantias, asseguradas constitucionalmente, da mesma forma que não se pode tolerar uma condenação baseada em um procedimento sem as mínimas garantias. (LOPES JR, 2012, p. 880)</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É notório que o juiz de direito tem importância impar na função de garantidor dos direitos fundamentais constitucionalmente consagrados, não podendo ficar inerte em face de violação ou ameaça de lesão a esses direitos. O juiz tem legitimidade constitucional na função de proteção dos direitos fundamentais de cada um, sendo personagem imprescindível no Estado Democrático de Direito. Em relação ao inquérito policial o juiz não presencia seus atos e muito menos o orienta. Dessa maneira observa-se que o julgador não investiga. Sendo necessário analisar qual valor probatório terá o inquérito no processo penal (LOPES JR, 2011, p.253)</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Entende-se que os elementos fornecidos pelo inquérito policial tem o valor de meros atos de investigação, não servindo para justificar um juízo condenatório.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Sendo atos de investigação conceituados como atos em que se referem a uma hipótese e não a uma afirmação, estando a serviço de investigação preliminar (fase pré-processual), sem existir a presença do princípio da publicidade, contradição e imediação, pois podem ser restringidas, não estando também destinados à sentença, mas a justificar o processo (recebimento da ação penal, servindo ainda de fundamento para decisões interlocutórias de imputação (indiciamento) e adoção de medidas cautelares pessoais, reais ou outras restrições de caráter provisório. (LOPES JR, 2012, p. 879)</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 posicionamento dos Tribunais a respeito da utilização do inquérito policial como forma de convencimento do juiz era tido como inadequado, tendo em vista a exclusiva utilização do inquérito policial como meio de condenação, pois representaria uma visível violação do art. 5º, inc. LV, que assegura aos acusados o contraditório e ampla defesa. No entanto, é importante destacar que o inquérito pode ser usado de maneira subsidiaria, complementando a prova produzida em juiz, sendo assegurado o contraditório e ampla defesa. Como já manifestado pelo Supremo Tribunal Federal “os elemento do inquérito podem influir na formação do livre-convencimento do juiz para a decisão da causa quando complementam outros indícios e provas que passam pelo crivo do contraditório e ampla defesa” (DE LIMA, 2012).</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Nesse sentido a lei 11.690/2008 vem a confirmar a posição jurisprudencial que vinha prevalecendo, a utilização do adverbio</w:t>
      </w:r>
      <w:r>
        <w:rPr>
          <w:rStyle w:val="apple-converted-space"/>
          <w:color w:val="666666"/>
          <w:sz w:val="27"/>
          <w:szCs w:val="27"/>
          <w:bdr w:val="none" w:sz="0" w:space="0" w:color="auto" w:frame="1"/>
        </w:rPr>
        <w:t> </w:t>
      </w:r>
      <w:r>
        <w:rPr>
          <w:rStyle w:val="nfase"/>
          <w:color w:val="666666"/>
          <w:bdr w:val="none" w:sz="0" w:space="0" w:color="auto" w:frame="1"/>
        </w:rPr>
        <w:t>exclusivamente</w:t>
      </w:r>
      <w:r>
        <w:rPr>
          <w:rStyle w:val="apple-converted-space"/>
          <w:color w:val="666666"/>
          <w:sz w:val="27"/>
          <w:szCs w:val="27"/>
          <w:bdr w:val="none" w:sz="0" w:space="0" w:color="auto" w:frame="1"/>
        </w:rPr>
        <w:t> </w:t>
      </w:r>
      <w:r>
        <w:rPr>
          <w:color w:val="666666"/>
          <w:sz w:val="27"/>
          <w:szCs w:val="27"/>
          <w:bdr w:val="none" w:sz="0" w:space="0" w:color="auto" w:frame="1"/>
        </w:rPr>
        <w:t>no corpo do art. 155,</w:t>
      </w:r>
      <w:r>
        <w:rPr>
          <w:rStyle w:val="apple-converted-space"/>
          <w:color w:val="666666"/>
          <w:sz w:val="27"/>
          <w:szCs w:val="27"/>
          <w:bdr w:val="none" w:sz="0" w:space="0" w:color="auto" w:frame="1"/>
        </w:rPr>
        <w:t> </w:t>
      </w:r>
      <w:r>
        <w:rPr>
          <w:rStyle w:val="nfase"/>
          <w:color w:val="666666"/>
          <w:bdr w:val="none" w:sz="0" w:space="0" w:color="auto" w:frame="1"/>
        </w:rPr>
        <w:t>caput,</w:t>
      </w:r>
      <w:r>
        <w:rPr>
          <w:rStyle w:val="apple-converted-space"/>
          <w:i/>
          <w:iCs/>
          <w:color w:val="666666"/>
          <w:bdr w:val="none" w:sz="0" w:space="0" w:color="auto" w:frame="1"/>
        </w:rPr>
        <w:t> </w:t>
      </w:r>
      <w:r>
        <w:rPr>
          <w:color w:val="666666"/>
          <w:sz w:val="27"/>
          <w:szCs w:val="27"/>
          <w:bdr w:val="none" w:sz="0" w:space="0" w:color="auto" w:frame="1"/>
        </w:rPr>
        <w:t xml:space="preserve">do CPP. Nessa mesma linha percebe-se que isoladamente considerados, os elementos informativos (inquérito), não são considerados idôneos para a fundamentação de uma condenação. Todavia, não podem ser completamente desprezados, sendo possível que junto a outras provas </w:t>
      </w:r>
      <w:r>
        <w:rPr>
          <w:color w:val="666666"/>
          <w:sz w:val="27"/>
          <w:szCs w:val="27"/>
          <w:bdr w:val="none" w:sz="0" w:space="0" w:color="auto" w:frame="1"/>
        </w:rPr>
        <w:lastRenderedPageBreak/>
        <w:t>produzidas em juízo possam servir como mais um elemento na formação do convencimento do julgador. É importante notar também que em texto recente o legislador não excluiu o inquérito policial nos autos do processo no art. 12 do Código de Processo Penal. (DE LIMA, 2012, p. 115)</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 respeito do caráter probatório do inquérito suscitado acima afirma Nestor Távora (2013, p. 111)</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O inquérito policial tem valor probatório relativo, pois carece de confirmação por outros elementos colhidos durante a instrução processual. O inquérito, já sabemos, objetiva angariar subsídios para contribuir na formação da opinião delitiva do titular da ação penal, não havendo, nessa fase, contraditório e ampla defesa. Não pode o magistrado condenar o réu com base tão somente em elementos colhidos durante inquérito. É essencial que a intrução probatória em juízo, regida pleo contraditório e ampla defesa, oportunize colher elementos convincentes e robustos a fundamentar um decreto condenatório.</w:t>
      </w: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Existe no entanto esdruxula doutrina que sustente a tese de que inquérito policial valem até a prova em contraditório, estabelecendo uma presunção de veracidade não prevista em lei. A respeito dessa tese afirma Aury Lopes Jr. (2012, p.874)</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O art. 12 do CPP estabelece que o IP acompanhará a denuncia ou queixa, sempre que servir de base a uma ou outra. Qual o fundamento de tal disposição? Não é atribuir valor probatório aos atos de IP, todo o contrário. Por servir de base para a ação penal, ele deverá acompanha-la para permitir o juízo de pré-admissibilidade da acusação. Nada mais do que isso. Servirá para que o juiz decida pelo processo ou não processo, pois na fase processual será formada a prova sobre a qual será proferida sentença.</w:t>
      </w: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No entanto nota-se que essa presunção de veracidade se constitui flagrantemente contraria à própria natureza e razão de existir do IP, levando ainda que sejam admitidos no processo atos praticados em um procedimento de natureza administrativa, secreto, não contraditório e sem exercício de defesa. (LOPES JR, 2012, p. 875)</w:t>
      </w:r>
      <w:r>
        <w:rPr>
          <w:rStyle w:val="apple-converted-space"/>
          <w:color w:val="666666"/>
          <w:sz w:val="27"/>
          <w:szCs w:val="27"/>
          <w:bdr w:val="none" w:sz="0" w:space="0" w:color="auto" w:frame="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Dessa maneira adota-se a posição dos tribunais e da maioria doutrinaria de que o caráter valorativo do inquérito policial é relativo, não podendo o juiz se pautar exclusivamente neste para fundamentar a sua decisão de condenação do réu.</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numPr>
          <w:ilvl w:val="0"/>
          <w:numId w:val="1"/>
        </w:numPr>
        <w:spacing w:before="0" w:beforeAutospacing="0" w:after="0" w:afterAutospacing="0"/>
        <w:ind w:right="240"/>
        <w:textAlignment w:val="baseline"/>
        <w:rPr>
          <w:rFonts w:ascii="Arial" w:hAnsi="Arial" w:cs="Arial"/>
          <w:color w:val="666666"/>
          <w:sz w:val="21"/>
          <w:szCs w:val="21"/>
        </w:rPr>
      </w:pPr>
      <w:r>
        <w:rPr>
          <w:rStyle w:val="Forte"/>
          <w:color w:val="666666"/>
          <w:bdr w:val="none" w:sz="0" w:space="0" w:color="auto" w:frame="1"/>
        </w:rPr>
        <w:t>CONTRADITÓRIO E AMPLA DEFESA NO INQUÉRITO POLICIAL</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3.1 Princípios do contraditório e da ampla defesa em âmbito penal</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O princípio do contraditório, que tem como respaldo a própria Constituição (art. 5º, inc. LV), traduz-se no binômio ciência e participação. Esse princípio </w:t>
      </w:r>
      <w:r>
        <w:rPr>
          <w:color w:val="666666"/>
          <w:sz w:val="27"/>
          <w:szCs w:val="27"/>
          <w:bdr w:val="none" w:sz="0" w:space="0" w:color="auto" w:frame="1"/>
        </w:rPr>
        <w:lastRenderedPageBreak/>
        <w:t>impõe que às partes deve ser dada a possibilidade de influir no convencimento do juiz, oportunizando-se a participação e manifestação com relação aos atos concernentes à evolução processual (TÁVORA; ALENCAR, 2009, p. 47).</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Segundo Aury Lopes Jr (2012, p. 243), “o contraditório deve ser visto basicamente como o direito de participar, de manter uma contraposição em relação à acusação e de estar informado de todos os atos desenvolvidos no iter procedimental”.</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Já o princípio da ampla defesa, também assegurado constitucionalmente (art. 5º, LV da CF), assegura a ampla possibilidade de defesa, lançando-se mão de todos os meios e recursos disponíveis e inerentes a ela. Ele se subdivide em defesa técnica e autodefesa. A primeira será obrigatória; e a segunda está no âmbito de conveniência do réu, que pode optar por utilizá-la ou não, neste caso, permanecendo-se inerte (TÁVORA; ALENCAR, 2009, p. 47).</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No âmbito penal, segundo Nucci (2014, 126) :</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a ampla defesa proporciona</w:t>
      </w:r>
      <w:r>
        <w:rPr>
          <w:rStyle w:val="apple-converted-space"/>
          <w:color w:val="666666"/>
          <w:bdr w:val="none" w:sz="0" w:space="0" w:color="auto" w:frame="1"/>
        </w:rPr>
        <w:t> </w:t>
      </w:r>
      <w:r>
        <w:rPr>
          <w:color w:val="666666"/>
          <w:bdr w:val="none" w:sz="0" w:space="0" w:color="auto" w:frame="1"/>
        </w:rPr>
        <w:t>direitos exclusivos ao réu, como é o caso de ajuizamento de revisão criminal – o que é vedado à acusação – bem como a oportunidade de ser verificada a eficiência da defesa pelo magistrado, que pode desconstituir o advogado escolhido pelo réu, fazendo-o eleger outro ou nomeando-lhe um dativo, entre outros.</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 distinção entres os princípios abordados faz-se necessária devido à possibilidade de haver a violação de uma sem que haja a violação do outro. É possível haver o cerceamento do direito de defesa pela imposição de limitação no uso de instrumentos processuais, sem que, necessariamente, haja violação ao contraditório. A situação contrária é incomum, pois a ausência de comunicação levará à impossibilidade de defesa (LOPES JR, 2012, p. 243).</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No processo penal, a ampla defesa e o contraditório tem aplicações analíticas e significativas, por razões óbvias. O principal efeito da aplicação desses princípios no âmbito penal é a impossibilidade de haver condenação sem defesa, e no caso da falta de defensor do réu, um defensor dativo deve ser nomeado pelo juiz (art. 263 do CPP). Ressalta-se que a defesa técnica deve apresentar um trabalho idôneo de forma a alcançar a sua finalidade, caso contrário, ela deverá ser considerada nula por não arrostar os elementos básicos da acusação e por trazer prejuízo para o réu. Inclusive, há uma súmula do STF nesse sentido, a 523</w:t>
      </w:r>
      <w:bookmarkStart w:id="2" w:name="sdfootnote3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"http://www.webartigos.com/admin/article/update/?ART_ROOT_ID=146208" \l "sdfootnote3sym" </w:instrText>
      </w:r>
      <w:r>
        <w:rPr>
          <w:color w:val="666666"/>
          <w:sz w:val="27"/>
          <w:szCs w:val="27"/>
          <w:bdr w:val="none" w:sz="0" w:space="0" w:color="auto" w:frame="1"/>
        </w:rPr>
        <w:fldChar w:fldCharType="separate"/>
      </w:r>
      <w:r>
        <w:rPr>
          <w:rStyle w:val="Hyperlink"/>
          <w:color w:val="055C8E"/>
          <w:sz w:val="18"/>
          <w:szCs w:val="18"/>
          <w:u w:val="none"/>
          <w:bdr w:val="none" w:sz="0" w:space="0" w:color="auto" w:frame="1"/>
          <w:vertAlign w:val="superscript"/>
        </w:rPr>
        <w:t>3</w:t>
      </w:r>
      <w:r>
        <w:rPr>
          <w:color w:val="666666"/>
          <w:sz w:val="27"/>
          <w:szCs w:val="27"/>
          <w:bdr w:val="none" w:sz="0" w:space="0" w:color="auto" w:frame="1"/>
        </w:rPr>
        <w:fldChar w:fldCharType="end"/>
      </w:r>
      <w:bookmarkEnd w:id="2"/>
      <w:r>
        <w:rPr>
          <w:rStyle w:val="apple-converted-space"/>
          <w:color w:val="666666"/>
          <w:sz w:val="27"/>
          <w:szCs w:val="27"/>
          <w:bdr w:val="none" w:sz="0" w:space="0" w:color="auto" w:frame="1"/>
        </w:rPr>
        <w:t> </w:t>
      </w:r>
      <w:r>
        <w:rPr>
          <w:color w:val="666666"/>
          <w:sz w:val="27"/>
          <w:szCs w:val="27"/>
          <w:bdr w:val="none" w:sz="0" w:space="0" w:color="auto" w:frame="1"/>
        </w:rPr>
        <w:t>(MENDES; BRANCO, 2012, p. 500-501).</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lastRenderedPageBreak/>
        <w:t>3.2 O direito ao contraditório e à ampla defesa do indiciado</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Na prática, o exercício dos direitos de defesa e ao contraditório garante a ciência e participação do acusado no transcorrer do procedimento e o acesso irrestrito do seu defensor aos autos, com a devida possibilidade de defendê-lo, sob pena do processo transformar-se em feito inquisitorial.</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 questão que se levanta é quanto à compatibilidade de ambos os princípios com o inquérito policial, que é inquisitório por natureza jurídica, e “não permite ampla oportunidade de defesa, produzindo e indicando provas, oferecendo recursos, apresentando alegações, entre outras atividades que, como regra, possui durante a instrução judicial” (NUCCI, 2014, p. 126).</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O inquérito policial serve, como visto, para que o órgão acusador forme sua convicção acerca da materialidade e autoria da infração penal, motivo pelo qual não necessita de contraditório e ampla defesa. E se não fosse assim, ter-se-ia duas instruções idênticas: uma realizada pelo delegado e a outra pelo juiz (NUCCI, 2014).</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Nesse diapasão, segundo a maioria da doutrina, por ocorrer em fase pré-processual, sequer existiriam partes, não havendo motivos para se falar em contraditório e ampla defesa na fase de inquérito, mesmo se houvesse o indiciamento. Inclusive, essa inquisitoriedade que garantiria a agilidade das investigações, otimizando a atuação da polícia de forma a garantir resultados mais eficazes para o processo (TÁVORA; ALENCAR, 2009, 77-78).</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Se fosse tal como processo, ele não apresentaria resultado útil, porém, conforme analisado em capítulo anterior, ele não pode ser determinante ao magistrado no momento da sentença, embora muitos juízes utilizem o inquérito para calcarem suas decisões, como se fosse um instrumento produzido à luz do contraditório e ampla defesa. Porém, tal medida é inconstitucional (NUCCI, 2014).</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Entretanto, existem autores que entendem diferente, como Aury Lopes JR. (2012, p. 366), segundo eles existe o direito de defesa e contraditório no inquérito policial. Segundo o mesmo, quanto ao direito de defesa:</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rPr>
        <w:t>Basta citar a possibilidade de o indiciado exercer no interrogatório policial sua autodefesa positiva (dando sua versão aos fatos); ou negativa (usando seu direito de silêncio). Também poderá fazer-se acompanhar de advogado (defesa técnica) que poderá agora intervir no final do interrogatório. Poderá, ainda, postular diligências e juntar documentos (art. 14 do CPP). Por fim, poderá exercer a defesa exógena, através do habeas corpus e do mandado de segurança.</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 xml:space="preserve">Segundo o mesmo autor, o direito de defesa é um direito-réplica que nasce de uma imputação ao sujeito passivo, ou no caso dele ser objeto de diligências e vigilância policial. Da mesma forma, qualquer notícia crime constitui uma </w:t>
      </w:r>
      <w:r>
        <w:rPr>
          <w:color w:val="666666"/>
          <w:sz w:val="27"/>
          <w:szCs w:val="27"/>
          <w:bdr w:val="none" w:sz="0" w:space="0" w:color="auto" w:frame="1"/>
        </w:rPr>
        <w:lastRenderedPageBreak/>
        <w:t>imputação capaz de gerar, no plano processual, uma resistência (LOPES JR., 2012).</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Vale recordar que o texto constitucional, que trata sobre a ampla defesa, é amplo, abrangendo tanto os litigantes em processo judicial como em processo administrativo; e não satisfeito, mencionou a expressão “(...) aos acusados em geral (...)” (LOPES JR., 2012).</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Portanto, se pode afastar o sujeito passivo da investigação policial da abrangência da disposição constitucional, já que a imputação e julgamento são formas de acusação em sentido</w:t>
      </w:r>
      <w:r>
        <w:rPr>
          <w:rStyle w:val="apple-converted-space"/>
          <w:color w:val="666666"/>
          <w:sz w:val="27"/>
          <w:szCs w:val="27"/>
          <w:bdr w:val="none" w:sz="0" w:space="0" w:color="auto" w:frame="1"/>
        </w:rPr>
        <w:t> </w:t>
      </w:r>
      <w:r>
        <w:rPr>
          <w:rStyle w:val="nfase"/>
          <w:color w:val="666666"/>
          <w:bdr w:val="none" w:sz="0" w:space="0" w:color="auto" w:frame="1"/>
        </w:rPr>
        <w:t>latu</w:t>
      </w:r>
      <w:r>
        <w:rPr>
          <w:rStyle w:val="apple-converted-space"/>
          <w:color w:val="666666"/>
          <w:sz w:val="27"/>
          <w:szCs w:val="27"/>
          <w:bdr w:val="none" w:sz="0" w:space="0" w:color="auto" w:frame="1"/>
        </w:rPr>
        <w:t> </w:t>
      </w:r>
      <w:r>
        <w:rPr>
          <w:color w:val="666666"/>
          <w:sz w:val="27"/>
          <w:szCs w:val="27"/>
          <w:bdr w:val="none" w:sz="0" w:space="0" w:color="auto" w:frame="1"/>
        </w:rPr>
        <w:t>(LOPES JR., 2012).</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Com relação ao contraditório, Aury Lopes entende que ele também incidirá nessa fase preliminar, porém não em seu sentido pleno, pois não existe uma relação jurídico-processual. Contudo, ele se manifestará no seu primeiro momento, da informação, apenas (LOPES JR., 2012).</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Ademais, desde a Constituição e com o advento da Lei n. 8.806, entende-se que deve ser permitido o acesso do advogado aos autos aos autos do inquérito, sob pena de violação do contraditório e do direito de defesa técnica. Mais tarde, devido à controvérsias, o STF editou a Súmula Vinculante nº 14</w:t>
      </w:r>
      <w:bookmarkStart w:id="3" w:name="sdfootnote4anc"/>
      <w:r>
        <w:rPr>
          <w:color w:val="666666"/>
          <w:sz w:val="27"/>
          <w:szCs w:val="27"/>
          <w:bdr w:val="none" w:sz="0" w:space="0" w:color="auto" w:frame="1"/>
        </w:rPr>
        <w:fldChar w:fldCharType="begin"/>
      </w:r>
      <w:r>
        <w:rPr>
          <w:color w:val="666666"/>
          <w:sz w:val="27"/>
          <w:szCs w:val="27"/>
          <w:bdr w:val="none" w:sz="0" w:space="0" w:color="auto" w:frame="1"/>
        </w:rPr>
        <w:instrText xml:space="preserve"> HYPERLINK "http://www.webartigos.com/admin/article/update/?ART_ROOT_ID=146208" \l "sdfootnote4sym" </w:instrText>
      </w:r>
      <w:r>
        <w:rPr>
          <w:color w:val="666666"/>
          <w:sz w:val="27"/>
          <w:szCs w:val="27"/>
          <w:bdr w:val="none" w:sz="0" w:space="0" w:color="auto" w:frame="1"/>
        </w:rPr>
        <w:fldChar w:fldCharType="separate"/>
      </w:r>
      <w:r>
        <w:rPr>
          <w:rStyle w:val="Hyperlink"/>
          <w:color w:val="055C8E"/>
          <w:sz w:val="18"/>
          <w:szCs w:val="18"/>
          <w:u w:val="none"/>
          <w:bdr w:val="none" w:sz="0" w:space="0" w:color="auto" w:frame="1"/>
          <w:vertAlign w:val="superscript"/>
        </w:rPr>
        <w:t>4</w:t>
      </w:r>
      <w:r>
        <w:rPr>
          <w:color w:val="666666"/>
          <w:sz w:val="27"/>
          <w:szCs w:val="27"/>
          <w:bdr w:val="none" w:sz="0" w:space="0" w:color="auto" w:frame="1"/>
        </w:rPr>
        <w:fldChar w:fldCharType="end"/>
      </w:r>
      <w:bookmarkEnd w:id="3"/>
      <w:r>
        <w:rPr>
          <w:color w:val="666666"/>
          <w:sz w:val="27"/>
          <w:szCs w:val="27"/>
          <w:bdr w:val="none" w:sz="0" w:space="0" w:color="auto" w:frame="1"/>
        </w:rPr>
        <w:t>. Entretanto, há uma ressalva a ser feita, já que o advogado somente terá acesso aos elementos já documentados no procedimento investigatório.</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Style w:val="Forte"/>
          <w:color w:val="666666"/>
          <w:bdr w:val="none" w:sz="0" w:space="0" w:color="auto" w:frame="1"/>
        </w:rPr>
        <w:t>CONCLUSÃO</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Conforme visto, o inquérito policial constitui um</w:t>
      </w:r>
      <w:r>
        <w:rPr>
          <w:rStyle w:val="apple-converted-space"/>
          <w:color w:val="666666"/>
          <w:sz w:val="27"/>
          <w:szCs w:val="27"/>
          <w:bdr w:val="none" w:sz="0" w:space="0" w:color="auto" w:frame="1"/>
        </w:rPr>
        <w:t> </w:t>
      </w:r>
      <w:r>
        <w:rPr>
          <w:color w:val="666666"/>
          <w:sz w:val="27"/>
          <w:szCs w:val="27"/>
          <w:bdr w:val="none" w:sz="0" w:space="0" w:color="auto" w:frame="1"/>
        </w:rPr>
        <w:t>procedimento administrativo e privativo da polícia judiciária, tendo por finalidade apurar a autoria e materialidade das infrações penais. Devido a isso possui algumas características peculiares, como a inquisitoriedade.</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E por ser inquisitivo, as atividades persecutórias se concentrarão nas mão de uma única autoridade, que agirá de ofício e de forma discricionária. Nesse sentido, para que garanta resultados eficazes, o contraditório e a ampla defesa do sujeito passivo da investigação serão tolhidos.</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Porém, há certa divergência doutrinária quanto à questão, sendo que a maioria entende não haver contraditório e ampla defesa no inquérito policial.</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Nesse contexto, os autores do presente</w:t>
      </w:r>
      <w:r>
        <w:rPr>
          <w:rStyle w:val="apple-converted-space"/>
          <w:color w:val="666666"/>
          <w:sz w:val="27"/>
          <w:szCs w:val="27"/>
          <w:bdr w:val="none" w:sz="0" w:space="0" w:color="auto" w:frame="1"/>
        </w:rPr>
        <w:t> </w:t>
      </w:r>
      <w:r>
        <w:rPr>
          <w:rStyle w:val="nfase"/>
          <w:color w:val="666666"/>
          <w:bdr w:val="none" w:sz="0" w:space="0" w:color="auto" w:frame="1"/>
        </w:rPr>
        <w:t>paper</w:t>
      </w:r>
      <w:r>
        <w:rPr>
          <w:rStyle w:val="apple-converted-space"/>
          <w:i/>
          <w:iCs/>
          <w:color w:val="666666"/>
          <w:bdr w:val="none" w:sz="0" w:space="0" w:color="auto" w:frame="1"/>
        </w:rPr>
        <w:t> </w:t>
      </w:r>
      <w:r>
        <w:rPr>
          <w:color w:val="666666"/>
          <w:sz w:val="27"/>
          <w:szCs w:val="27"/>
          <w:bdr w:val="none" w:sz="0" w:space="0" w:color="auto" w:frame="1"/>
        </w:rPr>
        <w:t>entendem que o direito à ampla defesa e ao contraditório são garantidos, porém não em sua plenitude, pois para que sejam alcançados sua finalidade e objetivo, haverá o tolhimento destes, conforme visto.</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lastRenderedPageBreak/>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lastRenderedPageBreak/>
        <w:t> </w:t>
      </w:r>
    </w:p>
    <w:p w:rsidR="00A71C50" w:rsidRDefault="00A71C50" w:rsidP="00A71C50">
      <w:pPr>
        <w:pStyle w:val="NormalWeb"/>
        <w:spacing w:before="0" w:beforeAutospacing="0" w:after="0" w:afterAutospacing="0"/>
        <w:jc w:val="center"/>
        <w:textAlignment w:val="baseline"/>
        <w:rPr>
          <w:rFonts w:ascii="Arial" w:hAnsi="Arial" w:cs="Arial"/>
          <w:color w:val="666666"/>
          <w:sz w:val="21"/>
          <w:szCs w:val="21"/>
        </w:rPr>
      </w:pPr>
      <w:r>
        <w:rPr>
          <w:rStyle w:val="Forte"/>
          <w:color w:val="666666"/>
          <w:bdr w:val="none" w:sz="0" w:space="0" w:color="auto" w:frame="1"/>
        </w:rPr>
        <w:t>REFERÊNCIAS</w:t>
      </w:r>
    </w:p>
    <w:p w:rsidR="00A71C50" w:rsidRDefault="00A71C50" w:rsidP="00A71C50">
      <w:pPr>
        <w:pStyle w:val="NormalWeb"/>
        <w:spacing w:before="0" w:beforeAutospacing="0" w:after="360" w:afterAutospacing="0"/>
        <w:jc w:val="center"/>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CAPEZ, Fernando.</w:t>
      </w:r>
      <w:r>
        <w:rPr>
          <w:rStyle w:val="apple-converted-space"/>
          <w:color w:val="666666"/>
          <w:sz w:val="27"/>
          <w:szCs w:val="27"/>
          <w:bdr w:val="none" w:sz="0" w:space="0" w:color="auto" w:frame="1"/>
        </w:rPr>
        <w:t> </w:t>
      </w:r>
      <w:r>
        <w:rPr>
          <w:rStyle w:val="Forte"/>
          <w:color w:val="666666"/>
          <w:bdr w:val="none" w:sz="0" w:space="0" w:color="auto" w:frame="1"/>
        </w:rPr>
        <w:t>Curso de processo penal.</w:t>
      </w:r>
      <w:r>
        <w:rPr>
          <w:rStyle w:val="apple-converted-space"/>
          <w:b/>
          <w:bCs/>
          <w:color w:val="666666"/>
          <w:bdr w:val="none" w:sz="0" w:space="0" w:color="auto" w:frame="1"/>
        </w:rPr>
        <w:t> </w:t>
      </w:r>
      <w:r>
        <w:rPr>
          <w:color w:val="666666"/>
          <w:sz w:val="27"/>
          <w:szCs w:val="27"/>
          <w:bdr w:val="none" w:sz="0" w:space="0" w:color="auto" w:frame="1"/>
        </w:rPr>
        <w:t>19.ed. São Paulo: Saraiva, 2012.</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DE LIMA, Renato Brasileiro.</w:t>
      </w:r>
      <w:r>
        <w:rPr>
          <w:rStyle w:val="apple-converted-space"/>
          <w:color w:val="666666"/>
          <w:sz w:val="27"/>
          <w:szCs w:val="27"/>
          <w:bdr w:val="none" w:sz="0" w:space="0" w:color="auto" w:frame="1"/>
        </w:rPr>
        <w:t> </w:t>
      </w:r>
      <w:r>
        <w:rPr>
          <w:rStyle w:val="Forte"/>
          <w:color w:val="666666"/>
          <w:bdr w:val="none" w:sz="0" w:space="0" w:color="auto" w:frame="1"/>
        </w:rPr>
        <w:t>Manual de Processo Penal.</w:t>
      </w:r>
      <w:r>
        <w:rPr>
          <w:rStyle w:val="apple-converted-space"/>
          <w:b/>
          <w:bCs/>
          <w:color w:val="666666"/>
          <w:bdr w:val="none" w:sz="0" w:space="0" w:color="auto" w:frame="1"/>
        </w:rPr>
        <w:t> </w:t>
      </w:r>
      <w:r>
        <w:rPr>
          <w:color w:val="666666"/>
          <w:sz w:val="27"/>
          <w:szCs w:val="27"/>
          <w:bdr w:val="none" w:sz="0" w:space="0" w:color="auto" w:frame="1"/>
        </w:rPr>
        <w:t>v. 1- 2º ed. Rio de Janeiro: Impetus, 2012.</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FERNANDES, Antonio Scarance.</w:t>
      </w:r>
      <w:r>
        <w:rPr>
          <w:rStyle w:val="apple-converted-space"/>
          <w:color w:val="666666"/>
          <w:sz w:val="27"/>
          <w:szCs w:val="27"/>
          <w:bdr w:val="none" w:sz="0" w:space="0" w:color="auto" w:frame="1"/>
        </w:rPr>
        <w:t> </w:t>
      </w:r>
      <w:r>
        <w:rPr>
          <w:rStyle w:val="Forte"/>
          <w:color w:val="666666"/>
          <w:bdr w:val="none" w:sz="0" w:space="0" w:color="auto" w:frame="1"/>
        </w:rPr>
        <w:t>Processo penal constitucional.</w:t>
      </w:r>
      <w:r>
        <w:rPr>
          <w:rStyle w:val="apple-converted-space"/>
          <w:color w:val="666666"/>
          <w:sz w:val="27"/>
          <w:szCs w:val="27"/>
          <w:bdr w:val="none" w:sz="0" w:space="0" w:color="auto" w:frame="1"/>
        </w:rPr>
        <w:t> </w:t>
      </w:r>
      <w:r>
        <w:rPr>
          <w:color w:val="666666"/>
          <w:sz w:val="27"/>
          <w:szCs w:val="27"/>
          <w:bdr w:val="none" w:sz="0" w:space="0" w:color="auto" w:frame="1"/>
        </w:rPr>
        <w:t>5º ed. São Paulo: Editora Revistas dos Tribunais, 2007.</w:t>
      </w:r>
    </w:p>
    <w:p w:rsidR="00A71C50" w:rsidRDefault="00A71C50" w:rsidP="00A71C50">
      <w:pPr>
        <w:pStyle w:val="NormalWeb"/>
        <w:spacing w:before="0" w:beforeAutospacing="0" w:after="360" w:afterAutospacing="0"/>
        <w:textAlignment w:val="baseline"/>
        <w:rPr>
          <w:rFonts w:ascii="Arial" w:hAnsi="Arial" w:cs="Arial"/>
          <w:color w:val="666666"/>
          <w:sz w:val="21"/>
          <w:szCs w:val="21"/>
        </w:rPr>
      </w:pPr>
      <w:r>
        <w:rPr>
          <w:rFonts w:ascii="Arial" w:hAnsi="Arial" w:cs="Arial"/>
          <w:color w:val="666666"/>
          <w:sz w:val="21"/>
          <w:szCs w:val="21"/>
        </w:rPr>
        <w:t> </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LOPES JR, Aury.</w:t>
      </w:r>
      <w:r>
        <w:rPr>
          <w:rStyle w:val="apple-converted-space"/>
          <w:color w:val="666666"/>
          <w:sz w:val="27"/>
          <w:szCs w:val="27"/>
          <w:bdr w:val="none" w:sz="0" w:space="0" w:color="auto" w:frame="1"/>
        </w:rPr>
        <w:t> </w:t>
      </w:r>
      <w:r>
        <w:rPr>
          <w:rStyle w:val="Forte"/>
          <w:color w:val="666666"/>
          <w:bdr w:val="none" w:sz="0" w:space="0" w:color="auto" w:frame="1"/>
        </w:rPr>
        <w:t>Direito Processual Penal e Sua Conformidade Constitucional</w:t>
      </w:r>
      <w:r>
        <w:rPr>
          <w:color w:val="666666"/>
          <w:sz w:val="27"/>
          <w:szCs w:val="27"/>
          <w:bdr w:val="none" w:sz="0" w:space="0" w:color="auto" w:frame="1"/>
        </w:rPr>
        <w:t>. Vol. I. Rio de Janeiro, Lumen Juris, 2011.</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LOPEZ JR., Aury.</w:t>
      </w:r>
      <w:r>
        <w:rPr>
          <w:rStyle w:val="apple-converted-space"/>
          <w:color w:val="666666"/>
          <w:sz w:val="27"/>
          <w:szCs w:val="27"/>
          <w:bdr w:val="none" w:sz="0" w:space="0" w:color="auto" w:frame="1"/>
        </w:rPr>
        <w:t> </w:t>
      </w:r>
      <w:r>
        <w:rPr>
          <w:rStyle w:val="Forte"/>
          <w:color w:val="666666"/>
          <w:bdr w:val="none" w:sz="0" w:space="0" w:color="auto" w:frame="1"/>
        </w:rPr>
        <w:t>Direito processual penal.</w:t>
      </w:r>
      <w:r>
        <w:rPr>
          <w:rStyle w:val="apple-converted-space"/>
          <w:color w:val="666666"/>
          <w:sz w:val="27"/>
          <w:szCs w:val="27"/>
          <w:bdr w:val="none" w:sz="0" w:space="0" w:color="auto" w:frame="1"/>
        </w:rPr>
        <w:t> </w:t>
      </w:r>
      <w:r>
        <w:rPr>
          <w:color w:val="666666"/>
          <w:sz w:val="27"/>
          <w:szCs w:val="27"/>
          <w:bdr w:val="none" w:sz="0" w:space="0" w:color="auto" w:frame="1"/>
        </w:rPr>
        <w:t>São Paulo: Saraiva, 2012.</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LOPES JR., Aury.</w:t>
      </w:r>
      <w:r>
        <w:rPr>
          <w:rStyle w:val="apple-converted-space"/>
          <w:color w:val="666666"/>
          <w:sz w:val="27"/>
          <w:szCs w:val="27"/>
          <w:bdr w:val="none" w:sz="0" w:space="0" w:color="auto" w:frame="1"/>
        </w:rPr>
        <w:t> </w:t>
      </w:r>
      <w:r>
        <w:rPr>
          <w:rStyle w:val="Forte"/>
          <w:color w:val="666666"/>
          <w:bdr w:val="none" w:sz="0" w:space="0" w:color="auto" w:frame="1"/>
        </w:rPr>
        <w:t>Investigação preliminar no processo penal</w:t>
      </w:r>
      <w:r>
        <w:rPr>
          <w:color w:val="666666"/>
          <w:sz w:val="27"/>
          <w:szCs w:val="27"/>
          <w:bdr w:val="none" w:sz="0" w:space="0" w:color="auto" w:frame="1"/>
        </w:rPr>
        <w:t>. São Paulo:</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Saraiva, 2013, p. 431-448.</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MENDES, Gilmar Ferreira; BRANCO, Paulo Gustavo Gonet.</w:t>
      </w:r>
      <w:r>
        <w:rPr>
          <w:rStyle w:val="apple-converted-space"/>
          <w:color w:val="666666"/>
          <w:sz w:val="27"/>
          <w:szCs w:val="27"/>
          <w:bdr w:val="none" w:sz="0" w:space="0" w:color="auto" w:frame="1"/>
        </w:rPr>
        <w:t> </w:t>
      </w:r>
      <w:r>
        <w:rPr>
          <w:rStyle w:val="Forte"/>
          <w:color w:val="666666"/>
          <w:bdr w:val="none" w:sz="0" w:space="0" w:color="auto" w:frame="1"/>
        </w:rPr>
        <w:t>Curso de Direito Constitucional</w:t>
      </w:r>
      <w:r>
        <w:rPr>
          <w:color w:val="666666"/>
          <w:sz w:val="27"/>
          <w:szCs w:val="27"/>
          <w:bdr w:val="none" w:sz="0" w:space="0" w:color="auto" w:frame="1"/>
        </w:rPr>
        <w:t>. 7.ed. São Paulo: Saraiva, 2012.</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NUCCI, Guilherme de Sousa.</w:t>
      </w:r>
      <w:r>
        <w:rPr>
          <w:rStyle w:val="apple-converted-space"/>
          <w:color w:val="666666"/>
          <w:sz w:val="27"/>
          <w:szCs w:val="27"/>
          <w:bdr w:val="none" w:sz="0" w:space="0" w:color="auto" w:frame="1"/>
        </w:rPr>
        <w:t> </w:t>
      </w:r>
      <w:r>
        <w:rPr>
          <w:rStyle w:val="Forte"/>
          <w:color w:val="666666"/>
          <w:bdr w:val="none" w:sz="0" w:space="0" w:color="auto" w:frame="1"/>
        </w:rPr>
        <w:t>Manual de processo penal e execução penal</w:t>
      </w:r>
      <w:r>
        <w:rPr>
          <w:color w:val="666666"/>
          <w:sz w:val="27"/>
          <w:szCs w:val="27"/>
          <w:bdr w:val="none" w:sz="0" w:space="0" w:color="auto" w:frame="1"/>
        </w:rPr>
        <w:t>.11.ed. Rio de Janeiro: Forense, 2014.</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PITOMBO, Sergio Marcos Moraes. O Indiciamento como Ato de Polícia Judiciária.</w:t>
      </w:r>
      <w:r>
        <w:rPr>
          <w:rStyle w:val="apple-converted-space"/>
          <w:color w:val="666666"/>
          <w:sz w:val="27"/>
          <w:szCs w:val="27"/>
          <w:bdr w:val="none" w:sz="0" w:space="0" w:color="auto" w:frame="1"/>
        </w:rPr>
        <w:t> </w:t>
      </w:r>
      <w:r>
        <w:rPr>
          <w:rStyle w:val="Forte"/>
          <w:color w:val="666666"/>
          <w:bdr w:val="none" w:sz="0" w:space="0" w:color="auto" w:frame="1"/>
        </w:rPr>
        <w:t>Revista dos Tribunais</w:t>
      </w:r>
      <w:r>
        <w:rPr>
          <w:color w:val="666666"/>
          <w:sz w:val="27"/>
          <w:szCs w:val="27"/>
          <w:bdr w:val="none" w:sz="0" w:space="0" w:color="auto" w:frame="1"/>
        </w:rPr>
        <w:t>. São Paulo, n. 577, nov. 1983.</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SANTOS, Cleopas Isaías; ZANOTTI, Bruno Taufner.</w:t>
      </w:r>
      <w:r>
        <w:rPr>
          <w:rStyle w:val="apple-converted-space"/>
          <w:color w:val="666666"/>
          <w:sz w:val="27"/>
          <w:szCs w:val="27"/>
          <w:bdr w:val="none" w:sz="0" w:space="0" w:color="auto" w:frame="1"/>
        </w:rPr>
        <w:t> </w:t>
      </w:r>
      <w:r>
        <w:rPr>
          <w:rStyle w:val="Forte"/>
          <w:color w:val="666666"/>
          <w:bdr w:val="none" w:sz="0" w:space="0" w:color="auto" w:frame="1"/>
        </w:rPr>
        <w:t>Delegado de polícia em</w:t>
      </w:r>
      <w:r>
        <w:rPr>
          <w:rStyle w:val="apple-converted-space"/>
          <w:rFonts w:ascii="Arial" w:hAnsi="Arial" w:cs="Arial"/>
          <w:color w:val="666666"/>
          <w:sz w:val="21"/>
          <w:szCs w:val="21"/>
        </w:rPr>
        <w:t> </w:t>
      </w:r>
      <w:r>
        <w:rPr>
          <w:rStyle w:val="Forte"/>
          <w:color w:val="666666"/>
          <w:bdr w:val="none" w:sz="0" w:space="0" w:color="auto" w:frame="1"/>
        </w:rPr>
        <w:t>ação</w:t>
      </w:r>
      <w:r>
        <w:rPr>
          <w:color w:val="666666"/>
          <w:sz w:val="27"/>
          <w:szCs w:val="27"/>
          <w:bdr w:val="none" w:sz="0" w:space="0" w:color="auto" w:frame="1"/>
        </w:rPr>
        <w:t>: teoria e prática. Salvador: JusPodivm, 2013, p. 161-168; p. 241-244.</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bdr w:val="none" w:sz="0" w:space="0" w:color="auto" w:frame="1"/>
          <w:lang w:val="en-US"/>
        </w:rPr>
        <w:t>STF, 2º Turma, RE-AgR nº 425.734/MG, Rel.ª Min.ª Ellen Graice, DJ 28/10/2005</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TÁVORA, Nestor; ALENCAR, Rosmar Rodrigues.</w:t>
      </w:r>
      <w:r>
        <w:rPr>
          <w:rStyle w:val="apple-converted-space"/>
          <w:color w:val="666666"/>
          <w:sz w:val="27"/>
          <w:szCs w:val="27"/>
          <w:bdr w:val="none" w:sz="0" w:space="0" w:color="auto" w:frame="1"/>
        </w:rPr>
        <w:t> </w:t>
      </w:r>
      <w:r>
        <w:rPr>
          <w:rStyle w:val="Forte"/>
          <w:color w:val="666666"/>
          <w:bdr w:val="none" w:sz="0" w:space="0" w:color="auto" w:frame="1"/>
        </w:rPr>
        <w:t>Curso de direito processual penal</w:t>
      </w:r>
      <w:r>
        <w:rPr>
          <w:color w:val="666666"/>
          <w:sz w:val="27"/>
          <w:szCs w:val="27"/>
          <w:bdr w:val="none" w:sz="0" w:space="0" w:color="auto" w:frame="1"/>
        </w:rPr>
        <w:t>. 3.ed. Salvador: JusPODIVM, 2009.</w:t>
      </w:r>
    </w:p>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color w:val="666666"/>
          <w:sz w:val="27"/>
          <w:szCs w:val="27"/>
          <w:bdr w:val="none" w:sz="0" w:space="0" w:color="auto" w:frame="1"/>
        </w:rPr>
        <w:t>TÁVORA, Nestor; ALENCAR, Rosmar Rodrigues.</w:t>
      </w:r>
      <w:r>
        <w:rPr>
          <w:rStyle w:val="apple-converted-space"/>
          <w:color w:val="666666"/>
          <w:sz w:val="27"/>
          <w:szCs w:val="27"/>
          <w:bdr w:val="none" w:sz="0" w:space="0" w:color="auto" w:frame="1"/>
        </w:rPr>
        <w:t> </w:t>
      </w:r>
      <w:r>
        <w:rPr>
          <w:rStyle w:val="Forte"/>
          <w:color w:val="666666"/>
          <w:bdr w:val="none" w:sz="0" w:space="0" w:color="auto" w:frame="1"/>
        </w:rPr>
        <w:t>Curso de Direito Processual Penal.</w:t>
      </w:r>
      <w:r>
        <w:rPr>
          <w:rStyle w:val="apple-converted-space"/>
          <w:b/>
          <w:bCs/>
          <w:color w:val="666666"/>
          <w:bdr w:val="none" w:sz="0" w:space="0" w:color="auto" w:frame="1"/>
        </w:rPr>
        <w:t> </w:t>
      </w:r>
      <w:r>
        <w:rPr>
          <w:color w:val="666666"/>
          <w:sz w:val="27"/>
          <w:szCs w:val="27"/>
          <w:bdr w:val="none" w:sz="0" w:space="0" w:color="auto" w:frame="1"/>
        </w:rPr>
        <w:t>8º ed. Rio de Janeiro: Editora JusPodvm, 2013.</w:t>
      </w: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p w:rsidR="00A71C50" w:rsidRDefault="00A71C50" w:rsidP="00A71C50">
      <w:pPr>
        <w:pStyle w:val="NormalWeb"/>
        <w:spacing w:before="0" w:beforeAutospacing="0" w:after="240" w:afterAutospacing="0"/>
        <w:textAlignment w:val="baseline"/>
        <w:rPr>
          <w:rFonts w:ascii="Arial" w:hAnsi="Arial" w:cs="Arial"/>
          <w:color w:val="666666"/>
          <w:sz w:val="21"/>
          <w:szCs w:val="21"/>
        </w:rPr>
      </w:pPr>
    </w:p>
    <w:bookmarkStart w:id="4" w:name="sdfootnote1sym"/>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"http://www.webartigos.com/admin/article/update/?ART_ROOT_ID=146208" \l "sdfootnote1anc" </w:instrText>
      </w:r>
      <w:r>
        <w:rPr>
          <w:rFonts w:ascii="Arial" w:hAnsi="Arial" w:cs="Arial"/>
          <w:color w:val="666666"/>
          <w:bdr w:val="none" w:sz="0" w:space="0" w:color="auto" w:frame="1"/>
        </w:rPr>
        <w:fldChar w:fldCharType="separate"/>
      </w:r>
      <w:r>
        <w:rPr>
          <w:rStyle w:val="Hyperlink"/>
          <w:rFonts w:ascii="Arial" w:hAnsi="Arial" w:cs="Arial"/>
          <w:color w:val="055C8E"/>
          <w:sz w:val="20"/>
          <w:szCs w:val="20"/>
          <w:u w:val="none"/>
          <w:bdr w:val="none" w:sz="0" w:space="0" w:color="auto" w:frame="1"/>
        </w:rPr>
        <w:t>1</w:t>
      </w:r>
      <w:r>
        <w:rPr>
          <w:rFonts w:ascii="Arial" w:hAnsi="Arial" w:cs="Arial"/>
          <w:color w:val="666666"/>
          <w:bdr w:val="none" w:sz="0" w:space="0" w:color="auto" w:frame="1"/>
        </w:rPr>
        <w:fldChar w:fldCharType="end"/>
      </w:r>
      <w:bookmarkEnd w:id="4"/>
      <w:r>
        <w:rPr>
          <w:rStyle w:val="apple-converted-space"/>
          <w:rFonts w:ascii="Arial" w:hAnsi="Arial" w:cs="Arial"/>
          <w:color w:val="666666"/>
          <w:bdr w:val="none" w:sz="0" w:space="0" w:color="auto" w:frame="1"/>
        </w:rPr>
        <w:t> </w:t>
      </w:r>
      <w:r>
        <w:rPr>
          <w:rStyle w:val="nfase"/>
          <w:rFonts w:ascii="Arial" w:hAnsi="Arial" w:cs="Arial"/>
          <w:color w:val="666666"/>
          <w:sz w:val="20"/>
          <w:szCs w:val="20"/>
          <w:bdr w:val="none" w:sz="0" w:space="0" w:color="auto" w:frame="1"/>
        </w:rPr>
        <w:t>Paper</w:t>
      </w:r>
      <w:r>
        <w:rPr>
          <w:rStyle w:val="apple-converted-space"/>
          <w:rFonts w:ascii="Arial" w:hAnsi="Arial" w:cs="Arial"/>
          <w:i/>
          <w:iCs/>
          <w:color w:val="666666"/>
          <w:sz w:val="20"/>
          <w:szCs w:val="20"/>
          <w:bdr w:val="none" w:sz="0" w:space="0" w:color="auto" w:frame="1"/>
        </w:rPr>
        <w:t> </w:t>
      </w:r>
      <w:r>
        <w:rPr>
          <w:rFonts w:ascii="Arial" w:hAnsi="Arial" w:cs="Arial"/>
          <w:color w:val="666666"/>
          <w:bdr w:val="none" w:sz="0" w:space="0" w:color="auto" w:frame="1"/>
        </w:rPr>
        <w:t>apresentado à disciplina Processo Penal, da Universidade de Ensino Superior Dom Bosco, Undb.</w:t>
      </w:r>
    </w:p>
    <w:bookmarkStart w:id="5" w:name="sdfootnote2sym"/>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"http://www.webartigos.com/admin/article/update/?ART_ROOT_ID=146208" \l "sdfootnote2anc" </w:instrText>
      </w:r>
      <w:r>
        <w:rPr>
          <w:rFonts w:ascii="Arial" w:hAnsi="Arial" w:cs="Arial"/>
          <w:color w:val="666666"/>
          <w:bdr w:val="none" w:sz="0" w:space="0" w:color="auto" w:frame="1"/>
        </w:rPr>
        <w:fldChar w:fldCharType="separate"/>
      </w:r>
      <w:r>
        <w:rPr>
          <w:rStyle w:val="Hyperlink"/>
          <w:rFonts w:ascii="Arial" w:hAnsi="Arial" w:cs="Arial"/>
          <w:color w:val="055C8E"/>
          <w:sz w:val="20"/>
          <w:szCs w:val="20"/>
          <w:u w:val="none"/>
          <w:bdr w:val="none" w:sz="0" w:space="0" w:color="auto" w:frame="1"/>
        </w:rPr>
        <w:t>2</w:t>
      </w:r>
      <w:r>
        <w:rPr>
          <w:rFonts w:ascii="Arial" w:hAnsi="Arial" w:cs="Arial"/>
          <w:color w:val="666666"/>
          <w:bdr w:val="none" w:sz="0" w:space="0" w:color="auto" w:frame="1"/>
        </w:rPr>
        <w:fldChar w:fldCharType="end"/>
      </w:r>
      <w:bookmarkEnd w:id="5"/>
      <w:r>
        <w:rPr>
          <w:rStyle w:val="apple-converted-space"/>
          <w:rFonts w:ascii="Arial" w:hAnsi="Arial" w:cs="Arial"/>
          <w:color w:val="666666"/>
          <w:bdr w:val="none" w:sz="0" w:space="0" w:color="auto" w:frame="1"/>
        </w:rPr>
        <w:t> </w:t>
      </w:r>
      <w:r>
        <w:rPr>
          <w:rFonts w:ascii="Arial" w:hAnsi="Arial" w:cs="Arial"/>
          <w:color w:val="666666"/>
          <w:bdr w:val="none" w:sz="0" w:space="0" w:color="auto" w:frame="1"/>
        </w:rPr>
        <w:t>Alunos do 6° período noturno do Curso de Direito, da UNDB.</w:t>
      </w:r>
    </w:p>
    <w:p w:rsidR="00A71C50" w:rsidRDefault="00A71C50" w:rsidP="00A71C50">
      <w:pPr>
        <w:pStyle w:val="sdfootnote"/>
        <w:spacing w:before="0" w:beforeAutospacing="0" w:after="240" w:afterAutospacing="0"/>
        <w:textAlignment w:val="baseline"/>
        <w:rPr>
          <w:rFonts w:ascii="Arial" w:hAnsi="Arial" w:cs="Arial"/>
          <w:color w:val="666666"/>
          <w:sz w:val="21"/>
          <w:szCs w:val="21"/>
        </w:rPr>
      </w:pPr>
    </w:p>
    <w:bookmarkStart w:id="6" w:name="sdfootnote3sym"/>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lastRenderedPageBreak/>
        <w:fldChar w:fldCharType="begin"/>
      </w:r>
      <w:r>
        <w:rPr>
          <w:rFonts w:ascii="Arial" w:hAnsi="Arial" w:cs="Arial"/>
          <w:color w:val="666666"/>
          <w:bdr w:val="none" w:sz="0" w:space="0" w:color="auto" w:frame="1"/>
        </w:rPr>
        <w:instrText xml:space="preserve"> HYPERLINK "http://www.webartigos.com/admin/article/update/?ART_ROOT_ID=146208" \l "sdfootnote3anc" </w:instrText>
      </w:r>
      <w:r>
        <w:rPr>
          <w:rFonts w:ascii="Arial" w:hAnsi="Arial" w:cs="Arial"/>
          <w:color w:val="666666"/>
          <w:bdr w:val="none" w:sz="0" w:space="0" w:color="auto" w:frame="1"/>
        </w:rPr>
        <w:fldChar w:fldCharType="separate"/>
      </w:r>
      <w:r>
        <w:rPr>
          <w:rStyle w:val="Hyperlink"/>
          <w:rFonts w:ascii="Arial" w:hAnsi="Arial" w:cs="Arial"/>
          <w:color w:val="055C8E"/>
          <w:sz w:val="20"/>
          <w:szCs w:val="20"/>
          <w:u w:val="none"/>
          <w:bdr w:val="none" w:sz="0" w:space="0" w:color="auto" w:frame="1"/>
        </w:rPr>
        <w:t>3</w:t>
      </w:r>
      <w:r>
        <w:rPr>
          <w:rFonts w:ascii="Arial" w:hAnsi="Arial" w:cs="Arial"/>
          <w:color w:val="666666"/>
          <w:bdr w:val="none" w:sz="0" w:space="0" w:color="auto" w:frame="1"/>
        </w:rPr>
        <w:fldChar w:fldCharType="end"/>
      </w:r>
      <w:bookmarkEnd w:id="6"/>
      <w:r>
        <w:rPr>
          <w:rStyle w:val="apple-converted-space"/>
          <w:rFonts w:ascii="Arial" w:hAnsi="Arial" w:cs="Arial"/>
          <w:color w:val="666666"/>
          <w:bdr w:val="none" w:sz="0" w:space="0" w:color="auto" w:frame="1"/>
        </w:rPr>
        <w:t> </w:t>
      </w:r>
      <w:r>
        <w:rPr>
          <w:rStyle w:val="Forte"/>
          <w:color w:val="666666"/>
          <w:sz w:val="20"/>
          <w:szCs w:val="20"/>
          <w:bdr w:val="none" w:sz="0" w:space="0" w:color="auto" w:frame="1"/>
        </w:rPr>
        <w:t>STF Súmula nº 523-</w:t>
      </w:r>
      <w:r>
        <w:rPr>
          <w:rStyle w:val="apple-converted-space"/>
          <w:color w:val="666666"/>
          <w:sz w:val="20"/>
          <w:szCs w:val="20"/>
          <w:bdr w:val="none" w:sz="0" w:space="0" w:color="auto" w:frame="1"/>
        </w:rPr>
        <w:t> </w:t>
      </w:r>
      <w:r>
        <w:rPr>
          <w:color w:val="666666"/>
          <w:sz w:val="20"/>
          <w:szCs w:val="20"/>
          <w:bdr w:val="none" w:sz="0" w:space="0" w:color="auto" w:frame="1"/>
        </w:rPr>
        <w:t>No processo penal, a falta da defesa constitui nulidade absoluta, mas a sua deficiência só o anulará se houver prova de prejuízo para o réu.</w:t>
      </w:r>
    </w:p>
    <w:p w:rsidR="00A71C50" w:rsidRDefault="00A71C50" w:rsidP="00A71C50">
      <w:pPr>
        <w:pStyle w:val="sdfootnote"/>
        <w:spacing w:before="0" w:beforeAutospacing="0" w:after="240" w:afterAutospacing="0"/>
        <w:textAlignment w:val="baseline"/>
        <w:rPr>
          <w:rFonts w:ascii="Arial" w:hAnsi="Arial" w:cs="Arial"/>
          <w:color w:val="666666"/>
          <w:sz w:val="21"/>
          <w:szCs w:val="21"/>
        </w:rPr>
      </w:pPr>
    </w:p>
    <w:bookmarkStart w:id="7" w:name="sdfootnote4sym"/>
    <w:p w:rsidR="00A71C50" w:rsidRDefault="00A71C50" w:rsidP="00A71C50">
      <w:pPr>
        <w:pStyle w:val="NormalWeb"/>
        <w:spacing w:before="0" w:beforeAutospacing="0" w:after="0" w:afterAutospacing="0"/>
        <w:textAlignment w:val="baseline"/>
        <w:rPr>
          <w:rFonts w:ascii="Arial" w:hAnsi="Arial" w:cs="Arial"/>
          <w:color w:val="666666"/>
          <w:sz w:val="21"/>
          <w:szCs w:val="21"/>
        </w:rPr>
      </w:pPr>
      <w:r>
        <w:rPr>
          <w:rFonts w:ascii="Arial" w:hAnsi="Arial" w:cs="Arial"/>
          <w:color w:val="666666"/>
          <w:bdr w:val="none" w:sz="0" w:space="0" w:color="auto" w:frame="1"/>
        </w:rPr>
        <w:fldChar w:fldCharType="begin"/>
      </w:r>
      <w:r>
        <w:rPr>
          <w:rFonts w:ascii="Arial" w:hAnsi="Arial" w:cs="Arial"/>
          <w:color w:val="666666"/>
          <w:bdr w:val="none" w:sz="0" w:space="0" w:color="auto" w:frame="1"/>
        </w:rPr>
        <w:instrText xml:space="preserve"> HYPERLINK "http://www.webartigos.com/admin/article/update/?ART_ROOT_ID=146208" \l "sdfootnote4anc" </w:instrText>
      </w:r>
      <w:r>
        <w:rPr>
          <w:rFonts w:ascii="Arial" w:hAnsi="Arial" w:cs="Arial"/>
          <w:color w:val="666666"/>
          <w:bdr w:val="none" w:sz="0" w:space="0" w:color="auto" w:frame="1"/>
        </w:rPr>
        <w:fldChar w:fldCharType="separate"/>
      </w:r>
      <w:r>
        <w:rPr>
          <w:rStyle w:val="Hyperlink"/>
          <w:rFonts w:ascii="Arial" w:hAnsi="Arial" w:cs="Arial"/>
          <w:color w:val="055C8E"/>
          <w:sz w:val="20"/>
          <w:szCs w:val="20"/>
          <w:u w:val="none"/>
          <w:bdr w:val="none" w:sz="0" w:space="0" w:color="auto" w:frame="1"/>
        </w:rPr>
        <w:t>4</w:t>
      </w:r>
      <w:r>
        <w:rPr>
          <w:rFonts w:ascii="Arial" w:hAnsi="Arial" w:cs="Arial"/>
          <w:color w:val="666666"/>
          <w:bdr w:val="none" w:sz="0" w:space="0" w:color="auto" w:frame="1"/>
        </w:rPr>
        <w:fldChar w:fldCharType="end"/>
      </w:r>
      <w:bookmarkEnd w:id="7"/>
      <w:r>
        <w:rPr>
          <w:rStyle w:val="apple-converted-space"/>
          <w:rFonts w:ascii="Arial" w:hAnsi="Arial" w:cs="Arial"/>
          <w:color w:val="666666"/>
          <w:bdr w:val="none" w:sz="0" w:space="0" w:color="auto" w:frame="1"/>
        </w:rPr>
        <w:t> </w:t>
      </w:r>
      <w:r>
        <w:rPr>
          <w:rStyle w:val="Forte"/>
          <w:color w:val="666666"/>
          <w:sz w:val="20"/>
          <w:szCs w:val="20"/>
          <w:bdr w:val="none" w:sz="0" w:space="0" w:color="auto" w:frame="1"/>
        </w:rPr>
        <w:t>STF Súmula nº 14 -</w:t>
      </w:r>
      <w:r>
        <w:rPr>
          <w:rStyle w:val="apple-converted-space"/>
          <w:b/>
          <w:bCs/>
          <w:color w:val="666666"/>
          <w:sz w:val="20"/>
          <w:szCs w:val="20"/>
          <w:bdr w:val="none" w:sz="0" w:space="0" w:color="auto" w:frame="1"/>
        </w:rPr>
        <w:t> </w:t>
      </w:r>
      <w:r>
        <w:rPr>
          <w:color w:val="666666"/>
          <w:sz w:val="20"/>
          <w:szCs w:val="20"/>
          <w:bdr w:val="none" w:sz="0" w:space="0" w:color="auto" w:frame="1"/>
        </w:rPr>
        <w:t>É direito do defensor, no interesse do representado, ter acesso amplo aos elementos de prova que, já documentados em procedimento investigatório realizado por órgão com competência de polícia judiciária, digam respeito ao exercício do direito de defesa.</w:t>
      </w:r>
    </w:p>
    <w:p w:rsidR="00A71C50" w:rsidRDefault="00A71C50" w:rsidP="00A71C50">
      <w:pPr>
        <w:pStyle w:val="sdfootnote"/>
        <w:spacing w:before="0" w:beforeAutospacing="0" w:after="360" w:afterAutospacing="0"/>
        <w:textAlignment w:val="baseline"/>
        <w:rPr>
          <w:rFonts w:ascii="Arial" w:hAnsi="Arial" w:cs="Arial"/>
          <w:color w:val="666666"/>
          <w:sz w:val="21"/>
          <w:szCs w:val="21"/>
        </w:rPr>
      </w:pPr>
    </w:p>
    <w:p w:rsidR="002031FB" w:rsidRDefault="002031FB"/>
    <w:sectPr w:rsidR="002031FB" w:rsidSect="002031F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A12BEF"/>
    <w:multiLevelType w:val="multilevel"/>
    <w:tmpl w:val="C374E8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A71C50"/>
    <w:rsid w:val="002031FB"/>
    <w:rsid w:val="00A71C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1F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71C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A71C50"/>
  </w:style>
  <w:style w:type="character" w:styleId="Forte">
    <w:name w:val="Strong"/>
    <w:basedOn w:val="Fontepargpadro"/>
    <w:uiPriority w:val="22"/>
    <w:qFormat/>
    <w:rsid w:val="00A71C50"/>
    <w:rPr>
      <w:b/>
      <w:bCs/>
    </w:rPr>
  </w:style>
  <w:style w:type="character" w:styleId="Hyperlink">
    <w:name w:val="Hyperlink"/>
    <w:basedOn w:val="Fontepargpadro"/>
    <w:uiPriority w:val="99"/>
    <w:semiHidden/>
    <w:unhideWhenUsed/>
    <w:rsid w:val="00A71C50"/>
    <w:rPr>
      <w:color w:val="0000FF"/>
      <w:u w:val="single"/>
    </w:rPr>
  </w:style>
  <w:style w:type="character" w:styleId="nfase">
    <w:name w:val="Emphasis"/>
    <w:basedOn w:val="Fontepargpadro"/>
    <w:uiPriority w:val="20"/>
    <w:qFormat/>
    <w:rsid w:val="00A71C50"/>
    <w:rPr>
      <w:i/>
      <w:iCs/>
    </w:rPr>
  </w:style>
  <w:style w:type="paragraph" w:customStyle="1" w:styleId="sdfootnote">
    <w:name w:val="sdfootnote"/>
    <w:basedOn w:val="Normal"/>
    <w:rsid w:val="00A71C5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643564">
      <w:bodyDiv w:val="1"/>
      <w:marLeft w:val="0"/>
      <w:marRight w:val="0"/>
      <w:marTop w:val="0"/>
      <w:marBottom w:val="0"/>
      <w:divBdr>
        <w:top w:val="none" w:sz="0" w:space="0" w:color="auto"/>
        <w:left w:val="none" w:sz="0" w:space="0" w:color="auto"/>
        <w:bottom w:val="none" w:sz="0" w:space="0" w:color="auto"/>
        <w:right w:val="none" w:sz="0" w:space="0" w:color="auto"/>
      </w:divBdr>
      <w:divsChild>
        <w:div w:id="185216632">
          <w:marLeft w:val="0"/>
          <w:marRight w:val="0"/>
          <w:marTop w:val="0"/>
          <w:marBottom w:val="0"/>
          <w:divBdr>
            <w:top w:val="none" w:sz="0" w:space="0" w:color="auto"/>
            <w:left w:val="none" w:sz="0" w:space="0" w:color="auto"/>
            <w:bottom w:val="none" w:sz="0" w:space="0" w:color="auto"/>
            <w:right w:val="none" w:sz="0" w:space="0" w:color="auto"/>
          </w:divBdr>
        </w:div>
        <w:div w:id="943801394">
          <w:marLeft w:val="0"/>
          <w:marRight w:val="0"/>
          <w:marTop w:val="0"/>
          <w:marBottom w:val="0"/>
          <w:divBdr>
            <w:top w:val="none" w:sz="0" w:space="0" w:color="auto"/>
            <w:left w:val="none" w:sz="0" w:space="0" w:color="auto"/>
            <w:bottom w:val="none" w:sz="0" w:space="0" w:color="auto"/>
            <w:right w:val="none" w:sz="0" w:space="0" w:color="auto"/>
          </w:divBdr>
        </w:div>
        <w:div w:id="1330599503">
          <w:marLeft w:val="0"/>
          <w:marRight w:val="0"/>
          <w:marTop w:val="0"/>
          <w:marBottom w:val="0"/>
          <w:divBdr>
            <w:top w:val="none" w:sz="0" w:space="0" w:color="auto"/>
            <w:left w:val="none" w:sz="0" w:space="0" w:color="auto"/>
            <w:bottom w:val="none" w:sz="0" w:space="0" w:color="auto"/>
            <w:right w:val="none" w:sz="0" w:space="0" w:color="auto"/>
          </w:divBdr>
        </w:div>
        <w:div w:id="120305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3966</Words>
  <Characters>21420</Characters>
  <Application>Microsoft Office Word</Application>
  <DocSecurity>0</DocSecurity>
  <Lines>178</Lines>
  <Paragraphs>50</Paragraphs>
  <ScaleCrop>false</ScaleCrop>
  <Company/>
  <LinksUpToDate>false</LinksUpToDate>
  <CharactersWithSpaces>25336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1</cp:revision>
  <dcterms:created xsi:type="dcterms:W3CDTF">2016-10-14T00:30:00Z</dcterms:created>
  <dcterms:modified xsi:type="dcterms:W3CDTF">2016-10-14T00:30:00Z</dcterms:modified>
</cp:coreProperties>
</file>