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5659F" w14:textId="7AC3F81D" w:rsidR="00502BCA" w:rsidRDefault="00502BCA" w:rsidP="00502BCA">
      <w:pPr>
        <w:pStyle w:val="Ttulo"/>
        <w:rPr>
          <w:shd w:val="clear" w:color="auto" w:fill="FFFFFF"/>
        </w:rPr>
      </w:pPr>
      <w:r w:rsidRPr="00502BCA">
        <w:rPr>
          <w:shd w:val="clear" w:color="auto" w:fill="FFFFFF"/>
        </w:rPr>
        <w:t>Microsoft SQL Server 2016</w:t>
      </w:r>
      <w:r w:rsidR="00BE7349">
        <w:rPr>
          <w:shd w:val="clear" w:color="auto" w:fill="FFFFFF"/>
        </w:rPr>
        <w:t xml:space="preserve"> </w:t>
      </w:r>
      <w:r w:rsidRPr="00502BCA">
        <w:rPr>
          <w:shd w:val="clear" w:color="auto" w:fill="FFFFFF"/>
        </w:rPr>
        <w:t xml:space="preserve"> - Novidade In-Memory OLTP</w:t>
      </w:r>
    </w:p>
    <w:p w14:paraId="64D854EF" w14:textId="6469481C" w:rsidR="00502BCA" w:rsidRDefault="00502BCA">
      <w:pPr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</w:p>
    <w:p w14:paraId="5A3F3C4D" w14:textId="25D5BCE3" w:rsidR="003C56C7" w:rsidRDefault="00502BCA">
      <w:pPr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Neste artigo será demonstrado como melhorar significativamente a performance de um aplicativo utilizando o recurso In-Memory OLTP que foi adicionado na versão do SQL Server 2014 com muitas restrições, porém na versão do SQL Server 2016 a 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equipe da 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Microsoft 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implementou a restrição mais importante que não permitia as tabelas possuírem relacionamentos.</w:t>
      </w:r>
    </w:p>
    <w:p w14:paraId="760265D0" w14:textId="77777777" w:rsidR="00987D15" w:rsidRDefault="00987D15">
      <w:pPr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</w:p>
    <w:p w14:paraId="2AEA1A91" w14:textId="15D2C335" w:rsidR="00987D15" w:rsidRDefault="007940A8">
      <w:pPr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Para a demonstração desta melhoria, será necessário a criação</w:t>
      </w:r>
      <w:r w:rsidR="00987D15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do D</w:t>
      </w:r>
      <w:r w:rsidR="001D5BC0">
        <w:rPr>
          <w:rFonts w:ascii="Arial" w:hAnsi="Arial" w:cs="Arial"/>
          <w:color w:val="666666"/>
          <w:sz w:val="21"/>
          <w:szCs w:val="21"/>
          <w:shd w:val="clear" w:color="auto" w:fill="FFFFFF"/>
        </w:rPr>
        <w:t>ATABASE</w:t>
      </w:r>
      <w:r w:rsidR="00987D15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conforme </w:t>
      </w:r>
      <w:r w:rsidR="00987D15" w:rsidRPr="00987D15">
        <w:rPr>
          <w:rFonts w:ascii="Arial" w:hAnsi="Arial" w:cs="Arial"/>
          <w:b/>
          <w:color w:val="666666"/>
          <w:sz w:val="21"/>
          <w:szCs w:val="21"/>
          <w:shd w:val="clear" w:color="auto" w:fill="FFFFFF"/>
        </w:rPr>
        <w:t>Código 1</w:t>
      </w:r>
      <w:r w:rsidR="00987D15">
        <w:rPr>
          <w:rFonts w:ascii="Arial" w:hAnsi="Arial" w:cs="Arial"/>
          <w:color w:val="666666"/>
          <w:sz w:val="21"/>
          <w:szCs w:val="21"/>
          <w:shd w:val="clear" w:color="auto" w:fill="FFFFFF"/>
        </w:rPr>
        <w:t>.</w:t>
      </w:r>
    </w:p>
    <w:p w14:paraId="00FA1D8F" w14:textId="7E751EC7" w:rsidR="00987D15" w:rsidRDefault="00544E46">
      <w:pPr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666666"/>
          <w:sz w:val="21"/>
          <w:szCs w:val="21"/>
          <w:shd w:val="clear" w:color="auto" w:fill="FFFFFF"/>
          <w:lang w:eastAsia="pt-BR"/>
        </w:rPr>
        <w:drawing>
          <wp:inline distT="0" distB="0" distL="0" distR="0" wp14:anchorId="7B038F1F" wp14:editId="05B12058">
            <wp:extent cx="4495800" cy="1600200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BBF76" w14:textId="7A0B9B76" w:rsidR="00987D15" w:rsidRDefault="00987D15">
      <w:pPr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No </w:t>
      </w:r>
      <w:r w:rsidRPr="001D5BC0">
        <w:rPr>
          <w:rFonts w:ascii="Arial" w:hAnsi="Arial" w:cs="Arial"/>
          <w:b/>
          <w:color w:val="666666"/>
          <w:sz w:val="21"/>
          <w:szCs w:val="21"/>
          <w:shd w:val="clear" w:color="auto" w:fill="FFFFFF"/>
        </w:rPr>
        <w:t>Código 1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é nec</w:t>
      </w:r>
      <w:r w:rsidR="001D5BC0">
        <w:rPr>
          <w:rFonts w:ascii="Arial" w:hAnsi="Arial" w:cs="Arial"/>
          <w:color w:val="666666"/>
          <w:sz w:val="21"/>
          <w:szCs w:val="21"/>
          <w:shd w:val="clear" w:color="auto" w:fill="FFFFFF"/>
        </w:rPr>
        <w:t>essário criar um novo FILEGROUP com a opção MEMORY_OPTIMIZED_DATA para armazenamento das tabelas IN-Memory OLTP</w:t>
      </w:r>
      <w:r w:rsidR="00544E46">
        <w:rPr>
          <w:rFonts w:ascii="Arial" w:hAnsi="Arial" w:cs="Arial"/>
          <w:color w:val="666666"/>
          <w:sz w:val="21"/>
          <w:szCs w:val="21"/>
          <w:shd w:val="clear" w:color="auto" w:fill="FFFFFF"/>
        </w:rPr>
        <w:t>, cada DATABASE só pode possuir um FILEGROUP deste</w:t>
      </w:r>
      <w:r w:rsidR="001D5BC0">
        <w:rPr>
          <w:rFonts w:ascii="Arial" w:hAnsi="Arial" w:cs="Arial"/>
          <w:color w:val="666666"/>
          <w:sz w:val="21"/>
          <w:szCs w:val="21"/>
          <w:shd w:val="clear" w:color="auto" w:fill="FFFFFF"/>
        </w:rPr>
        <w:t>.</w:t>
      </w:r>
    </w:p>
    <w:p w14:paraId="1EB39049" w14:textId="77777777" w:rsidR="001D5BC0" w:rsidRDefault="001D5BC0">
      <w:pPr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</w:p>
    <w:p w14:paraId="71E50D4A" w14:textId="3DF0A9E5" w:rsidR="007940A8" w:rsidRDefault="001D5BC0">
      <w:pPr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Após a criação do DATABASE e do FILEGROUP, vamos criar </w:t>
      </w:r>
      <w:r w:rsidR="007940A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as tabelas modeladas conforme </w:t>
      </w:r>
      <w:r w:rsidR="007940A8" w:rsidRPr="00437ED4">
        <w:rPr>
          <w:rFonts w:ascii="Arial" w:hAnsi="Arial" w:cs="Arial"/>
          <w:b/>
          <w:color w:val="666666"/>
          <w:sz w:val="21"/>
          <w:szCs w:val="21"/>
          <w:shd w:val="clear" w:color="auto" w:fill="FFFFFF"/>
        </w:rPr>
        <w:t>figura 1</w:t>
      </w:r>
      <w:r w:rsidR="00837F75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e as instruções SQL </w:t>
      </w:r>
      <w:r w:rsidR="00437ED4">
        <w:rPr>
          <w:rFonts w:ascii="Arial" w:hAnsi="Arial" w:cs="Arial"/>
          <w:color w:val="666666"/>
          <w:sz w:val="21"/>
          <w:szCs w:val="21"/>
          <w:shd w:val="clear" w:color="auto" w:fill="FFFFFF"/>
        </w:rPr>
        <w:t>no</w:t>
      </w:r>
      <w:r w:rsidR="00837F75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r w:rsidR="00837F75" w:rsidRPr="00437ED4">
        <w:rPr>
          <w:rFonts w:ascii="Arial" w:hAnsi="Arial" w:cs="Arial"/>
          <w:b/>
          <w:color w:val="666666"/>
          <w:sz w:val="21"/>
          <w:szCs w:val="21"/>
          <w:shd w:val="clear" w:color="auto" w:fill="FFFFFF"/>
        </w:rPr>
        <w:t xml:space="preserve">Código </w:t>
      </w:r>
      <w:r>
        <w:rPr>
          <w:rFonts w:ascii="Arial" w:hAnsi="Arial" w:cs="Arial"/>
          <w:b/>
          <w:color w:val="666666"/>
          <w:sz w:val="21"/>
          <w:szCs w:val="21"/>
          <w:shd w:val="clear" w:color="auto" w:fill="FFFFFF"/>
        </w:rPr>
        <w:t>2</w:t>
      </w:r>
      <w:r w:rsidR="007940A8">
        <w:rPr>
          <w:rFonts w:ascii="Arial" w:hAnsi="Arial" w:cs="Arial"/>
          <w:color w:val="666666"/>
          <w:sz w:val="21"/>
          <w:szCs w:val="21"/>
          <w:shd w:val="clear" w:color="auto" w:fill="FFFFFF"/>
        </w:rPr>
        <w:t>.</w:t>
      </w:r>
    </w:p>
    <w:p w14:paraId="1898CFDD" w14:textId="1B1E3A40" w:rsidR="001D5BC0" w:rsidRDefault="00544E46" w:rsidP="001D5BC0">
      <w:pPr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666666"/>
          <w:sz w:val="21"/>
          <w:szCs w:val="21"/>
          <w:shd w:val="clear" w:color="auto" w:fill="FFFFFF"/>
          <w:lang w:eastAsia="pt-BR"/>
        </w:rPr>
        <w:drawing>
          <wp:inline distT="0" distB="0" distL="0" distR="0" wp14:anchorId="6F1E1300" wp14:editId="52D2F6E6">
            <wp:extent cx="4617720" cy="118872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C0BD0" w14:textId="6FCEB975" w:rsidR="007940A8" w:rsidRDefault="00544E46" w:rsidP="001D5BC0">
      <w:pPr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666666"/>
          <w:sz w:val="21"/>
          <w:szCs w:val="21"/>
          <w:shd w:val="clear" w:color="auto" w:fill="FFFFFF"/>
          <w:lang w:eastAsia="pt-BR"/>
        </w:rPr>
        <w:lastRenderedPageBreak/>
        <w:drawing>
          <wp:inline distT="0" distB="0" distL="0" distR="0" wp14:anchorId="434ED002" wp14:editId="781C0EB2">
            <wp:extent cx="4632960" cy="4587240"/>
            <wp:effectExtent l="0" t="0" r="0" b="381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960" cy="458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473EF" w14:textId="77777777" w:rsidR="00544E46" w:rsidRDefault="00544E46" w:rsidP="00837F75">
      <w:pPr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</w:p>
    <w:p w14:paraId="1005FE04" w14:textId="025770EF" w:rsidR="00437ED4" w:rsidRDefault="00437ED4" w:rsidP="00837F75">
      <w:pPr>
        <w:rPr>
          <w:rFonts w:ascii="Arial" w:hAnsi="Arial" w:cs="Arial"/>
          <w:b/>
          <w:color w:val="66666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Uma outra excelente novidade do SQL Server 2016 é poder apagar uma tabela simplesmente adicionando </w:t>
      </w:r>
      <w:r w:rsidRPr="00437ED4">
        <w:rPr>
          <w:rFonts w:ascii="Arial" w:hAnsi="Arial" w:cs="Arial"/>
          <w:b/>
          <w:color w:val="666666"/>
          <w:sz w:val="21"/>
          <w:szCs w:val="21"/>
          <w:shd w:val="clear" w:color="auto" w:fill="FFFFFF"/>
        </w:rPr>
        <w:t>if exists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na instrução D</w:t>
      </w:r>
      <w:r w:rsidR="002933D1">
        <w:rPr>
          <w:rFonts w:ascii="Arial" w:hAnsi="Arial" w:cs="Arial"/>
          <w:color w:val="666666"/>
          <w:sz w:val="21"/>
          <w:szCs w:val="21"/>
          <w:shd w:val="clear" w:color="auto" w:fill="FFFFFF"/>
        </w:rPr>
        <w:t>D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L (Data </w:t>
      </w:r>
      <w:r w:rsidR="002933D1">
        <w:rPr>
          <w:rFonts w:ascii="Arial" w:hAnsi="Arial" w:cs="Arial"/>
          <w:color w:val="666666"/>
          <w:sz w:val="21"/>
          <w:szCs w:val="21"/>
          <w:shd w:val="clear" w:color="auto" w:fill="FFFFFF"/>
        </w:rPr>
        <w:t>Definition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Language) </w:t>
      </w:r>
      <w:r w:rsidRPr="00437ED4">
        <w:rPr>
          <w:rFonts w:ascii="Arial" w:hAnsi="Arial" w:cs="Arial"/>
          <w:b/>
          <w:color w:val="666666"/>
          <w:sz w:val="21"/>
          <w:szCs w:val="21"/>
          <w:shd w:val="clear" w:color="auto" w:fill="FFFFFF"/>
        </w:rPr>
        <w:t>Drop Table</w:t>
      </w:r>
      <w:r>
        <w:rPr>
          <w:rFonts w:ascii="Arial" w:hAnsi="Arial" w:cs="Arial"/>
          <w:b/>
          <w:color w:val="666666"/>
          <w:sz w:val="21"/>
          <w:szCs w:val="21"/>
          <w:shd w:val="clear" w:color="auto" w:fill="FFFFFF"/>
        </w:rPr>
        <w:t>.</w:t>
      </w:r>
    </w:p>
    <w:p w14:paraId="69C10637" w14:textId="2CC8FB62" w:rsidR="00837F75" w:rsidRDefault="00437ED4" w:rsidP="00837F75">
      <w:pPr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Como podemos observar no </w:t>
      </w:r>
      <w:r w:rsidRPr="00437ED4">
        <w:rPr>
          <w:rFonts w:ascii="Arial" w:hAnsi="Arial" w:cs="Arial"/>
          <w:b/>
          <w:color w:val="666666"/>
          <w:sz w:val="21"/>
          <w:szCs w:val="21"/>
          <w:shd w:val="clear" w:color="auto" w:fill="FFFFFF"/>
        </w:rPr>
        <w:t xml:space="preserve">Código </w:t>
      </w:r>
      <w:r w:rsidR="00B42FA6">
        <w:rPr>
          <w:rFonts w:ascii="Arial" w:hAnsi="Arial" w:cs="Arial"/>
          <w:b/>
          <w:color w:val="666666"/>
          <w:sz w:val="21"/>
          <w:szCs w:val="21"/>
          <w:shd w:val="clear" w:color="auto" w:fill="FFFFFF"/>
        </w:rPr>
        <w:t>2</w:t>
      </w:r>
      <w:r>
        <w:rPr>
          <w:rFonts w:ascii="Arial" w:hAnsi="Arial" w:cs="Arial"/>
          <w:b/>
          <w:color w:val="666666"/>
          <w:sz w:val="21"/>
          <w:szCs w:val="21"/>
          <w:shd w:val="clear" w:color="auto" w:fill="FFFFFF"/>
        </w:rPr>
        <w:t xml:space="preserve"> </w:t>
      </w:r>
      <w:r w:rsidR="00631693" w:rsidRPr="00631693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as chaves primárias necessitam ser </w:t>
      </w:r>
      <w:r w:rsidR="00B42FA6">
        <w:rPr>
          <w:rFonts w:ascii="Arial" w:hAnsi="Arial" w:cs="Arial"/>
          <w:color w:val="666666"/>
          <w:sz w:val="21"/>
          <w:szCs w:val="21"/>
          <w:shd w:val="clear" w:color="auto" w:fill="FFFFFF"/>
        </w:rPr>
        <w:t>não clusterizados</w:t>
      </w:r>
      <w:r w:rsidR="00631693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para criação de uma tabela In-Memory OLTP</w:t>
      </w:r>
      <w:r w:rsidR="00B42FA6">
        <w:rPr>
          <w:rFonts w:ascii="Arial" w:hAnsi="Arial" w:cs="Arial"/>
          <w:color w:val="666666"/>
          <w:sz w:val="21"/>
          <w:szCs w:val="21"/>
          <w:shd w:val="clear" w:color="auto" w:fill="FFFFFF"/>
        </w:rPr>
        <w:t>, os índices clusterizados ainda não são suportados</w:t>
      </w:r>
      <w:r w:rsidR="00631693">
        <w:rPr>
          <w:rFonts w:ascii="Arial" w:hAnsi="Arial" w:cs="Arial"/>
          <w:color w:val="666666"/>
          <w:sz w:val="21"/>
          <w:szCs w:val="21"/>
          <w:shd w:val="clear" w:color="auto" w:fill="FFFFFF"/>
        </w:rPr>
        <w:t>.</w:t>
      </w:r>
    </w:p>
    <w:p w14:paraId="5118FECA" w14:textId="32BE228F" w:rsidR="00B42FA6" w:rsidRDefault="00A81637" w:rsidP="00837F75">
      <w:pPr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Após a criação das tabelas necessitamos popular com registros conforme </w:t>
      </w:r>
      <w:r w:rsidRPr="00A81637">
        <w:rPr>
          <w:rFonts w:ascii="Arial" w:hAnsi="Arial" w:cs="Arial"/>
          <w:b/>
          <w:color w:val="666666"/>
          <w:sz w:val="21"/>
          <w:szCs w:val="21"/>
          <w:shd w:val="clear" w:color="auto" w:fill="FFFFFF"/>
        </w:rPr>
        <w:t>Código 3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.</w:t>
      </w:r>
    </w:p>
    <w:p w14:paraId="692B0726" w14:textId="11CD4F72" w:rsidR="00A81637" w:rsidRDefault="00A81637" w:rsidP="00837F75">
      <w:pPr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666666"/>
          <w:sz w:val="21"/>
          <w:szCs w:val="21"/>
          <w:shd w:val="clear" w:color="auto" w:fill="FFFFFF"/>
          <w:lang w:eastAsia="pt-BR"/>
        </w:rPr>
        <w:drawing>
          <wp:inline distT="0" distB="0" distL="0" distR="0" wp14:anchorId="455ABD9E" wp14:editId="42A01187">
            <wp:extent cx="3390900" cy="2506980"/>
            <wp:effectExtent l="0" t="0" r="0" b="762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D955E" w14:textId="636B3BF5" w:rsidR="00A81637" w:rsidRDefault="00A06972" w:rsidP="00837F75">
      <w:pPr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Agora vamos consultar as tabelas conforme </w:t>
      </w:r>
      <w:r w:rsidRPr="00A06972">
        <w:rPr>
          <w:rFonts w:ascii="Arial" w:hAnsi="Arial" w:cs="Arial"/>
          <w:b/>
          <w:color w:val="666666"/>
          <w:sz w:val="21"/>
          <w:szCs w:val="21"/>
          <w:shd w:val="clear" w:color="auto" w:fill="FFFFFF"/>
        </w:rPr>
        <w:t>Código 4</w:t>
      </w:r>
      <w:r>
        <w:rPr>
          <w:rFonts w:ascii="Arial" w:hAnsi="Arial" w:cs="Arial"/>
          <w:b/>
          <w:color w:val="666666"/>
          <w:sz w:val="21"/>
          <w:szCs w:val="21"/>
          <w:shd w:val="clear" w:color="auto" w:fill="FFFFFF"/>
        </w:rPr>
        <w:t xml:space="preserve"> </w:t>
      </w:r>
      <w:r w:rsidRPr="00A06972">
        <w:rPr>
          <w:rFonts w:ascii="Arial" w:hAnsi="Arial" w:cs="Arial"/>
          <w:color w:val="666666"/>
          <w:sz w:val="21"/>
          <w:szCs w:val="21"/>
          <w:shd w:val="clear" w:color="auto" w:fill="FFFFFF"/>
        </w:rPr>
        <w:t>e visualizar o custo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de</w:t>
      </w:r>
      <w:r w:rsidRPr="00A06972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I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/</w:t>
      </w:r>
      <w:r w:rsidRPr="00A06972">
        <w:rPr>
          <w:rFonts w:ascii="Arial" w:hAnsi="Arial" w:cs="Arial"/>
          <w:color w:val="666666"/>
          <w:sz w:val="21"/>
          <w:szCs w:val="21"/>
          <w:shd w:val="clear" w:color="auto" w:fill="FFFFFF"/>
        </w:rPr>
        <w:t>O na</w:t>
      </w:r>
      <w:r>
        <w:rPr>
          <w:rFonts w:ascii="Arial" w:hAnsi="Arial" w:cs="Arial"/>
          <w:b/>
          <w:color w:val="666666"/>
          <w:sz w:val="21"/>
          <w:szCs w:val="21"/>
          <w:shd w:val="clear" w:color="auto" w:fill="FFFFFF"/>
        </w:rPr>
        <w:t xml:space="preserve"> figura 2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.</w:t>
      </w:r>
    </w:p>
    <w:p w14:paraId="775AECFC" w14:textId="19626E7A" w:rsidR="00A06972" w:rsidRDefault="00A06972" w:rsidP="00837F75">
      <w:pPr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666666"/>
          <w:sz w:val="21"/>
          <w:szCs w:val="21"/>
          <w:shd w:val="clear" w:color="auto" w:fill="FFFFFF"/>
          <w:lang w:eastAsia="pt-BR"/>
        </w:rPr>
        <w:lastRenderedPageBreak/>
        <w:drawing>
          <wp:inline distT="0" distB="0" distL="0" distR="0" wp14:anchorId="62B34A6F" wp14:editId="78601715">
            <wp:extent cx="3764280" cy="899160"/>
            <wp:effectExtent l="0" t="0" r="762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8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6F213" w14:textId="20603642" w:rsidR="00A81637" w:rsidRDefault="00FB5355" w:rsidP="00837F75">
      <w:pPr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666666"/>
          <w:sz w:val="21"/>
          <w:szCs w:val="21"/>
          <w:shd w:val="clear" w:color="auto" w:fill="FFFFFF"/>
          <w:lang w:eastAsia="pt-BR"/>
        </w:rPr>
        <w:drawing>
          <wp:inline distT="0" distB="0" distL="0" distR="0" wp14:anchorId="569AFD78" wp14:editId="5DCB28B3">
            <wp:extent cx="6187440" cy="2598420"/>
            <wp:effectExtent l="0" t="0" r="381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94C47" w14:textId="39F975BE" w:rsidR="00FB5355" w:rsidRDefault="00FB5355" w:rsidP="00837F75">
      <w:pPr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Como podemos observar na </w:t>
      </w:r>
      <w:r w:rsidRPr="00FB5355">
        <w:rPr>
          <w:rFonts w:ascii="Arial" w:hAnsi="Arial" w:cs="Arial"/>
          <w:b/>
          <w:color w:val="666666"/>
          <w:sz w:val="21"/>
          <w:szCs w:val="21"/>
          <w:shd w:val="clear" w:color="auto" w:fill="FFFFFF"/>
        </w:rPr>
        <w:t>figura 2</w:t>
      </w:r>
      <w:r w:rsidRPr="00FB5355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, 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as estatísticas demonstraram que não teve custo de I/O.</w:t>
      </w:r>
    </w:p>
    <w:p w14:paraId="2CEDCDB5" w14:textId="6B5DCB7A" w:rsidR="00FB5355" w:rsidRDefault="00FB5355" w:rsidP="00837F75">
      <w:pPr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Na </w:t>
      </w:r>
      <w:r w:rsidRPr="00FB5355">
        <w:rPr>
          <w:rFonts w:ascii="Arial" w:hAnsi="Arial" w:cs="Arial"/>
          <w:b/>
          <w:color w:val="666666"/>
          <w:sz w:val="21"/>
          <w:szCs w:val="21"/>
          <w:shd w:val="clear" w:color="auto" w:fill="FFFFFF"/>
        </w:rPr>
        <w:t>figura 3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visualizamos a estatística referente as mesmas tabelas e registros, porém não utilizando o recurso In-Memory OLTP.</w:t>
      </w:r>
    </w:p>
    <w:p w14:paraId="76F68BCA" w14:textId="152EC128" w:rsidR="00FB5355" w:rsidRDefault="00FB5355" w:rsidP="00837F75">
      <w:pPr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666666"/>
          <w:sz w:val="21"/>
          <w:szCs w:val="21"/>
          <w:shd w:val="clear" w:color="auto" w:fill="FFFFFF"/>
          <w:lang w:eastAsia="pt-BR"/>
        </w:rPr>
        <w:drawing>
          <wp:inline distT="0" distB="0" distL="0" distR="0" wp14:anchorId="559D8709" wp14:editId="67D9AA4D">
            <wp:extent cx="6187440" cy="2537460"/>
            <wp:effectExtent l="0" t="0" r="381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4837F" w14:textId="437D8737" w:rsidR="00191AB4" w:rsidRDefault="00023A66" w:rsidP="00837F75">
      <w:pPr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Podemos observar na </w:t>
      </w:r>
      <w:r w:rsidRPr="00023A66">
        <w:rPr>
          <w:rFonts w:ascii="Arial" w:hAnsi="Arial" w:cs="Arial"/>
          <w:b/>
          <w:color w:val="666666"/>
          <w:sz w:val="21"/>
          <w:szCs w:val="21"/>
          <w:shd w:val="clear" w:color="auto" w:fill="FFFFFF"/>
        </w:rPr>
        <w:t>figura 3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o </w:t>
      </w:r>
      <w:r w:rsidRPr="00B73130">
        <w:rPr>
          <w:rFonts w:ascii="Arial" w:hAnsi="Arial" w:cs="Arial"/>
          <w:b/>
          <w:color w:val="666666"/>
          <w:sz w:val="21"/>
          <w:szCs w:val="21"/>
          <w:shd w:val="clear" w:color="auto" w:fill="FFFFFF"/>
        </w:rPr>
        <w:t>custo de I/O</w:t>
      </w:r>
      <w:r w:rsidR="00B73130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nas tabelas sem o recurso In-Memory OLTP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, outro detalhe muito importante para o servidor é que </w:t>
      </w:r>
      <w:r w:rsidR="00B73130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foi economizado </w:t>
      </w:r>
      <w:r w:rsidR="00B73130" w:rsidRPr="00B73130">
        <w:rPr>
          <w:rFonts w:ascii="Arial" w:hAnsi="Arial" w:cs="Arial"/>
          <w:b/>
          <w:color w:val="666666"/>
          <w:sz w:val="21"/>
          <w:szCs w:val="21"/>
          <w:shd w:val="clear" w:color="auto" w:fill="FFFFFF"/>
        </w:rPr>
        <w:t>256%</w:t>
      </w:r>
      <w:r w:rsidR="00B73130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no </w:t>
      </w:r>
      <w:r w:rsidR="00B73130" w:rsidRPr="00B73130">
        <w:rPr>
          <w:rFonts w:ascii="Arial" w:hAnsi="Arial" w:cs="Arial"/>
          <w:b/>
          <w:color w:val="666666"/>
          <w:sz w:val="21"/>
          <w:szCs w:val="21"/>
          <w:shd w:val="clear" w:color="auto" w:fill="FFFFFF"/>
        </w:rPr>
        <w:t>custo de CPU</w:t>
      </w:r>
      <w:r w:rsidR="00B73130">
        <w:rPr>
          <w:rFonts w:ascii="Arial" w:hAnsi="Arial" w:cs="Arial"/>
          <w:color w:val="666666"/>
          <w:sz w:val="21"/>
          <w:szCs w:val="21"/>
          <w:shd w:val="clear" w:color="auto" w:fill="FFFFFF"/>
        </w:rPr>
        <w:t>.</w:t>
      </w:r>
    </w:p>
    <w:p w14:paraId="6F032258" w14:textId="255153B6" w:rsidR="00775657" w:rsidRDefault="00775657" w:rsidP="00837F75">
      <w:pPr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Atualmente não é possível utilizar chave estrangeira entre tabelas com e sem este recurso, então, é muito importante no processo de modelagem estar por dentro das restr</w:t>
      </w:r>
      <w:r w:rsidR="0046064F">
        <w:rPr>
          <w:rFonts w:ascii="Arial" w:hAnsi="Arial" w:cs="Arial"/>
          <w:color w:val="666666"/>
          <w:sz w:val="21"/>
          <w:szCs w:val="21"/>
          <w:shd w:val="clear" w:color="auto" w:fill="FFFFFF"/>
        </w:rPr>
        <w:t>ições</w:t>
      </w:r>
      <w:r w:rsidR="007450E3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e/ou utilizar outros </w:t>
      </w:r>
      <w:r w:rsidR="002B30BA">
        <w:rPr>
          <w:rFonts w:ascii="Arial" w:hAnsi="Arial" w:cs="Arial"/>
          <w:color w:val="666666"/>
          <w:sz w:val="21"/>
          <w:szCs w:val="21"/>
          <w:shd w:val="clear" w:color="auto" w:fill="FFFFFF"/>
        </w:rPr>
        <w:t>recursos</w:t>
      </w:r>
      <w:r w:rsidR="007450E3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para garantir a consistência das informações.</w:t>
      </w:r>
    </w:p>
    <w:p w14:paraId="0B93C75E" w14:textId="77777777" w:rsidR="00E71CDC" w:rsidRDefault="00E71CDC" w:rsidP="00837F75">
      <w:pPr>
        <w:rPr>
          <w:rFonts w:ascii="Arial" w:hAnsi="Arial" w:cs="Arial"/>
          <w:b/>
          <w:color w:val="666666"/>
          <w:sz w:val="21"/>
          <w:szCs w:val="21"/>
          <w:shd w:val="clear" w:color="auto" w:fill="FFFFFF"/>
        </w:rPr>
      </w:pPr>
    </w:p>
    <w:p w14:paraId="74FD7DED" w14:textId="7F9D4683" w:rsidR="00FE7439" w:rsidRDefault="00FE7439" w:rsidP="00837F75">
      <w:pPr>
        <w:rPr>
          <w:rFonts w:ascii="Arial" w:hAnsi="Arial" w:cs="Arial"/>
          <w:b/>
          <w:color w:val="666666"/>
          <w:sz w:val="21"/>
          <w:szCs w:val="21"/>
          <w:shd w:val="clear" w:color="auto" w:fill="FFFFFF"/>
        </w:rPr>
      </w:pPr>
      <w:bookmarkStart w:id="0" w:name="_GoBack"/>
      <w:bookmarkEnd w:id="0"/>
      <w:r w:rsidRPr="00FE7439">
        <w:rPr>
          <w:rFonts w:ascii="Arial" w:hAnsi="Arial" w:cs="Arial"/>
          <w:b/>
          <w:color w:val="666666"/>
          <w:sz w:val="21"/>
          <w:szCs w:val="21"/>
          <w:shd w:val="clear" w:color="auto" w:fill="FFFFFF"/>
        </w:rPr>
        <w:t>Referência</w:t>
      </w:r>
    </w:p>
    <w:p w14:paraId="23048634" w14:textId="4DBB0323" w:rsidR="00FE7439" w:rsidRPr="00FE7439" w:rsidRDefault="00FE7439" w:rsidP="00837F75">
      <w:pPr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  <w:r w:rsidRPr="00FE7439">
        <w:rPr>
          <w:rFonts w:ascii="Arial" w:hAnsi="Arial" w:cs="Arial"/>
          <w:color w:val="666666"/>
          <w:sz w:val="21"/>
          <w:szCs w:val="21"/>
          <w:shd w:val="clear" w:color="auto" w:fill="FFFFFF"/>
        </w:rPr>
        <w:t>https://msdn.microsoft.com/en-us/library/dn133186.aspx</w:t>
      </w:r>
    </w:p>
    <w:sectPr w:rsidR="00FE7439" w:rsidRPr="00FE7439" w:rsidSect="001D5BC0">
      <w:pgSz w:w="11906" w:h="16838" w:code="9"/>
      <w:pgMar w:top="1440" w:right="1080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CA"/>
    <w:rsid w:val="00023A66"/>
    <w:rsid w:val="00191AB4"/>
    <w:rsid w:val="001D5BC0"/>
    <w:rsid w:val="00270ED6"/>
    <w:rsid w:val="002933D1"/>
    <w:rsid w:val="002B30BA"/>
    <w:rsid w:val="00437ED4"/>
    <w:rsid w:val="0046064F"/>
    <w:rsid w:val="00502BCA"/>
    <w:rsid w:val="00544E46"/>
    <w:rsid w:val="00631693"/>
    <w:rsid w:val="007450E3"/>
    <w:rsid w:val="00767EC0"/>
    <w:rsid w:val="00775657"/>
    <w:rsid w:val="007940A8"/>
    <w:rsid w:val="00837F75"/>
    <w:rsid w:val="008C6729"/>
    <w:rsid w:val="0092193D"/>
    <w:rsid w:val="00987D15"/>
    <w:rsid w:val="00A06972"/>
    <w:rsid w:val="00A81637"/>
    <w:rsid w:val="00B42FA6"/>
    <w:rsid w:val="00B73130"/>
    <w:rsid w:val="00BE7349"/>
    <w:rsid w:val="00E71CDC"/>
    <w:rsid w:val="00FB5355"/>
    <w:rsid w:val="00FE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52F6"/>
  <w15:chartTrackingRefBased/>
  <w15:docId w15:val="{F751A304-78C1-40F4-9C46-D28B140A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502B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02BC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Morcillo</dc:creator>
  <cp:keywords/>
  <dc:description/>
  <cp:lastModifiedBy>Fabio Morcillo</cp:lastModifiedBy>
  <cp:revision>2</cp:revision>
  <dcterms:created xsi:type="dcterms:W3CDTF">2016-10-03T01:42:00Z</dcterms:created>
  <dcterms:modified xsi:type="dcterms:W3CDTF">2016-10-03T01:42:00Z</dcterms:modified>
</cp:coreProperties>
</file>