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DC" w:rsidRPr="007E5124" w:rsidRDefault="007E5124" w:rsidP="007E512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ANTECIPAÇÃO DA TUTELA JURISDICIONAL EM FACE DA FAZENDA PÚBLICA NAS </w:t>
      </w:r>
      <w:r w:rsidRPr="007E5124">
        <w:rPr>
          <w:rFonts w:ascii="Times New Roman" w:hAnsi="Times New Roman" w:cs="Times New Roman"/>
          <w:b/>
          <w:sz w:val="28"/>
          <w:szCs w:val="28"/>
        </w:rPr>
        <w:t>OBRIGAÇÕES DE PAGAR QUANTIA CERTA</w:t>
      </w:r>
      <w:r w:rsidRPr="007E5124">
        <w:rPr>
          <w:rStyle w:val="Refdenotaderodap"/>
          <w:rFonts w:ascii="Times New Roman" w:hAnsi="Times New Roman" w:cs="Times New Roman"/>
          <w:b/>
          <w:sz w:val="28"/>
          <w:szCs w:val="28"/>
        </w:rPr>
        <w:footnoteReference w:id="1"/>
      </w:r>
      <w:r>
        <w:rPr>
          <w:rFonts w:ascii="Times New Roman" w:hAnsi="Times New Roman" w:cs="Times New Roman"/>
          <w:b/>
        </w:rPr>
        <w:tab/>
      </w:r>
    </w:p>
    <w:p w:rsidR="007E5124" w:rsidRDefault="007E5124" w:rsidP="00C769DC">
      <w:pPr>
        <w:spacing w:after="0" w:line="360" w:lineRule="auto"/>
        <w:rPr>
          <w:rFonts w:ascii="Times New Roman" w:hAnsi="Times New Roman" w:cs="Times New Roman"/>
          <w:b/>
        </w:rPr>
      </w:pPr>
    </w:p>
    <w:p w:rsidR="000643AE" w:rsidRPr="00C769DC" w:rsidRDefault="000643AE" w:rsidP="00C769DC">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i/>
        </w:rPr>
        <w:t>Rayanne</w:t>
      </w:r>
      <w:proofErr w:type="spellEnd"/>
      <w:r>
        <w:rPr>
          <w:rFonts w:ascii="Times New Roman" w:hAnsi="Times New Roman" w:cs="Times New Roman"/>
          <w:i/>
        </w:rPr>
        <w:t xml:space="preserve"> Pinho da </w:t>
      </w:r>
      <w:proofErr w:type="spellStart"/>
      <w:r>
        <w:rPr>
          <w:rFonts w:ascii="Times New Roman" w:hAnsi="Times New Roman" w:cs="Times New Roman"/>
          <w:i/>
        </w:rPr>
        <w:t>Sillva</w:t>
      </w:r>
      <w:proofErr w:type="spellEnd"/>
      <w:r>
        <w:rPr>
          <w:rFonts w:ascii="Times New Roman" w:hAnsi="Times New Roman" w:cs="Times New Roman"/>
          <w:i/>
        </w:rPr>
        <w:t>*</w:t>
      </w:r>
    </w:p>
    <w:p w:rsidR="00C769DC" w:rsidRPr="007E0CB7" w:rsidRDefault="00C769DC" w:rsidP="007E5124">
      <w:pPr>
        <w:tabs>
          <w:tab w:val="left" w:pos="3402"/>
        </w:tabs>
        <w:spacing w:after="0" w:line="360" w:lineRule="auto"/>
        <w:jc w:val="right"/>
        <w:rPr>
          <w:rFonts w:ascii="Times New Roman" w:hAnsi="Times New Roman" w:cs="Times New Roman"/>
        </w:rPr>
      </w:pPr>
      <w:r w:rsidRPr="00C769DC">
        <w:rPr>
          <w:rFonts w:ascii="Times New Roman" w:hAnsi="Times New Roman" w:cs="Times New Roman"/>
          <w:i/>
        </w:rPr>
        <w:t>Thiciane Teixeira Ribeiro Gonçalves*</w:t>
      </w:r>
      <w:r w:rsidR="000643AE">
        <w:rPr>
          <w:rFonts w:ascii="Times New Roman" w:hAnsi="Times New Roman" w:cs="Times New Roman"/>
          <w:i/>
        </w:rPr>
        <w:t>*</w:t>
      </w:r>
    </w:p>
    <w:p w:rsidR="007E5124" w:rsidRPr="00C769DC" w:rsidRDefault="007E5124" w:rsidP="00C769DC">
      <w:pPr>
        <w:spacing w:after="0" w:line="360" w:lineRule="auto"/>
        <w:rPr>
          <w:rFonts w:ascii="Times New Roman" w:hAnsi="Times New Roman" w:cs="Times New Roman"/>
          <w:b/>
        </w:rPr>
      </w:pPr>
    </w:p>
    <w:p w:rsidR="007E5124" w:rsidRPr="007E0CB7" w:rsidRDefault="007E5124" w:rsidP="007E5124">
      <w:pPr>
        <w:tabs>
          <w:tab w:val="left" w:pos="3402"/>
        </w:tabs>
        <w:spacing w:after="0" w:line="240" w:lineRule="auto"/>
        <w:ind w:left="3402"/>
        <w:jc w:val="both"/>
        <w:rPr>
          <w:rFonts w:ascii="Times New Roman" w:hAnsi="Times New Roman" w:cs="Times New Roman"/>
          <w:sz w:val="20"/>
          <w:szCs w:val="20"/>
        </w:rPr>
      </w:pPr>
      <w:r w:rsidRPr="00C769DC">
        <w:rPr>
          <w:rFonts w:ascii="Times New Roman" w:eastAsia="Calibri" w:hAnsi="Times New Roman" w:cs="Times New Roman"/>
          <w:b/>
          <w:sz w:val="20"/>
          <w:szCs w:val="20"/>
        </w:rPr>
        <w:t>SUMÁRIO</w:t>
      </w:r>
      <w:r w:rsidRPr="00C769DC">
        <w:rPr>
          <w:rFonts w:ascii="Times New Roman" w:eastAsia="Calibri" w:hAnsi="Times New Roman" w:cs="Times New Roman"/>
          <w:sz w:val="20"/>
          <w:szCs w:val="20"/>
        </w:rPr>
        <w:t xml:space="preserve">: </w:t>
      </w:r>
      <w:r w:rsidRPr="001B46B3">
        <w:rPr>
          <w:rFonts w:ascii="Times New Roman" w:eastAsia="Calibri" w:hAnsi="Times New Roman" w:cs="Times New Roman"/>
          <w:sz w:val="20"/>
          <w:szCs w:val="20"/>
        </w:rPr>
        <w:t xml:space="preserve">Introdução; </w:t>
      </w:r>
      <w:proofErr w:type="gramStart"/>
      <w:r w:rsidRPr="001B46B3">
        <w:rPr>
          <w:rFonts w:ascii="Times New Roman" w:eastAsia="Calibri" w:hAnsi="Times New Roman" w:cs="Times New Roman"/>
          <w:sz w:val="20"/>
          <w:szCs w:val="20"/>
        </w:rPr>
        <w:t>1</w:t>
      </w:r>
      <w:proofErr w:type="gramEnd"/>
      <w:r w:rsidRPr="001B46B3">
        <w:rPr>
          <w:rFonts w:ascii="Times New Roman" w:eastAsia="Calibri" w:hAnsi="Times New Roman" w:cs="Times New Roman"/>
          <w:sz w:val="20"/>
          <w:szCs w:val="20"/>
        </w:rPr>
        <w:t xml:space="preserve"> A </w:t>
      </w:r>
      <w:r w:rsidRPr="001B46B3">
        <w:rPr>
          <w:rFonts w:ascii="Times New Roman" w:hAnsi="Times New Roman" w:cs="Times New Roman"/>
          <w:sz w:val="20"/>
          <w:szCs w:val="20"/>
        </w:rPr>
        <w:t>tutela antecipada</w:t>
      </w:r>
      <w:r>
        <w:rPr>
          <w:rFonts w:ascii="Times New Roman" w:hAnsi="Times New Roman" w:cs="Times New Roman"/>
          <w:sz w:val="20"/>
          <w:szCs w:val="20"/>
        </w:rPr>
        <w:t xml:space="preserve"> e as suas considerações gerais:</w:t>
      </w:r>
      <w:r w:rsidRPr="001B46B3">
        <w:rPr>
          <w:rFonts w:ascii="Times New Roman" w:hAnsi="Times New Roman" w:cs="Times New Roman"/>
          <w:sz w:val="20"/>
          <w:szCs w:val="20"/>
        </w:rPr>
        <w:t xml:space="preserve"> </w:t>
      </w:r>
      <w:r>
        <w:rPr>
          <w:rFonts w:ascii="Times New Roman" w:hAnsi="Times New Roman" w:cs="Times New Roman"/>
          <w:sz w:val="20"/>
          <w:szCs w:val="20"/>
        </w:rPr>
        <w:t>1.1 Noções quanto a tutela</w:t>
      </w:r>
      <w:r w:rsidR="00BF406B">
        <w:rPr>
          <w:rFonts w:ascii="Times New Roman" w:hAnsi="Times New Roman" w:cs="Times New Roman"/>
          <w:sz w:val="20"/>
          <w:szCs w:val="20"/>
        </w:rPr>
        <w:t xml:space="preserve"> cautelar; </w:t>
      </w:r>
      <w:r>
        <w:rPr>
          <w:rFonts w:ascii="Times New Roman" w:hAnsi="Times New Roman" w:cs="Times New Roman"/>
          <w:sz w:val="20"/>
          <w:szCs w:val="20"/>
        </w:rPr>
        <w:t xml:space="preserve">1.2 Noções quanto a tutela </w:t>
      </w:r>
      <w:r w:rsidRPr="001B46B3">
        <w:rPr>
          <w:rFonts w:ascii="Times New Roman" w:hAnsi="Times New Roman" w:cs="Times New Roman"/>
          <w:sz w:val="20"/>
          <w:szCs w:val="20"/>
        </w:rPr>
        <w:t xml:space="preserve"> liminar; 2 </w:t>
      </w:r>
      <w:r w:rsidRPr="00E7588D">
        <w:rPr>
          <w:rFonts w:ascii="Times New Roman" w:hAnsi="Times New Roman" w:cs="Times New Roman"/>
          <w:sz w:val="20"/>
          <w:szCs w:val="20"/>
        </w:rPr>
        <w:t>Fazenda Pública sua</w:t>
      </w:r>
      <w:r w:rsidR="00BF406B">
        <w:rPr>
          <w:rFonts w:ascii="Times New Roman" w:hAnsi="Times New Roman" w:cs="Times New Roman"/>
          <w:sz w:val="20"/>
          <w:szCs w:val="20"/>
        </w:rPr>
        <w:t>s</w:t>
      </w:r>
      <w:r w:rsidRPr="00E7588D">
        <w:rPr>
          <w:rFonts w:ascii="Times New Roman" w:hAnsi="Times New Roman" w:cs="Times New Roman"/>
          <w:sz w:val="20"/>
          <w:szCs w:val="20"/>
        </w:rPr>
        <w:t xml:space="preserve"> considerações gerais e o seu papel dentro do Poder Público</w:t>
      </w:r>
      <w:r w:rsidRPr="001B46B3">
        <w:rPr>
          <w:rFonts w:ascii="Times New Roman" w:hAnsi="Times New Roman" w:cs="Times New Roman"/>
          <w:sz w:val="20"/>
          <w:szCs w:val="20"/>
        </w:rPr>
        <w:t xml:space="preserve"> 3 Tutela antecipada contra a Fazenda Pública</w:t>
      </w:r>
      <w:r>
        <w:rPr>
          <w:rFonts w:ascii="Times New Roman" w:hAnsi="Times New Roman" w:cs="Times New Roman"/>
          <w:sz w:val="20"/>
          <w:szCs w:val="20"/>
        </w:rPr>
        <w:t xml:space="preserve"> nas obrigações de pagar quantia certa</w:t>
      </w:r>
      <w:r w:rsidRPr="001B46B3">
        <w:rPr>
          <w:rFonts w:ascii="Times New Roman" w:hAnsi="Times New Roman" w:cs="Times New Roman"/>
          <w:sz w:val="20"/>
          <w:szCs w:val="20"/>
        </w:rPr>
        <w:t xml:space="preserve">; Conclusão; Referências. </w:t>
      </w:r>
    </w:p>
    <w:p w:rsidR="00C769DC" w:rsidRDefault="00C769DC" w:rsidP="007E5124">
      <w:pPr>
        <w:spacing w:after="0" w:line="240" w:lineRule="auto"/>
        <w:rPr>
          <w:rFonts w:ascii="Times New Roman" w:hAnsi="Times New Roman" w:cs="Times New Roman"/>
        </w:rPr>
      </w:pPr>
    </w:p>
    <w:p w:rsidR="00DC0FAE" w:rsidRPr="00C769DC" w:rsidRDefault="00DC0FAE" w:rsidP="00C769DC">
      <w:pPr>
        <w:spacing w:after="0" w:line="360" w:lineRule="auto"/>
        <w:rPr>
          <w:rFonts w:ascii="Times New Roman" w:hAnsi="Times New Roman" w:cs="Times New Roman"/>
        </w:rPr>
      </w:pPr>
    </w:p>
    <w:p w:rsidR="007E5124" w:rsidRPr="00C769DC" w:rsidRDefault="007E5124" w:rsidP="007E5124">
      <w:pPr>
        <w:spacing w:after="0" w:line="240" w:lineRule="auto"/>
        <w:jc w:val="center"/>
        <w:rPr>
          <w:rFonts w:ascii="Times New Roman" w:hAnsi="Times New Roman" w:cs="Times New Roman"/>
          <w:b/>
        </w:rPr>
      </w:pPr>
      <w:r w:rsidRPr="00C769DC">
        <w:rPr>
          <w:rFonts w:ascii="Times New Roman" w:hAnsi="Times New Roman" w:cs="Times New Roman"/>
          <w:b/>
        </w:rPr>
        <w:t>RESUMO</w:t>
      </w:r>
    </w:p>
    <w:p w:rsidR="007E5124" w:rsidRPr="00C769DC" w:rsidRDefault="007E5124" w:rsidP="007E5124">
      <w:pPr>
        <w:spacing w:after="0" w:line="240" w:lineRule="auto"/>
        <w:jc w:val="center"/>
        <w:rPr>
          <w:rFonts w:ascii="Times New Roman" w:hAnsi="Times New Roman" w:cs="Times New Roman"/>
          <w:b/>
        </w:rPr>
      </w:pPr>
    </w:p>
    <w:p w:rsidR="007E5124" w:rsidRDefault="007E5124" w:rsidP="007E5124">
      <w:pPr>
        <w:tabs>
          <w:tab w:val="left" w:pos="851"/>
        </w:tabs>
        <w:spacing w:after="0" w:line="240" w:lineRule="auto"/>
        <w:jc w:val="both"/>
        <w:rPr>
          <w:rFonts w:ascii="Times New Roman" w:hAnsi="Times New Roman" w:cs="Times New Roman"/>
          <w:sz w:val="24"/>
          <w:szCs w:val="24"/>
        </w:rPr>
      </w:pPr>
      <w:r w:rsidRPr="00C769DC">
        <w:rPr>
          <w:rFonts w:ascii="Times New Roman" w:hAnsi="Times New Roman" w:cs="Times New Roman"/>
        </w:rPr>
        <w:tab/>
        <w:t xml:space="preserve">Objetiva-se realizar </w:t>
      </w:r>
      <w:r>
        <w:rPr>
          <w:rFonts w:ascii="Times New Roman" w:hAnsi="Times New Roman" w:cs="Times New Roman"/>
        </w:rPr>
        <w:t xml:space="preserve">uma investigação </w:t>
      </w:r>
      <w:r w:rsidR="00C74B00">
        <w:rPr>
          <w:rFonts w:ascii="Times New Roman" w:hAnsi="Times New Roman" w:cs="Times New Roman"/>
        </w:rPr>
        <w:t xml:space="preserve">acerca </w:t>
      </w:r>
      <w:r>
        <w:rPr>
          <w:rFonts w:ascii="Times New Roman" w:hAnsi="Times New Roman" w:cs="Times New Roman"/>
          <w:sz w:val="24"/>
          <w:szCs w:val="24"/>
        </w:rPr>
        <w:t xml:space="preserve">do tema: antecipação da tutela, em face da Fazenda Pública, como mecanismo de garantia para a efetividade do processo com relação à obrigação de pagar quantia certa – Art. 730, CPC e Art. 100, CF, onde no primeiro tópico, apresentar-se-á ao leitor uma profunda noção acerca da tutela antecipada, suas considerações gerais e os seus pressupostos. No segundo ponto, tratar-se-á brevemente a respeito da fungibilidade entre a antecipação da tutela, tutela cautelar e liminar. Posteriormente, no terceiro tópico deste trabalho, falar-se-á a respeito da Fazenda Pública, o que esta vem a ser e qual a sua função dentro do Poder Público. No quarto tópico debater-se-á </w:t>
      </w:r>
      <w:r w:rsidR="00C74B00">
        <w:rPr>
          <w:rFonts w:ascii="Times New Roman" w:hAnsi="Times New Roman" w:cs="Times New Roman"/>
          <w:sz w:val="24"/>
          <w:szCs w:val="24"/>
        </w:rPr>
        <w:t xml:space="preserve">sobre </w:t>
      </w:r>
      <w:r>
        <w:rPr>
          <w:rFonts w:ascii="Times New Roman" w:hAnsi="Times New Roman" w:cs="Times New Roman"/>
          <w:sz w:val="24"/>
          <w:szCs w:val="24"/>
        </w:rPr>
        <w:t xml:space="preserve">o embate quanto ao tema: tutela antecipada contra a Fazenda Pública, onde de um lado encontra-se doutrina e jurisprudência </w:t>
      </w:r>
      <w:r>
        <w:rPr>
          <w:rFonts w:ascii="Times New Roman" w:hAnsi="Times New Roman" w:cs="Times New Roman"/>
          <w:i/>
          <w:sz w:val="24"/>
          <w:szCs w:val="24"/>
        </w:rPr>
        <w:t xml:space="preserve">versus </w:t>
      </w:r>
      <w:r>
        <w:rPr>
          <w:rFonts w:ascii="Times New Roman" w:hAnsi="Times New Roman" w:cs="Times New Roman"/>
          <w:sz w:val="24"/>
          <w:szCs w:val="24"/>
        </w:rPr>
        <w:t xml:space="preserve">Constituição Federal da República. </w:t>
      </w:r>
    </w:p>
    <w:p w:rsidR="007E5124" w:rsidRPr="00C769DC" w:rsidRDefault="007E5124" w:rsidP="007E5124">
      <w:pPr>
        <w:tabs>
          <w:tab w:val="left" w:pos="851"/>
        </w:tabs>
        <w:spacing w:after="0" w:line="240" w:lineRule="auto"/>
        <w:jc w:val="both"/>
        <w:rPr>
          <w:rFonts w:ascii="Times New Roman" w:hAnsi="Times New Roman" w:cs="Times New Roman"/>
        </w:rPr>
      </w:pPr>
    </w:p>
    <w:p w:rsidR="007E5124" w:rsidRDefault="007E5124" w:rsidP="007E5124">
      <w:pPr>
        <w:spacing w:after="0" w:line="240" w:lineRule="auto"/>
        <w:jc w:val="center"/>
        <w:rPr>
          <w:rFonts w:ascii="Times New Roman" w:hAnsi="Times New Roman" w:cs="Times New Roman"/>
          <w:b/>
        </w:rPr>
      </w:pPr>
    </w:p>
    <w:p w:rsidR="007E5124" w:rsidRDefault="007E5124" w:rsidP="007E5124">
      <w:pPr>
        <w:tabs>
          <w:tab w:val="left" w:pos="3675"/>
        </w:tabs>
        <w:spacing w:after="0" w:line="240" w:lineRule="auto"/>
        <w:rPr>
          <w:rFonts w:ascii="Times New Roman" w:hAnsi="Times New Roman" w:cs="Times New Roman"/>
          <w:b/>
        </w:rPr>
      </w:pPr>
      <w:r>
        <w:rPr>
          <w:rFonts w:ascii="Times New Roman" w:hAnsi="Times New Roman" w:cs="Times New Roman"/>
          <w:b/>
        </w:rPr>
        <w:tab/>
      </w:r>
    </w:p>
    <w:p w:rsidR="007E5124" w:rsidRPr="00C769DC" w:rsidRDefault="007E5124" w:rsidP="007E5124">
      <w:pPr>
        <w:spacing w:after="0" w:line="240" w:lineRule="auto"/>
        <w:jc w:val="center"/>
        <w:rPr>
          <w:rFonts w:ascii="Times New Roman" w:hAnsi="Times New Roman" w:cs="Times New Roman"/>
          <w:b/>
        </w:rPr>
      </w:pPr>
      <w:r w:rsidRPr="00C769DC">
        <w:rPr>
          <w:rFonts w:ascii="Times New Roman" w:hAnsi="Times New Roman" w:cs="Times New Roman"/>
          <w:b/>
        </w:rPr>
        <w:t>PALAVRAS-CHAVE</w:t>
      </w:r>
    </w:p>
    <w:p w:rsidR="007E5124" w:rsidRPr="00C769DC" w:rsidRDefault="007E5124" w:rsidP="007E5124">
      <w:pPr>
        <w:spacing w:after="0" w:line="240" w:lineRule="auto"/>
        <w:jc w:val="center"/>
        <w:rPr>
          <w:rFonts w:ascii="Times New Roman" w:hAnsi="Times New Roman" w:cs="Times New Roman"/>
        </w:rPr>
      </w:pPr>
    </w:p>
    <w:p w:rsidR="007E5124" w:rsidRPr="00C769DC" w:rsidRDefault="007E5124" w:rsidP="007E5124">
      <w:pPr>
        <w:spacing w:after="0" w:line="240" w:lineRule="auto"/>
        <w:jc w:val="center"/>
        <w:rPr>
          <w:rFonts w:ascii="Times New Roman" w:hAnsi="Times New Roman" w:cs="Times New Roman"/>
        </w:rPr>
      </w:pPr>
      <w:r>
        <w:rPr>
          <w:rFonts w:ascii="Times New Roman" w:hAnsi="Times New Roman" w:cs="Times New Roman"/>
        </w:rPr>
        <w:t>Tutela Antecipada</w:t>
      </w:r>
      <w:r w:rsidRPr="00C769DC">
        <w:rPr>
          <w:rFonts w:ascii="Times New Roman" w:hAnsi="Times New Roman" w:cs="Times New Roman"/>
        </w:rPr>
        <w:t xml:space="preserve">. </w:t>
      </w:r>
      <w:r>
        <w:rPr>
          <w:rFonts w:ascii="Times New Roman" w:hAnsi="Times New Roman" w:cs="Times New Roman"/>
        </w:rPr>
        <w:t>Fazenda Pública</w:t>
      </w:r>
      <w:r w:rsidRPr="00C769DC">
        <w:rPr>
          <w:rFonts w:ascii="Times New Roman" w:hAnsi="Times New Roman" w:cs="Times New Roman"/>
        </w:rPr>
        <w:t xml:space="preserve">. </w:t>
      </w:r>
      <w:r>
        <w:rPr>
          <w:rFonts w:ascii="Times New Roman" w:hAnsi="Times New Roman" w:cs="Times New Roman"/>
        </w:rPr>
        <w:t>Poder Público</w:t>
      </w:r>
      <w:r w:rsidRPr="00C769DC">
        <w:rPr>
          <w:rFonts w:ascii="Times New Roman" w:hAnsi="Times New Roman" w:cs="Times New Roman"/>
        </w:rPr>
        <w:t>. Divergências.</w:t>
      </w:r>
    </w:p>
    <w:p w:rsidR="00C769DC" w:rsidRDefault="00C769DC" w:rsidP="009C7208">
      <w:pPr>
        <w:tabs>
          <w:tab w:val="left" w:pos="851"/>
        </w:tabs>
        <w:spacing w:after="0" w:line="360" w:lineRule="auto"/>
        <w:jc w:val="both"/>
        <w:rPr>
          <w:rFonts w:ascii="Times New Roman" w:hAnsi="Times New Roman" w:cs="Times New Roman"/>
          <w:b/>
          <w:sz w:val="24"/>
          <w:szCs w:val="24"/>
        </w:rPr>
      </w:pPr>
    </w:p>
    <w:p w:rsidR="000643AE" w:rsidRDefault="000643AE" w:rsidP="009C7208">
      <w:pPr>
        <w:tabs>
          <w:tab w:val="left" w:pos="851"/>
        </w:tabs>
        <w:spacing w:after="0" w:line="360" w:lineRule="auto"/>
        <w:jc w:val="both"/>
        <w:rPr>
          <w:rFonts w:ascii="Times New Roman" w:hAnsi="Times New Roman" w:cs="Times New Roman"/>
          <w:b/>
          <w:sz w:val="24"/>
          <w:szCs w:val="24"/>
        </w:rPr>
      </w:pPr>
    </w:p>
    <w:p w:rsidR="007E5124" w:rsidRDefault="007E5124" w:rsidP="009C7208">
      <w:pPr>
        <w:tabs>
          <w:tab w:val="left" w:pos="851"/>
        </w:tabs>
        <w:spacing w:after="0" w:line="360" w:lineRule="auto"/>
        <w:jc w:val="both"/>
        <w:rPr>
          <w:rFonts w:ascii="Times New Roman" w:hAnsi="Times New Roman" w:cs="Times New Roman"/>
          <w:b/>
          <w:sz w:val="24"/>
          <w:szCs w:val="24"/>
        </w:rPr>
      </w:pPr>
    </w:p>
    <w:p w:rsidR="007E5124" w:rsidRDefault="007E5124" w:rsidP="009C7208">
      <w:pPr>
        <w:tabs>
          <w:tab w:val="left" w:pos="851"/>
        </w:tabs>
        <w:spacing w:after="0" w:line="360" w:lineRule="auto"/>
        <w:jc w:val="both"/>
        <w:rPr>
          <w:rFonts w:ascii="Times New Roman" w:hAnsi="Times New Roman" w:cs="Times New Roman"/>
          <w:b/>
          <w:sz w:val="24"/>
          <w:szCs w:val="24"/>
        </w:rPr>
      </w:pPr>
    </w:p>
    <w:p w:rsidR="007E5124" w:rsidRDefault="007E5124" w:rsidP="009C7208">
      <w:pPr>
        <w:tabs>
          <w:tab w:val="left" w:pos="851"/>
        </w:tabs>
        <w:spacing w:after="0" w:line="360" w:lineRule="auto"/>
        <w:jc w:val="both"/>
        <w:rPr>
          <w:rFonts w:ascii="Times New Roman" w:hAnsi="Times New Roman" w:cs="Times New Roman"/>
          <w:b/>
          <w:sz w:val="24"/>
          <w:szCs w:val="24"/>
        </w:rPr>
      </w:pPr>
    </w:p>
    <w:p w:rsidR="000242CA" w:rsidRPr="009C7208" w:rsidRDefault="000242CA" w:rsidP="000242CA">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0242CA" w:rsidRDefault="000242CA" w:rsidP="000242CA">
      <w:pPr>
        <w:tabs>
          <w:tab w:val="left" w:pos="851"/>
        </w:tabs>
        <w:spacing w:after="0" w:line="360" w:lineRule="auto"/>
        <w:ind w:firstLine="709"/>
        <w:jc w:val="both"/>
        <w:rPr>
          <w:rFonts w:ascii="Times New Roman" w:hAnsi="Times New Roman" w:cs="Times New Roman"/>
          <w:sz w:val="24"/>
          <w:szCs w:val="24"/>
        </w:rPr>
      </w:pPr>
    </w:p>
    <w:p w:rsidR="000242CA" w:rsidRDefault="000242CA" w:rsidP="000242CA">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B7C96">
        <w:rPr>
          <w:rFonts w:ascii="Times New Roman" w:hAnsi="Times New Roman" w:cs="Times New Roman"/>
          <w:sz w:val="24"/>
          <w:szCs w:val="24"/>
        </w:rPr>
        <w:t xml:space="preserve">A busca do homem por satisfazer </w:t>
      </w:r>
      <w:r>
        <w:rPr>
          <w:rFonts w:ascii="Times New Roman" w:hAnsi="Times New Roman" w:cs="Times New Roman"/>
          <w:sz w:val="24"/>
          <w:szCs w:val="24"/>
        </w:rPr>
        <w:t xml:space="preserve">os </w:t>
      </w:r>
      <w:r w:rsidRPr="008B7C96">
        <w:rPr>
          <w:rFonts w:ascii="Times New Roman" w:hAnsi="Times New Roman" w:cs="Times New Roman"/>
          <w:sz w:val="24"/>
          <w:szCs w:val="24"/>
        </w:rPr>
        <w:t>seus desejos não é algo novo. Desde os p</w:t>
      </w:r>
      <w:r>
        <w:rPr>
          <w:rFonts w:ascii="Times New Roman" w:hAnsi="Times New Roman" w:cs="Times New Roman"/>
          <w:sz w:val="24"/>
          <w:szCs w:val="24"/>
        </w:rPr>
        <w:t xml:space="preserve">rimórdios o ser humano busca </w:t>
      </w:r>
      <w:r w:rsidRPr="008B7C96">
        <w:rPr>
          <w:rFonts w:ascii="Times New Roman" w:hAnsi="Times New Roman" w:cs="Times New Roman"/>
          <w:sz w:val="24"/>
          <w:szCs w:val="24"/>
        </w:rPr>
        <w:t>a efetivação de seus direitos, seja pela tutela antecipada, arbitragem ou, recentemente, pelo devido processo legal. De acordo com o inciso LIV do art. 5º da Constituição Federal, “ninguém será privado da liberdade ou de seus bens, sem o devido processo legal”. O processo é o meio pelo qual as partes buscam satisfazer seus direitos, entretanto, há muitas críticas acerca da efetividade desse processo, principalmente quando se d</w:t>
      </w:r>
      <w:r>
        <w:rPr>
          <w:rFonts w:ascii="Times New Roman" w:hAnsi="Times New Roman" w:cs="Times New Roman"/>
          <w:sz w:val="24"/>
          <w:szCs w:val="24"/>
        </w:rPr>
        <w:t>iz respeito ao tempo do mesmo</w:t>
      </w:r>
      <w:r w:rsidRPr="008B7C96">
        <w:rPr>
          <w:rFonts w:ascii="Times New Roman" w:hAnsi="Times New Roman" w:cs="Times New Roman"/>
          <w:sz w:val="24"/>
          <w:szCs w:val="24"/>
        </w:rPr>
        <w:t>.</w:t>
      </w:r>
      <w:r>
        <w:rPr>
          <w:rFonts w:ascii="Times New Roman" w:hAnsi="Times New Roman" w:cs="Times New Roman"/>
          <w:sz w:val="24"/>
          <w:szCs w:val="24"/>
        </w:rPr>
        <w:t xml:space="preserve"> </w:t>
      </w:r>
    </w:p>
    <w:p w:rsidR="000242CA" w:rsidRPr="00DC0FAE" w:rsidRDefault="000242CA" w:rsidP="000242CA">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B7C96">
        <w:rPr>
          <w:rFonts w:ascii="Times New Roman" w:hAnsi="Times New Roman" w:cs="Times New Roman"/>
          <w:sz w:val="24"/>
          <w:szCs w:val="24"/>
        </w:rPr>
        <w:t>Tendo em vista que os processos acabam por d</w:t>
      </w:r>
      <w:r>
        <w:rPr>
          <w:rFonts w:ascii="Times New Roman" w:hAnsi="Times New Roman" w:cs="Times New Roman"/>
          <w:sz w:val="24"/>
          <w:szCs w:val="24"/>
        </w:rPr>
        <w:t>emandar de um tempo muito longo</w:t>
      </w:r>
      <w:r w:rsidRPr="008B7C96">
        <w:rPr>
          <w:rFonts w:ascii="Times New Roman" w:hAnsi="Times New Roman" w:cs="Times New Roman"/>
          <w:sz w:val="24"/>
          <w:szCs w:val="24"/>
        </w:rPr>
        <w:t>, foi criada a tutela antecipada, que visa antecipar os efeitos da provável sen</w:t>
      </w:r>
      <w:r>
        <w:rPr>
          <w:rFonts w:ascii="Times New Roman" w:hAnsi="Times New Roman" w:cs="Times New Roman"/>
          <w:sz w:val="24"/>
          <w:szCs w:val="24"/>
        </w:rPr>
        <w:t>tença que será proferida mais adiante. Tal instituto será abordado neste trabalho com relação à obrigação de pagar quantia certa, tal tema encontra-se disposto no Art. 730, CPC e no Art. 100, CF.</w:t>
      </w:r>
    </w:p>
    <w:p w:rsidR="000242CA" w:rsidRPr="008B7C96" w:rsidRDefault="000242CA" w:rsidP="000242CA">
      <w:pPr>
        <w:tabs>
          <w:tab w:val="left" w:pos="851"/>
          <w:tab w:val="left" w:pos="226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B7C96">
        <w:rPr>
          <w:rFonts w:ascii="Times New Roman" w:hAnsi="Times New Roman" w:cs="Times New Roman"/>
          <w:sz w:val="24"/>
          <w:szCs w:val="24"/>
        </w:rPr>
        <w:t>Entretanto, o Código de Processo Civil determina que em algumas</w:t>
      </w:r>
      <w:r>
        <w:rPr>
          <w:rFonts w:ascii="Times New Roman" w:hAnsi="Times New Roman" w:cs="Times New Roman"/>
          <w:sz w:val="24"/>
          <w:szCs w:val="24"/>
        </w:rPr>
        <w:t xml:space="preserve"> hipóteses, a tutela antecipada </w:t>
      </w:r>
      <w:r w:rsidRPr="008B7C96">
        <w:rPr>
          <w:rFonts w:ascii="Times New Roman" w:hAnsi="Times New Roman" w:cs="Times New Roman"/>
          <w:sz w:val="24"/>
          <w:szCs w:val="24"/>
        </w:rPr>
        <w:t xml:space="preserve">não </w:t>
      </w:r>
      <w:r>
        <w:rPr>
          <w:rFonts w:ascii="Times New Roman" w:hAnsi="Times New Roman" w:cs="Times New Roman"/>
          <w:sz w:val="24"/>
          <w:szCs w:val="24"/>
        </w:rPr>
        <w:t>possa</w:t>
      </w:r>
      <w:r w:rsidRPr="008B7C96">
        <w:rPr>
          <w:rFonts w:ascii="Times New Roman" w:hAnsi="Times New Roman" w:cs="Times New Roman"/>
          <w:sz w:val="24"/>
          <w:szCs w:val="24"/>
        </w:rPr>
        <w:t xml:space="preserve"> ser proferida contra a Fazenda Pública. O artigo 5º da Constituição Federal diz que “todos são iguais perante a lei, sem distinção de qualquer natureza...” diante disso, não seria inconstitucional afi</w:t>
      </w:r>
      <w:r>
        <w:rPr>
          <w:rFonts w:ascii="Times New Roman" w:hAnsi="Times New Roman" w:cs="Times New Roman"/>
          <w:sz w:val="24"/>
          <w:szCs w:val="24"/>
        </w:rPr>
        <w:t>rmar que com relação aos</w:t>
      </w:r>
      <w:r w:rsidRPr="008B7C96">
        <w:rPr>
          <w:rFonts w:ascii="Times New Roman" w:hAnsi="Times New Roman" w:cs="Times New Roman"/>
          <w:sz w:val="24"/>
          <w:szCs w:val="24"/>
        </w:rPr>
        <w:t xml:space="preserve"> órgãos públicos a lei não pode s</w:t>
      </w:r>
      <w:r w:rsidR="007E5124">
        <w:rPr>
          <w:rFonts w:ascii="Times New Roman" w:hAnsi="Times New Roman" w:cs="Times New Roman"/>
          <w:sz w:val="24"/>
          <w:szCs w:val="24"/>
        </w:rPr>
        <w:t>er aplicada?</w:t>
      </w:r>
      <w:r w:rsidRPr="008B7C96">
        <w:rPr>
          <w:rFonts w:ascii="Times New Roman" w:hAnsi="Times New Roman" w:cs="Times New Roman"/>
          <w:sz w:val="24"/>
          <w:szCs w:val="24"/>
        </w:rPr>
        <w:t xml:space="preserve"> O art. 273 do Código</w:t>
      </w:r>
      <w:r>
        <w:rPr>
          <w:rFonts w:ascii="Times New Roman" w:hAnsi="Times New Roman" w:cs="Times New Roman"/>
          <w:sz w:val="24"/>
          <w:szCs w:val="24"/>
        </w:rPr>
        <w:t xml:space="preserve"> de Processo Ci</w:t>
      </w:r>
      <w:r w:rsidR="00C74B00">
        <w:rPr>
          <w:rFonts w:ascii="Times New Roman" w:hAnsi="Times New Roman" w:cs="Times New Roman"/>
          <w:sz w:val="24"/>
          <w:szCs w:val="24"/>
        </w:rPr>
        <w:t>vil afirma que “o juiz poderá, a</w:t>
      </w:r>
      <w:r w:rsidRPr="008B7C96">
        <w:rPr>
          <w:rFonts w:ascii="Times New Roman" w:hAnsi="Times New Roman" w:cs="Times New Roman"/>
          <w:sz w:val="24"/>
          <w:szCs w:val="24"/>
        </w:rPr>
        <w:t xml:space="preserve"> requerimento da parte, antecipar, total ou parcialmente, os efeitos da tutela pretendida no pedido inicial, desde que, existindo prova inequívoca, se convença a verossimilhança da alegação...” deve-se ressaltar a diferença entre tutela cautelar e tutela antecipada, já que a primeira não tem como finalidade adiantar o efeito final da sentença, mas sim garantir outra tutela jurisdicional a ser prestada em outro processo, aquilo que se quer é diferente do resultado final. </w:t>
      </w:r>
    </w:p>
    <w:p w:rsidR="000242CA" w:rsidRPr="00DC0FAE" w:rsidRDefault="000242CA" w:rsidP="000242CA">
      <w:pPr>
        <w:tabs>
          <w:tab w:val="left" w:pos="851"/>
          <w:tab w:val="left" w:pos="226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B7C96">
        <w:rPr>
          <w:rFonts w:ascii="Times New Roman" w:hAnsi="Times New Roman" w:cs="Times New Roman"/>
          <w:sz w:val="24"/>
          <w:szCs w:val="24"/>
        </w:rPr>
        <w:t xml:space="preserve">Quando se trata da aplicação da Tutela antecipada </w:t>
      </w:r>
      <w:r>
        <w:rPr>
          <w:rFonts w:ascii="Times New Roman" w:hAnsi="Times New Roman" w:cs="Times New Roman"/>
          <w:sz w:val="24"/>
          <w:szCs w:val="24"/>
        </w:rPr>
        <w:t xml:space="preserve">com relação à obrigação de pagar quantia certa </w:t>
      </w:r>
      <w:r w:rsidRPr="008B7C96">
        <w:rPr>
          <w:rFonts w:ascii="Times New Roman" w:hAnsi="Times New Roman" w:cs="Times New Roman"/>
          <w:sz w:val="24"/>
          <w:szCs w:val="24"/>
        </w:rPr>
        <w:t>contra a Fazenda Pública, o tema encontra-se em meio a algumas divergências. Um dos principais obstáculos encontrados está no art. 475 do CPC, de acordo com ele a Fazenda Pública está sujeita ao duplo grau de jurisdição, ou seja, não produz efeito senão depois de confirmada a sentença. Além de que, a tutela antecipada não seria compatível à regra do reexame necessário.</w:t>
      </w:r>
    </w:p>
    <w:p w:rsidR="000242CA" w:rsidRPr="00801306" w:rsidRDefault="000242CA" w:rsidP="000242CA">
      <w:pPr>
        <w:tabs>
          <w:tab w:val="left" w:pos="851"/>
          <w:tab w:val="left" w:pos="226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Com a criação da Lei 9.494/97 o ordenamento jurídico admitiu, em algumas hipóteses, a concessão da tutela antecipada na obrigação de pagar coisa certa em desfavor da Fazenda Pública.  Deve-se ressaltar que a medida provisória 1.570/ 97, que </w:t>
      </w:r>
      <w:r>
        <w:rPr>
          <w:rFonts w:ascii="Times New Roman" w:hAnsi="Times New Roman" w:cs="Times New Roman"/>
          <w:sz w:val="24"/>
          <w:szCs w:val="24"/>
        </w:rPr>
        <w:lastRenderedPageBreak/>
        <w:t xml:space="preserve">deu origem a Lei citada, teve sua eficácia suspensa pela Adin nº 975-3/DF por intermédio da atuação do Ministro Carlos Velloso. O que significa que o art. 475, para fins de limitação absoluta da tutela antecipada contra a Fazenda Pública, não é coerente. </w:t>
      </w:r>
    </w:p>
    <w:p w:rsidR="000242CA" w:rsidRDefault="000242CA" w:rsidP="000242CA">
      <w:pPr>
        <w:tabs>
          <w:tab w:val="left" w:pos="851"/>
          <w:tab w:val="left" w:pos="7050"/>
        </w:tabs>
        <w:spacing w:after="0" w:line="360" w:lineRule="auto"/>
        <w:jc w:val="both"/>
        <w:rPr>
          <w:rFonts w:ascii="Times New Roman" w:hAnsi="Times New Roman" w:cs="Times New Roman"/>
          <w:sz w:val="24"/>
          <w:szCs w:val="24"/>
        </w:rPr>
      </w:pPr>
      <w:r w:rsidRPr="00306FD8">
        <w:rPr>
          <w:rFonts w:ascii="Times New Roman" w:hAnsi="Times New Roman" w:cs="Times New Roman"/>
          <w:sz w:val="24"/>
          <w:szCs w:val="24"/>
        </w:rPr>
        <w:t xml:space="preserve"> </w:t>
      </w:r>
      <w:r>
        <w:rPr>
          <w:rFonts w:ascii="Times New Roman" w:hAnsi="Times New Roman" w:cs="Times New Roman"/>
          <w:sz w:val="24"/>
          <w:szCs w:val="24"/>
        </w:rPr>
        <w:tab/>
        <w:t xml:space="preserve">Visa-se, portanto, por meio deste trabalho explanar acerca da possibilidade da antecipação da tutela quanto à obrigação de pagar quantia certa contra a Fazenda Pública, explicando sucintamente o que vem a ser e de qual forma ocorrem os seguintes conteúdos dos subtemas: a antecipação da tutela, quais os seus requisitos e mecanismos para que a mesma ocorra; a Fazenda Pública, o que vem a ser </w:t>
      </w:r>
      <w:r w:rsidR="007E5124">
        <w:rPr>
          <w:rFonts w:ascii="Times New Roman" w:hAnsi="Times New Roman" w:cs="Times New Roman"/>
          <w:sz w:val="24"/>
          <w:szCs w:val="24"/>
        </w:rPr>
        <w:t xml:space="preserve">este órgão e qual </w:t>
      </w:r>
      <w:r>
        <w:rPr>
          <w:rFonts w:ascii="Times New Roman" w:hAnsi="Times New Roman" w:cs="Times New Roman"/>
          <w:sz w:val="24"/>
          <w:szCs w:val="24"/>
        </w:rPr>
        <w:t>sua função dentro do Poder Público; e a antecipação da tutela contra a Fazenda Pública. Negando dessa forma, a literal interpretação do texto disposto na Constituição Federal de 1988, onde é vedada a admissão de tutela contra o Poder Público.</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b/>
          <w:sz w:val="24"/>
          <w:szCs w:val="24"/>
        </w:rPr>
      </w:pPr>
      <w:proofErr w:type="gramStart"/>
      <w:r w:rsidRPr="00DB343E">
        <w:rPr>
          <w:rFonts w:ascii="Times New Roman" w:hAnsi="Times New Roman" w:cs="Times New Roman"/>
          <w:b/>
          <w:sz w:val="24"/>
          <w:szCs w:val="24"/>
        </w:rPr>
        <w:t>1</w:t>
      </w:r>
      <w:proofErr w:type="gramEnd"/>
      <w:r w:rsidRPr="00DB343E">
        <w:rPr>
          <w:rFonts w:ascii="Times New Roman" w:hAnsi="Times New Roman" w:cs="Times New Roman"/>
          <w:b/>
          <w:sz w:val="24"/>
          <w:szCs w:val="24"/>
        </w:rPr>
        <w:t xml:space="preserve"> </w:t>
      </w:r>
      <w:r w:rsidRPr="00DB343E">
        <w:rPr>
          <w:rFonts w:ascii="Times New Roman" w:eastAsia="Calibri" w:hAnsi="Times New Roman" w:cs="Times New Roman"/>
          <w:b/>
          <w:sz w:val="24"/>
          <w:szCs w:val="24"/>
        </w:rPr>
        <w:t xml:space="preserve">A </w:t>
      </w:r>
      <w:r w:rsidRPr="00DB343E">
        <w:rPr>
          <w:rFonts w:ascii="Times New Roman" w:hAnsi="Times New Roman" w:cs="Times New Roman"/>
          <w:b/>
          <w:sz w:val="24"/>
          <w:szCs w:val="24"/>
        </w:rPr>
        <w:t xml:space="preserve">tutela antecipada, suas considerações gerais e a fungibilidade entre a antecipação da tutela, </w:t>
      </w:r>
      <w:r>
        <w:rPr>
          <w:rFonts w:ascii="Times New Roman" w:hAnsi="Times New Roman" w:cs="Times New Roman"/>
          <w:b/>
          <w:sz w:val="24"/>
          <w:szCs w:val="24"/>
        </w:rPr>
        <w:t>tutela</w:t>
      </w:r>
      <w:r w:rsidRPr="00DB343E">
        <w:rPr>
          <w:rFonts w:ascii="Times New Roman" w:hAnsi="Times New Roman" w:cs="Times New Roman"/>
          <w:b/>
          <w:sz w:val="24"/>
          <w:szCs w:val="24"/>
        </w:rPr>
        <w:t xml:space="preserve"> cautelar e liminar</w:t>
      </w:r>
    </w:p>
    <w:p w:rsidR="000242CA" w:rsidRDefault="000242CA" w:rsidP="000242CA">
      <w:pPr>
        <w:tabs>
          <w:tab w:val="left" w:pos="851"/>
        </w:tabs>
        <w:spacing w:after="0" w:line="360" w:lineRule="auto"/>
        <w:jc w:val="both"/>
        <w:rPr>
          <w:rFonts w:ascii="Times New Roman" w:hAnsi="Times New Roman" w:cs="Times New Roman"/>
          <w:b/>
          <w:sz w:val="24"/>
          <w:szCs w:val="24"/>
        </w:rPr>
      </w:pPr>
    </w:p>
    <w:p w:rsidR="000242CA" w:rsidRPr="008B7C96" w:rsidRDefault="000242CA" w:rsidP="000242CA">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Faz-se aqui uma breve consideração geral acerca da tutela antecipada, com o intuito de compartilhar informações gerais acerca deste assunto para com o leitor. Conforme é sabido, os processos demandam de um tempo muito longo</w:t>
      </w:r>
      <w:r w:rsidRPr="008B7C96">
        <w:rPr>
          <w:rFonts w:ascii="Times New Roman" w:hAnsi="Times New Roman" w:cs="Times New Roman"/>
          <w:sz w:val="24"/>
          <w:szCs w:val="24"/>
        </w:rPr>
        <w:t xml:space="preserve">, </w:t>
      </w:r>
      <w:r>
        <w:rPr>
          <w:rFonts w:ascii="Times New Roman" w:hAnsi="Times New Roman" w:cs="Times New Roman"/>
          <w:sz w:val="24"/>
          <w:szCs w:val="24"/>
        </w:rPr>
        <w:t xml:space="preserve">e muitas vezes, em decorrência desse tempo de espera, as partes podem desistir do processo, o objeto litigado pode perder seu valor ou uma das partes pode ate vir a falecer, nos casos de ações com o objetivo de sanar alguma doença. Diante disso, </w:t>
      </w:r>
      <w:r w:rsidR="007E5124">
        <w:rPr>
          <w:rFonts w:ascii="Times New Roman" w:hAnsi="Times New Roman" w:cs="Times New Roman"/>
          <w:sz w:val="24"/>
          <w:szCs w:val="24"/>
        </w:rPr>
        <w:t>n</w:t>
      </w:r>
      <w:r>
        <w:rPr>
          <w:rFonts w:ascii="Times New Roman" w:hAnsi="Times New Roman" w:cs="Times New Roman"/>
          <w:sz w:val="24"/>
          <w:szCs w:val="24"/>
        </w:rPr>
        <w:t>ão há que se falar que a sentença será concedida aqui, mas os efeitos da provável sentença serão antecipados no ano de 1994 fora criada a tutela antecipada, que tem por objetivo antecipar os efeitos da provável sentença.</w:t>
      </w:r>
    </w:p>
    <w:p w:rsidR="000242CA" w:rsidRDefault="000242CA" w:rsidP="000242CA">
      <w:pPr>
        <w:tabs>
          <w:tab w:val="left" w:pos="2268"/>
          <w:tab w:val="left" w:pos="4536"/>
        </w:tabs>
        <w:spacing w:after="0" w:line="240" w:lineRule="auto"/>
        <w:ind w:left="4536"/>
        <w:jc w:val="both"/>
        <w:rPr>
          <w:rFonts w:ascii="Times New Roman" w:hAnsi="Times New Roman" w:cs="Times New Roman"/>
          <w:sz w:val="20"/>
          <w:szCs w:val="20"/>
        </w:rPr>
      </w:pPr>
    </w:p>
    <w:p w:rsidR="000242CA" w:rsidRDefault="000242CA" w:rsidP="000242CA">
      <w:pPr>
        <w:tabs>
          <w:tab w:val="left" w:pos="2268"/>
          <w:tab w:val="left" w:pos="4536"/>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Se a realidade da sociedade contemporânea muitas vezes não comporta a espera do tempo despendido para cognição exauriente da lide, em muitos casos o direito ao devido processo legal somente poderá se realizar através de uma tutela de cognição sumária. Quem tem direito à adequada tutela tem direito á tutela antecipatória fundada nos </w:t>
      </w:r>
      <w:proofErr w:type="spellStart"/>
      <w:r>
        <w:rPr>
          <w:rFonts w:ascii="Times New Roman" w:hAnsi="Times New Roman" w:cs="Times New Roman"/>
          <w:sz w:val="20"/>
          <w:szCs w:val="20"/>
        </w:rPr>
        <w:t>arts</w:t>
      </w:r>
      <w:proofErr w:type="spellEnd"/>
      <w:r>
        <w:rPr>
          <w:rFonts w:ascii="Times New Roman" w:hAnsi="Times New Roman" w:cs="Times New Roman"/>
          <w:sz w:val="20"/>
          <w:szCs w:val="20"/>
        </w:rPr>
        <w:t xml:space="preserve">. 273 e 461 do Código de Processo Civil e 84 do Código de Defesa do Consumidor, seja a tutela antecipatória fundada no art. 273, II, do Código de Processo Civil. É necessário observar que o legislador infraconstitucional, para atender ao princípio constitucional da efetividade, deve desenhar procedimentos racionais, ou seja, procedimentos que não permitam que o autor seja prejudicado </w:t>
      </w:r>
      <w:r>
        <w:rPr>
          <w:rFonts w:ascii="Times New Roman" w:hAnsi="Times New Roman" w:cs="Times New Roman"/>
          <w:sz w:val="20"/>
          <w:szCs w:val="20"/>
        </w:rPr>
        <w:lastRenderedPageBreak/>
        <w:t>pela</w:t>
      </w:r>
      <w:r w:rsidR="007E5124">
        <w:rPr>
          <w:rFonts w:ascii="Times New Roman" w:hAnsi="Times New Roman" w:cs="Times New Roman"/>
          <w:sz w:val="20"/>
          <w:szCs w:val="20"/>
        </w:rPr>
        <w:t xml:space="preserve"> demora do processo.” (</w:t>
      </w:r>
      <w:proofErr w:type="spellStart"/>
      <w:r w:rsidR="007E5124">
        <w:rPr>
          <w:rFonts w:ascii="Times New Roman" w:hAnsi="Times New Roman" w:cs="Times New Roman"/>
          <w:sz w:val="20"/>
          <w:szCs w:val="20"/>
        </w:rPr>
        <w:t>Marinoni</w:t>
      </w:r>
      <w:proofErr w:type="spellEnd"/>
      <w:r>
        <w:rPr>
          <w:rFonts w:ascii="Times New Roman" w:hAnsi="Times New Roman" w:cs="Times New Roman"/>
          <w:sz w:val="20"/>
          <w:szCs w:val="20"/>
        </w:rPr>
        <w:t>, 2009, p. 135).</w:t>
      </w:r>
    </w:p>
    <w:p w:rsidR="000242CA" w:rsidRDefault="000242CA" w:rsidP="000242CA">
      <w:pPr>
        <w:tabs>
          <w:tab w:val="left" w:pos="513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b/>
        </w:rPr>
        <w:tab/>
      </w:r>
      <w:r>
        <w:rPr>
          <w:color w:val="000000" w:themeColor="text1"/>
        </w:rPr>
        <w:t xml:space="preserve">A </w:t>
      </w:r>
      <w:r w:rsidRPr="00AB7E4E">
        <w:rPr>
          <w:bCs/>
          <w:color w:val="000000" w:themeColor="text1"/>
          <w:lang w:val="pt-PT"/>
        </w:rPr>
        <w:t>Tutela</w:t>
      </w:r>
      <w:r w:rsidRPr="00AB7E4E">
        <w:rPr>
          <w:b/>
          <w:bCs/>
          <w:color w:val="000000" w:themeColor="text1"/>
          <w:lang w:val="pt-PT"/>
        </w:rPr>
        <w:t xml:space="preserve"> </w:t>
      </w:r>
      <w:r w:rsidRPr="00AB7E4E">
        <w:rPr>
          <w:bCs/>
          <w:color w:val="000000" w:themeColor="text1"/>
          <w:lang w:val="pt-PT"/>
        </w:rPr>
        <w:t>antecipada</w:t>
      </w:r>
      <w:r>
        <w:rPr>
          <w:color w:val="000000" w:themeColor="text1"/>
          <w:lang w:val="pt-PT"/>
        </w:rPr>
        <w:t xml:space="preserve"> constitui-se como</w:t>
      </w:r>
      <w:r w:rsidRPr="00AB7E4E">
        <w:rPr>
          <w:color w:val="000000" w:themeColor="text1"/>
          <w:lang w:val="pt-PT"/>
        </w:rPr>
        <w:t xml:space="preserve"> o ato do </w:t>
      </w:r>
      <w:r w:rsidR="00462BD3" w:rsidRPr="00AB7E4E">
        <w:rPr>
          <w:color w:val="000000" w:themeColor="text1"/>
          <w:lang w:val="pt-PT"/>
        </w:rPr>
        <w:fldChar w:fldCharType="begin"/>
      </w:r>
      <w:r w:rsidRPr="00AB7E4E">
        <w:rPr>
          <w:color w:val="000000" w:themeColor="text1"/>
          <w:lang w:val="pt-PT"/>
        </w:rPr>
        <w:instrText xml:space="preserve"> HYPERLINK "http://pt.wikipedia.org/wiki/Juiz" \o "Juiz" </w:instrText>
      </w:r>
      <w:r w:rsidR="00462BD3" w:rsidRPr="00AB7E4E">
        <w:rPr>
          <w:color w:val="000000" w:themeColor="text1"/>
          <w:lang w:val="pt-PT"/>
        </w:rPr>
        <w:fldChar w:fldCharType="separate"/>
      </w:r>
      <w:r w:rsidRPr="00AB7E4E">
        <w:rPr>
          <w:rStyle w:val="Hyperlink"/>
          <w:color w:val="000000" w:themeColor="text1"/>
          <w:u w:val="none"/>
          <w:lang w:val="pt-PT"/>
        </w:rPr>
        <w:t>juiz</w:t>
      </w:r>
      <w:r w:rsidR="00462BD3" w:rsidRPr="00AB7E4E">
        <w:rPr>
          <w:color w:val="000000" w:themeColor="text1"/>
          <w:lang w:val="pt-PT"/>
        </w:rPr>
        <w:fldChar w:fldCharType="end"/>
      </w:r>
      <w:r>
        <w:rPr>
          <w:color w:val="000000" w:themeColor="text1"/>
          <w:lang w:val="pt-PT"/>
        </w:rPr>
        <w:t xml:space="preserve"> que mediante</w:t>
      </w:r>
      <w:r w:rsidRPr="00AB7E4E">
        <w:rPr>
          <w:color w:val="000000" w:themeColor="text1"/>
          <w:lang w:val="pt-PT"/>
        </w:rPr>
        <w:t xml:space="preserve"> </w:t>
      </w:r>
      <w:hyperlink r:id="rId7" w:tooltip="Decisão interlocutória" w:history="1">
        <w:r w:rsidRPr="00AB7E4E">
          <w:rPr>
            <w:rStyle w:val="Hyperlink"/>
            <w:color w:val="000000" w:themeColor="text1"/>
            <w:u w:val="none"/>
            <w:lang w:val="pt-PT"/>
          </w:rPr>
          <w:t>decisão interlocutória</w:t>
        </w:r>
      </w:hyperlink>
      <w:r w:rsidRPr="00AB7E4E">
        <w:rPr>
          <w:color w:val="000000" w:themeColor="text1"/>
          <w:lang w:val="pt-PT"/>
        </w:rPr>
        <w:t xml:space="preserve">, </w:t>
      </w:r>
      <w:r>
        <w:rPr>
          <w:color w:val="000000" w:themeColor="text1"/>
          <w:lang w:val="pt-PT"/>
        </w:rPr>
        <w:t>antecipa</w:t>
      </w:r>
      <w:r w:rsidRPr="00AB7E4E">
        <w:rPr>
          <w:color w:val="000000" w:themeColor="text1"/>
          <w:lang w:val="pt-PT"/>
        </w:rPr>
        <w:t xml:space="preserve"> ao postulante, </w:t>
      </w:r>
      <w:r>
        <w:rPr>
          <w:color w:val="000000" w:themeColor="text1"/>
          <w:lang w:val="pt-PT"/>
        </w:rPr>
        <w:t>de forma parcial ou total</w:t>
      </w:r>
      <w:r w:rsidRPr="00AB7E4E">
        <w:rPr>
          <w:color w:val="000000" w:themeColor="text1"/>
          <w:lang w:val="pt-PT"/>
        </w:rPr>
        <w:t xml:space="preserve">, os efeitos do </w:t>
      </w:r>
      <w:r w:rsidR="00462BD3" w:rsidRPr="00AB7E4E">
        <w:rPr>
          <w:color w:val="000000" w:themeColor="text1"/>
          <w:lang w:val="pt-PT"/>
        </w:rPr>
        <w:fldChar w:fldCharType="begin"/>
      </w:r>
      <w:r w:rsidRPr="00AB7E4E">
        <w:rPr>
          <w:color w:val="000000" w:themeColor="text1"/>
          <w:lang w:val="pt-PT"/>
        </w:rPr>
        <w:instrText xml:space="preserve"> HYPERLINK "http://pt.wikipedia.org/wiki/Julgamento" \o "Julgamento" </w:instrText>
      </w:r>
      <w:r w:rsidR="00462BD3" w:rsidRPr="00AB7E4E">
        <w:rPr>
          <w:color w:val="000000" w:themeColor="text1"/>
          <w:lang w:val="pt-PT"/>
        </w:rPr>
        <w:fldChar w:fldCharType="separate"/>
      </w:r>
      <w:r w:rsidRPr="00AB7E4E">
        <w:rPr>
          <w:rStyle w:val="Hyperlink"/>
          <w:color w:val="000000" w:themeColor="text1"/>
          <w:u w:val="none"/>
          <w:lang w:val="pt-PT"/>
        </w:rPr>
        <w:t>julgamento</w:t>
      </w:r>
      <w:r w:rsidR="00462BD3" w:rsidRPr="00AB7E4E">
        <w:rPr>
          <w:color w:val="000000" w:themeColor="text1"/>
          <w:lang w:val="pt-PT"/>
        </w:rPr>
        <w:fldChar w:fldCharType="end"/>
      </w:r>
      <w:r>
        <w:rPr>
          <w:color w:val="000000" w:themeColor="text1"/>
          <w:lang w:val="pt-PT"/>
        </w:rPr>
        <w:t xml:space="preserve"> de mérito, podendo dessa forma, vir a ser tanto em</w:t>
      </w:r>
      <w:r w:rsidRPr="00AB7E4E">
        <w:rPr>
          <w:color w:val="000000" w:themeColor="text1"/>
          <w:lang w:val="pt-PT"/>
        </w:rPr>
        <w:t xml:space="preserve"> </w:t>
      </w:r>
      <w:hyperlink r:id="rId8" w:tooltip="Primeira instância" w:history="1">
        <w:r w:rsidRPr="00561872">
          <w:rPr>
            <w:rStyle w:val="Hyperlink"/>
            <w:color w:val="000000" w:themeColor="text1"/>
            <w:u w:val="none"/>
            <w:lang w:val="pt-PT"/>
          </w:rPr>
          <w:t>primeira quanto em segunda instância</w:t>
        </w:r>
      </w:hyperlink>
      <w:r w:rsidRPr="00561872">
        <w:rPr>
          <w:color w:val="000000" w:themeColor="text1"/>
          <w:lang w:val="pt-PT"/>
        </w:rPr>
        <w:t xml:space="preserve">. Tal instituto encontra-se previsto no disposto no Art. 273 do </w:t>
      </w:r>
      <w:hyperlink r:id="rId9" w:tooltip="Código de Processo Civil" w:history="1">
        <w:r w:rsidRPr="00561872">
          <w:rPr>
            <w:rStyle w:val="Hyperlink"/>
            <w:color w:val="000000" w:themeColor="text1"/>
            <w:u w:val="none"/>
            <w:lang w:val="pt-PT"/>
          </w:rPr>
          <w:t>Código de Processo Civil</w:t>
        </w:r>
      </w:hyperlink>
      <w:r w:rsidRPr="00561872">
        <w:rPr>
          <w:color w:val="000000" w:themeColor="text1"/>
          <w:lang w:val="pt-PT"/>
        </w:rPr>
        <w:t xml:space="preserve"> (CPC) que autoriza ao juiz conceder ao autor – ou ainda ao réu, nas chamadas </w:t>
      </w:r>
      <w:r w:rsidR="00462BD3">
        <w:fldChar w:fldCharType="begin"/>
      </w:r>
      <w:r>
        <w:instrText>HYPERLINK "http://pt.wikipedia.org/w/index.php?title=A%C3%A7%C3%B5es_d%C3%BAplices&amp;action=edit&amp;redlink=1" \o "Ações dúplices (página não existe)"</w:instrText>
      </w:r>
      <w:r w:rsidR="00462BD3">
        <w:fldChar w:fldCharType="separate"/>
      </w:r>
      <w:r w:rsidRPr="00561872">
        <w:rPr>
          <w:rStyle w:val="Hyperlink"/>
          <w:color w:val="000000" w:themeColor="text1"/>
          <w:u w:val="none"/>
          <w:lang w:val="pt-PT"/>
        </w:rPr>
        <w:t>ações dúplices</w:t>
      </w:r>
      <w:r w:rsidR="00462BD3">
        <w:fldChar w:fldCharType="end"/>
      </w:r>
      <w:r w:rsidRPr="00561872">
        <w:rPr>
          <w:color w:val="000000" w:themeColor="text1"/>
          <w:lang w:val="pt-PT"/>
        </w:rPr>
        <w:t xml:space="preserve"> – um provimento que assegure a este o bem jurídico a que se refere a prestação do </w:t>
      </w:r>
      <w:r w:rsidR="00462BD3" w:rsidRPr="00561872">
        <w:rPr>
          <w:color w:val="000000" w:themeColor="text1"/>
          <w:lang w:val="pt-PT"/>
        </w:rPr>
        <w:fldChar w:fldCharType="begin"/>
      </w:r>
      <w:r w:rsidRPr="00561872">
        <w:rPr>
          <w:color w:val="000000" w:themeColor="text1"/>
          <w:lang w:val="pt-PT"/>
        </w:rPr>
        <w:instrText xml:space="preserve"> HYPERLINK "http://pt.wikipedia.org/wiki/Direito_material" \o "Direito material" </w:instrText>
      </w:r>
      <w:r w:rsidR="00462BD3" w:rsidRPr="00561872">
        <w:rPr>
          <w:color w:val="000000" w:themeColor="text1"/>
          <w:lang w:val="pt-PT"/>
        </w:rPr>
        <w:fldChar w:fldCharType="separate"/>
      </w:r>
      <w:r w:rsidRPr="00561872">
        <w:rPr>
          <w:rStyle w:val="Hyperlink"/>
          <w:color w:val="000000" w:themeColor="text1"/>
          <w:u w:val="none"/>
          <w:lang w:val="pt-PT"/>
        </w:rPr>
        <w:t>direito material</w:t>
      </w:r>
      <w:r w:rsidR="00462BD3" w:rsidRPr="00561872">
        <w:rPr>
          <w:color w:val="000000" w:themeColor="text1"/>
          <w:lang w:val="pt-PT"/>
        </w:rPr>
        <w:fldChar w:fldCharType="end"/>
      </w:r>
      <w:r w:rsidRPr="00561872">
        <w:rPr>
          <w:color w:val="000000" w:themeColor="text1"/>
          <w:lang w:val="pt-PT"/>
        </w:rPr>
        <w:t xml:space="preserve"> reclamada no </w:t>
      </w:r>
      <w:r w:rsidR="00462BD3" w:rsidRPr="00561872">
        <w:rPr>
          <w:color w:val="000000" w:themeColor="text1"/>
          <w:lang w:val="pt-PT"/>
        </w:rPr>
        <w:fldChar w:fldCharType="begin"/>
      </w:r>
      <w:r w:rsidRPr="00561872">
        <w:rPr>
          <w:color w:val="000000" w:themeColor="text1"/>
          <w:lang w:val="pt-PT"/>
        </w:rPr>
        <w:instrText xml:space="preserve"> HYPERLINK "http://pt.wikipedia.org/wiki/Lit%C3%ADgio" \o "Litígio" </w:instrText>
      </w:r>
      <w:r w:rsidR="00462BD3" w:rsidRPr="00561872">
        <w:rPr>
          <w:color w:val="000000" w:themeColor="text1"/>
          <w:lang w:val="pt-PT"/>
        </w:rPr>
        <w:fldChar w:fldCharType="separate"/>
      </w:r>
      <w:r w:rsidRPr="00561872">
        <w:rPr>
          <w:rStyle w:val="Hyperlink"/>
          <w:color w:val="000000" w:themeColor="text1"/>
          <w:u w:val="none"/>
          <w:lang w:val="pt-PT"/>
        </w:rPr>
        <w:t>litígio</w:t>
      </w:r>
      <w:r w:rsidR="00462BD3" w:rsidRPr="00561872">
        <w:rPr>
          <w:color w:val="000000" w:themeColor="text1"/>
          <w:lang w:val="pt-PT"/>
        </w:rPr>
        <w:fldChar w:fldCharType="end"/>
      </w:r>
      <w:r w:rsidRPr="00561872">
        <w:rPr>
          <w:color w:val="000000" w:themeColor="text1"/>
          <w:lang w:val="pt-PT"/>
        </w:rPr>
        <w:t xml:space="preserve"> de forma provisória</w:t>
      </w:r>
      <w:r>
        <w:rPr>
          <w:color w:val="000000" w:themeColor="text1"/>
          <w:lang w:val="pt-PT"/>
        </w:rPr>
        <w:t>.</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 xml:space="preserve">O Art. 273 do CPC </w:t>
      </w:r>
      <w:r w:rsidRPr="00CD25A1">
        <w:rPr>
          <w:color w:val="000000" w:themeColor="text1"/>
          <w:lang w:val="pt-PT"/>
        </w:rPr>
        <w:t>abarca os requisitos e as modalidades para a concessão da tutela antecipada: perigo de dano irreparável ou de difícil reparação (urgênia – inciso I); e verossimilhança</w:t>
      </w:r>
      <w:r>
        <w:rPr>
          <w:color w:val="000000" w:themeColor="text1"/>
          <w:lang w:val="pt-PT"/>
        </w:rPr>
        <w:t xml:space="preserve"> de prova inequívoca. Este primeiro requisito, urgência (inciso I), ocorre quando a parte não obtiver um pronunciamento que lhe entregue o bem da vida imediatamente, sofrendo dessa forma, prejuízos. Já, o segundo requisito, evidência (inciso II), ocorre em situações em que se caracterize o abuso do direito de defesa do réu ou ainda ocorra o caráter manifestamente protelatório, vem a ser aquilo elucidado por Roberto Marinoni de conceber à parte que tem razão uma tutela jurisdicional mais efetiva.</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Costuma-se confundir a tutela antecipada com a tutela de urgência, apesar de haver  possibilidade de a tutela antcipada ser concedida em situação de urgência, existem casos que fogem à essa regra, uma vez que a antecipação da tutela não possui como requisito necessário a urgência.</w:t>
      </w:r>
    </w:p>
    <w:p w:rsidR="000242CA" w:rsidRPr="00561872"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Complementando-se a questão da tutela antecipada há de se falar que alguns</w:t>
      </w:r>
      <w:r w:rsidRPr="00561872">
        <w:rPr>
          <w:color w:val="000000" w:themeColor="text1"/>
          <w:lang w:val="pt-PT"/>
        </w:rPr>
        <w:t xml:space="preserve"> a</w:t>
      </w:r>
      <w:r>
        <w:rPr>
          <w:color w:val="000000" w:themeColor="text1"/>
          <w:lang w:val="pt-PT"/>
        </w:rPr>
        <w:t>utores, entre estes,</w:t>
      </w:r>
      <w:r w:rsidRPr="00561872">
        <w:rPr>
          <w:color w:val="000000" w:themeColor="text1"/>
          <w:lang w:val="pt-PT"/>
        </w:rPr>
        <w:t xml:space="preserve"> </w:t>
      </w:r>
      <w:hyperlink r:id="rId10" w:tooltip="Jean Carlos Dias" w:history="1">
        <w:r w:rsidRPr="00561872">
          <w:rPr>
            <w:rStyle w:val="Hyperlink"/>
            <w:color w:val="000000" w:themeColor="text1"/>
            <w:u w:val="none"/>
            <w:lang w:val="pt-PT"/>
          </w:rPr>
          <w:t>Jean Carlos Dias</w:t>
        </w:r>
      </w:hyperlink>
      <w:r w:rsidRPr="00561872">
        <w:rPr>
          <w:color w:val="000000" w:themeColor="text1"/>
          <w:lang w:val="pt-PT"/>
        </w:rPr>
        <w:t xml:space="preserve"> e </w:t>
      </w:r>
      <w:hyperlink r:id="rId11" w:tooltip="Luiz Guilherme Marinoni" w:history="1">
        <w:r w:rsidRPr="00561872">
          <w:rPr>
            <w:rStyle w:val="Hyperlink"/>
            <w:color w:val="000000" w:themeColor="text1"/>
            <w:u w:val="none"/>
            <w:lang w:val="pt-PT"/>
          </w:rPr>
          <w:t>Luiz Guilherme Marinoni</w:t>
        </w:r>
      </w:hyperlink>
      <w:r w:rsidRPr="00561872">
        <w:rPr>
          <w:color w:val="000000" w:themeColor="text1"/>
          <w:lang w:val="pt-PT"/>
        </w:rPr>
        <w:t xml:space="preserve"> aprofundaram </w:t>
      </w:r>
      <w:r>
        <w:rPr>
          <w:color w:val="000000" w:themeColor="text1"/>
          <w:lang w:val="pt-PT"/>
        </w:rPr>
        <w:t>tais</w:t>
      </w:r>
      <w:r w:rsidRPr="00561872">
        <w:rPr>
          <w:color w:val="000000" w:themeColor="text1"/>
          <w:lang w:val="pt-PT"/>
        </w:rPr>
        <w:t xml:space="preserve"> </w:t>
      </w:r>
      <w:r>
        <w:rPr>
          <w:color w:val="000000" w:themeColor="text1"/>
          <w:lang w:val="pt-PT"/>
        </w:rPr>
        <w:t>perspectivas</w:t>
      </w:r>
      <w:r w:rsidRPr="00561872">
        <w:rPr>
          <w:color w:val="000000" w:themeColor="text1"/>
          <w:lang w:val="pt-PT"/>
        </w:rPr>
        <w:t xml:space="preserve"> demonstran</w:t>
      </w:r>
      <w:r>
        <w:rPr>
          <w:color w:val="000000" w:themeColor="text1"/>
          <w:lang w:val="pt-PT"/>
        </w:rPr>
        <w:t>do que a antecipação de tutela constitui-se como uma exigência do P</w:t>
      </w:r>
      <w:r w:rsidRPr="00561872">
        <w:rPr>
          <w:color w:val="000000" w:themeColor="text1"/>
          <w:lang w:val="pt-PT"/>
        </w:rPr>
        <w:t xml:space="preserve">rincípio da Jurisidição adequada, </w:t>
      </w:r>
      <w:r>
        <w:rPr>
          <w:color w:val="000000" w:themeColor="text1"/>
          <w:lang w:val="pt-PT"/>
        </w:rPr>
        <w:t>tais argumentos inferem-se sobretudo ao âmbito</w:t>
      </w:r>
      <w:r w:rsidRPr="00561872">
        <w:rPr>
          <w:color w:val="000000" w:themeColor="text1"/>
          <w:lang w:val="pt-PT"/>
        </w:rPr>
        <w:t xml:space="preserve"> </w:t>
      </w:r>
      <w:r>
        <w:rPr>
          <w:color w:val="000000" w:themeColor="text1"/>
          <w:lang w:val="pt-PT"/>
        </w:rPr>
        <w:t>d</w:t>
      </w:r>
      <w:r w:rsidRPr="00561872">
        <w:rPr>
          <w:color w:val="000000" w:themeColor="text1"/>
          <w:lang w:val="pt-PT"/>
        </w:rPr>
        <w:t>a tutela de direitos fundamentais.</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p>
    <w:p w:rsidR="000242CA" w:rsidRDefault="000242CA" w:rsidP="000242CA">
      <w:pPr>
        <w:pStyle w:val="NormalWeb"/>
        <w:numPr>
          <w:ilvl w:val="1"/>
          <w:numId w:val="1"/>
        </w:numPr>
        <w:tabs>
          <w:tab w:val="left" w:pos="851"/>
        </w:tabs>
        <w:spacing w:before="0" w:beforeAutospacing="0" w:after="0" w:afterAutospacing="0" w:line="360" w:lineRule="auto"/>
        <w:jc w:val="both"/>
        <w:rPr>
          <w:b/>
          <w:color w:val="000000" w:themeColor="text1"/>
          <w:lang w:val="pt-PT"/>
        </w:rPr>
      </w:pPr>
      <w:r>
        <w:rPr>
          <w:b/>
          <w:color w:val="000000" w:themeColor="text1"/>
          <w:lang w:val="pt-PT"/>
        </w:rPr>
        <w:t>Noções quanto a Tutela Cautelar</w:t>
      </w:r>
    </w:p>
    <w:p w:rsidR="000242CA" w:rsidRPr="00F90FC1" w:rsidRDefault="000242CA" w:rsidP="000242CA">
      <w:pPr>
        <w:pStyle w:val="NormalWeb"/>
        <w:tabs>
          <w:tab w:val="left" w:pos="851"/>
        </w:tabs>
        <w:spacing w:before="0" w:beforeAutospacing="0" w:after="0" w:afterAutospacing="0" w:line="360" w:lineRule="auto"/>
        <w:ind w:left="360"/>
        <w:jc w:val="both"/>
        <w:rPr>
          <w:b/>
          <w:color w:val="000000" w:themeColor="text1"/>
          <w:lang w:val="pt-PT"/>
        </w:rPr>
      </w:pP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Realizar-se-á uma breve diferenciação entre a antecipação da tutela e a cautelaridade, com o intuito de prevenir futuras confusões entre ambas, confusões estas bastante corriqueiras, devido à similaridade de suas nomenclaturas. A antecipação da tutela fora criada pelo legislador a partir da cautelaridade, d</w:t>
      </w:r>
      <w:r w:rsidRPr="00561872">
        <w:rPr>
          <w:color w:val="000000" w:themeColor="text1"/>
          <w:lang w:val="pt-PT"/>
        </w:rPr>
        <w:t>iferencia</w:t>
      </w:r>
      <w:r>
        <w:rPr>
          <w:color w:val="000000" w:themeColor="text1"/>
          <w:lang w:val="pt-PT"/>
        </w:rPr>
        <w:t>ndo</w:t>
      </w:r>
      <w:r w:rsidRPr="00561872">
        <w:rPr>
          <w:color w:val="000000" w:themeColor="text1"/>
          <w:lang w:val="pt-PT"/>
        </w:rPr>
        <w:t>-se d</w:t>
      </w:r>
      <w:r>
        <w:rPr>
          <w:color w:val="000000" w:themeColor="text1"/>
          <w:lang w:val="pt-PT"/>
        </w:rPr>
        <w:t xml:space="preserve">esta, pois </w:t>
      </w:r>
      <w:r>
        <w:rPr>
          <w:color w:val="000000" w:themeColor="text1"/>
          <w:lang w:val="pt-PT"/>
        </w:rPr>
        <w:lastRenderedPageBreak/>
        <w:t>esta última possui o intuito de assegurar outra tutela jurisdicional a ser postulada em outro processo,</w:t>
      </w:r>
      <w:r w:rsidRPr="00561872">
        <w:rPr>
          <w:color w:val="000000" w:themeColor="text1"/>
          <w:lang w:val="pt-PT"/>
        </w:rPr>
        <w:t xml:space="preserve"> </w:t>
      </w:r>
      <w:r>
        <w:rPr>
          <w:color w:val="000000" w:themeColor="text1"/>
          <w:lang w:val="pt-PT"/>
        </w:rPr>
        <w:t xml:space="preserve">vindo a ser dessa forma, um processo acessório, objetivando a obtenção de um resultado no plano do direito processual, com o intuito de assegurar o resultado de outro processo, concluindo-se assim que um processo garante o resultado útil de outro. </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 xml:space="preserve">A cautelaridade é completamente oposta à satisfatividade, uma vez que a tutela cautelar em hipótese alguma poderá ser satisfativa, já que, a cautelar objetiva a garantia de outra situação que virá a ser decidida em um outro processo. Existe um macete capaz de ajudar na distinção destes dois institutos: Caso aquilo que eu deseje antes, seja o mesmo que eu deseje ao final, há de se falar em tutela antecipada; caso aquilo que eu deseje antes não seja igual aquilo que eu deseje ao final, há de se falar em tutela cautelar. </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 xml:space="preserve">Os requisitos da tutela cautelar são: o fumus boni iuris (fumaça do bom direito) – aparência ou a probabilidade, plausibilidade da parte autora ter a razão – e o periculum in mora. Tais requisitos lembram os requisitos da tutela antecipada: verossimilhança de prova inequívoca e ao perigo de dano irreparável ou de difícil reparação (urgênia – inciso I). </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Contudo, existem diferenças entre os requisitos de ambos os institutos, por exemplo: a fumaça do bom direito, pressupõe que seja realizada uma análise branda por parte do juíz, a chamada cognição não exauriente – análise superficial – uma vez que, não há nos autos todos os elementos para a sua convicção, não estando portanto, o processo maduro para o julgamento, já a verossimilhança das alegações fundada em prova inequívoca, pressupõe também uma cognição não exauriente, contudo, mais profunda do que a da fumaça do bom direito.</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 xml:space="preserve">Infere-se então, que a diferença está na profundidade, quanto maior a profundidade, maior o grau de reflexão que o magistrado terá para conceber a tutela, concluindo-se dessa forma, que para conceber uma tutela que antecipe o direito da parte, o grau de profundidade é bem maior do que para conceber uma tutela que apenas o garanta, ou seja, a cognição para analisar a tutela cautelar é diferente da cognição para analisar a tutela antecipada. </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r>
    </w:p>
    <w:p w:rsidR="000242CA" w:rsidRPr="007E0CB7" w:rsidRDefault="000242CA" w:rsidP="000242CA">
      <w:pPr>
        <w:pStyle w:val="NormalWeb"/>
        <w:tabs>
          <w:tab w:val="left" w:pos="851"/>
        </w:tabs>
        <w:spacing w:before="0" w:beforeAutospacing="0" w:after="0" w:afterAutospacing="0" w:line="360" w:lineRule="auto"/>
        <w:jc w:val="both"/>
        <w:rPr>
          <w:b/>
          <w:color w:val="000000" w:themeColor="text1"/>
          <w:lang w:val="pt-PT"/>
        </w:rPr>
      </w:pPr>
      <w:r>
        <w:rPr>
          <w:b/>
          <w:color w:val="000000" w:themeColor="text1"/>
          <w:lang w:val="pt-PT"/>
        </w:rPr>
        <w:t>1.2 Noções quanto a Tutela Liminar</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p>
    <w:p w:rsidR="000242CA" w:rsidRDefault="000242CA" w:rsidP="000242CA">
      <w:pPr>
        <w:pStyle w:val="NormalWeb"/>
        <w:spacing w:before="0" w:beforeAutospacing="0" w:after="0" w:afterAutospacing="0" w:line="360" w:lineRule="auto"/>
        <w:jc w:val="both"/>
        <w:rPr>
          <w:color w:val="000000" w:themeColor="text1"/>
          <w:lang w:val="pt-PT"/>
        </w:rPr>
      </w:pPr>
      <w:r>
        <w:rPr>
          <w:lang w:val="pt-PT"/>
        </w:rPr>
        <w:lastRenderedPageBreak/>
        <w:tab/>
        <w:t xml:space="preserve">A tutela </w:t>
      </w:r>
      <w:r>
        <w:t>liminar constitui-se como um pronunciamento sem a citação do réu, sendo dessa forma, uma medida de precaução a ser tomada, não consistindo portanto, em um pedido principal do processo, e sim como um pedido que visa a garantia de algo, sendo assim</w:t>
      </w:r>
      <w:r w:rsidRPr="00787023">
        <w:rPr>
          <w:color w:val="000000" w:themeColor="text1"/>
          <w:lang w:val="pt-PT"/>
        </w:rPr>
        <w:t xml:space="preserve"> uma ordem judicial provisória. </w:t>
      </w:r>
      <w:r>
        <w:rPr>
          <w:color w:val="000000" w:themeColor="text1"/>
          <w:lang w:val="pt-PT"/>
        </w:rPr>
        <w:t>Tutela liminar portanto, são todas as decisões judiciais</w:t>
      </w:r>
      <w:r w:rsidRPr="00787023">
        <w:rPr>
          <w:color w:val="000000" w:themeColor="text1"/>
          <w:lang w:val="pt-PT"/>
        </w:rPr>
        <w:t xml:space="preserve"> tomada</w:t>
      </w:r>
      <w:r>
        <w:rPr>
          <w:color w:val="000000" w:themeColor="text1"/>
          <w:lang w:val="pt-PT"/>
        </w:rPr>
        <w:t>s</w:t>
      </w:r>
      <w:r w:rsidRPr="00787023">
        <w:rPr>
          <w:color w:val="000000" w:themeColor="text1"/>
          <w:lang w:val="pt-PT"/>
        </w:rPr>
        <w:t xml:space="preserve"> "in l</w:t>
      </w:r>
      <w:r>
        <w:rPr>
          <w:color w:val="000000" w:themeColor="text1"/>
          <w:lang w:val="pt-PT"/>
        </w:rPr>
        <w:t>imine litis", no início da lide, por</w:t>
      </w:r>
      <w:r w:rsidRPr="00787023">
        <w:rPr>
          <w:color w:val="000000" w:themeColor="text1"/>
          <w:lang w:val="pt-PT"/>
        </w:rPr>
        <w:t xml:space="preserve"> vezes a própria lei especial prevê expressamente </w:t>
      </w:r>
      <w:r>
        <w:rPr>
          <w:color w:val="000000" w:themeColor="text1"/>
          <w:lang w:val="pt-PT"/>
        </w:rPr>
        <w:t>tal</w:t>
      </w:r>
      <w:r w:rsidRPr="00787023">
        <w:rPr>
          <w:color w:val="000000" w:themeColor="text1"/>
          <w:lang w:val="pt-PT"/>
        </w:rPr>
        <w:t xml:space="preserve"> possibilidade.</w:t>
      </w:r>
      <w:r>
        <w:rPr>
          <w:color w:val="000000" w:themeColor="text1"/>
          <w:lang w:val="pt-PT"/>
        </w:rPr>
        <w:t xml:space="preserve"> </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t>Apenas a tutela antecipada de urgência pode ser concedida liminarmente, pois os dois outros tipos: tutela antecipada e tutela cautelar precisam da contestação do réu, que precisa da citação. Concebe-se no</w:t>
      </w:r>
      <w:r w:rsidRPr="00787023">
        <w:rPr>
          <w:color w:val="000000" w:themeColor="text1"/>
          <w:lang w:val="pt-PT"/>
        </w:rPr>
        <w:t xml:space="preserve"> </w:t>
      </w:r>
      <w:hyperlink r:id="rId12" w:tooltip="Direito" w:history="1">
        <w:r w:rsidRPr="00787023">
          <w:rPr>
            <w:rStyle w:val="Hyperlink"/>
            <w:color w:val="000000" w:themeColor="text1"/>
            <w:u w:val="none"/>
            <w:lang w:val="pt-PT"/>
          </w:rPr>
          <w:t>direito</w:t>
        </w:r>
      </w:hyperlink>
      <w:r w:rsidRPr="00787023">
        <w:rPr>
          <w:color w:val="000000" w:themeColor="text1"/>
          <w:lang w:val="pt-PT"/>
        </w:rPr>
        <w:t xml:space="preserve"> </w:t>
      </w:r>
      <w:hyperlink r:id="rId13" w:tooltip="Brasileiro" w:history="1">
        <w:r w:rsidRPr="00787023">
          <w:rPr>
            <w:rStyle w:val="Hyperlink"/>
            <w:color w:val="000000" w:themeColor="text1"/>
            <w:u w:val="none"/>
            <w:lang w:val="pt-PT"/>
          </w:rPr>
          <w:t>brasileiro</w:t>
        </w:r>
      </w:hyperlink>
      <w:r>
        <w:rPr>
          <w:color w:val="000000" w:themeColor="text1"/>
          <w:lang w:val="pt-PT"/>
        </w:rPr>
        <w:t>, a liminar como</w:t>
      </w:r>
      <w:r w:rsidRPr="00787023">
        <w:rPr>
          <w:color w:val="000000" w:themeColor="text1"/>
          <w:lang w:val="pt-PT"/>
        </w:rPr>
        <w:t xml:space="preserve"> gênero de </w:t>
      </w:r>
      <w:r w:rsidR="00462BD3" w:rsidRPr="00787023">
        <w:rPr>
          <w:color w:val="000000" w:themeColor="text1"/>
          <w:lang w:val="pt-PT"/>
        </w:rPr>
        <w:fldChar w:fldCharType="begin"/>
      </w:r>
      <w:r w:rsidRPr="00787023">
        <w:rPr>
          <w:color w:val="000000" w:themeColor="text1"/>
          <w:lang w:val="pt-PT"/>
        </w:rPr>
        <w:instrText xml:space="preserve"> HYPERLINK "http://pt.wikipedia.org/wiki/Tutela_de_urg%C3%AAncia" \o "Tutela de urgência" </w:instrText>
      </w:r>
      <w:r w:rsidR="00462BD3" w:rsidRPr="00787023">
        <w:rPr>
          <w:color w:val="000000" w:themeColor="text1"/>
          <w:lang w:val="pt-PT"/>
        </w:rPr>
        <w:fldChar w:fldCharType="separate"/>
      </w:r>
      <w:r w:rsidRPr="00787023">
        <w:rPr>
          <w:rStyle w:val="Hyperlink"/>
          <w:color w:val="000000" w:themeColor="text1"/>
          <w:u w:val="none"/>
          <w:lang w:val="pt-PT"/>
        </w:rPr>
        <w:t>tutela de urgência</w:t>
      </w:r>
      <w:r w:rsidR="00462BD3" w:rsidRPr="00787023">
        <w:rPr>
          <w:color w:val="000000" w:themeColor="text1"/>
          <w:lang w:val="pt-PT"/>
        </w:rPr>
        <w:fldChar w:fldCharType="end"/>
      </w:r>
      <w:r w:rsidRPr="00787023">
        <w:rPr>
          <w:color w:val="000000" w:themeColor="text1"/>
          <w:lang w:val="pt-PT"/>
        </w:rPr>
        <w:t xml:space="preserve">, da qual são espécies a </w:t>
      </w:r>
      <w:r w:rsidR="00462BD3" w:rsidRPr="00787023">
        <w:rPr>
          <w:color w:val="000000" w:themeColor="text1"/>
          <w:lang w:val="pt-PT"/>
        </w:rPr>
        <w:fldChar w:fldCharType="begin"/>
      </w:r>
      <w:r w:rsidRPr="00787023">
        <w:rPr>
          <w:color w:val="000000" w:themeColor="text1"/>
          <w:lang w:val="pt-PT"/>
        </w:rPr>
        <w:instrText xml:space="preserve"> HYPERLINK "http://pt.wikipedia.org/wiki/Tutela_antecipada" \o "Tutela antecipada" </w:instrText>
      </w:r>
      <w:r w:rsidR="00462BD3" w:rsidRPr="00787023">
        <w:rPr>
          <w:color w:val="000000" w:themeColor="text1"/>
          <w:lang w:val="pt-PT"/>
        </w:rPr>
        <w:fldChar w:fldCharType="separate"/>
      </w:r>
      <w:r w:rsidRPr="00787023">
        <w:rPr>
          <w:rStyle w:val="Hyperlink"/>
          <w:color w:val="000000" w:themeColor="text1"/>
          <w:u w:val="none"/>
          <w:lang w:val="pt-PT"/>
        </w:rPr>
        <w:t>tutela antecipada</w:t>
      </w:r>
      <w:r w:rsidR="00462BD3" w:rsidRPr="00787023">
        <w:rPr>
          <w:color w:val="000000" w:themeColor="text1"/>
          <w:lang w:val="pt-PT"/>
        </w:rPr>
        <w:fldChar w:fldCharType="end"/>
      </w:r>
      <w:r w:rsidRPr="00787023">
        <w:rPr>
          <w:color w:val="000000" w:themeColor="text1"/>
          <w:lang w:val="pt-PT"/>
        </w:rPr>
        <w:t xml:space="preserve"> e a tutela cautelar.</w:t>
      </w:r>
      <w:r>
        <w:rPr>
          <w:color w:val="000000" w:themeColor="text1"/>
          <w:lang w:val="pt-PT"/>
        </w:rPr>
        <w:t xml:space="preserve"> </w:t>
      </w:r>
    </w:p>
    <w:p w:rsidR="000242CA" w:rsidRDefault="000242CA" w:rsidP="000242CA">
      <w:pPr>
        <w:pStyle w:val="NormalWeb"/>
        <w:tabs>
          <w:tab w:val="left" w:pos="851"/>
        </w:tabs>
        <w:spacing w:before="0" w:beforeAutospacing="0" w:after="0" w:afterAutospacing="0" w:line="360" w:lineRule="auto"/>
        <w:jc w:val="both"/>
        <w:rPr>
          <w:color w:val="000000" w:themeColor="text1"/>
          <w:lang w:val="pt-PT"/>
        </w:rPr>
      </w:pPr>
    </w:p>
    <w:p w:rsidR="000242CA" w:rsidRDefault="000242CA" w:rsidP="000242CA">
      <w:pPr>
        <w:pStyle w:val="NormalWeb"/>
        <w:numPr>
          <w:ilvl w:val="0"/>
          <w:numId w:val="1"/>
        </w:numPr>
        <w:tabs>
          <w:tab w:val="left" w:pos="851"/>
        </w:tabs>
        <w:spacing w:before="0" w:beforeAutospacing="0" w:after="0" w:afterAutospacing="0" w:line="360" w:lineRule="auto"/>
        <w:jc w:val="both"/>
        <w:rPr>
          <w:b/>
          <w:color w:val="000000" w:themeColor="text1"/>
          <w:lang w:val="pt-PT"/>
        </w:rPr>
      </w:pPr>
      <w:r w:rsidRPr="00D017ED">
        <w:rPr>
          <w:b/>
          <w:color w:val="000000" w:themeColor="text1"/>
          <w:lang w:val="pt-PT"/>
        </w:rPr>
        <w:t xml:space="preserve">A Fazenda Pública e suas prerrogativas </w:t>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B4DBE">
        <w:rPr>
          <w:rFonts w:ascii="Times New Roman" w:hAnsi="Times New Roman" w:cs="Times New Roman"/>
          <w:sz w:val="24"/>
          <w:szCs w:val="24"/>
        </w:rPr>
        <w:t>A Fazenda Pública corresponde a um “conjunto de órgãos da ad</w:t>
      </w:r>
      <w:r w:rsidR="009535A4">
        <w:rPr>
          <w:rFonts w:ascii="Times New Roman" w:hAnsi="Times New Roman" w:cs="Times New Roman"/>
          <w:sz w:val="24"/>
          <w:szCs w:val="24"/>
        </w:rPr>
        <w:t>ministração pública destinados à</w:t>
      </w:r>
      <w:r w:rsidRPr="003B4DBE">
        <w:rPr>
          <w:rFonts w:ascii="Times New Roman" w:hAnsi="Times New Roman" w:cs="Times New Roman"/>
          <w:sz w:val="24"/>
          <w:szCs w:val="24"/>
        </w:rPr>
        <w:t xml:space="preserve"> arrecadaç</w:t>
      </w:r>
      <w:r w:rsidR="009535A4">
        <w:rPr>
          <w:rFonts w:ascii="Times New Roman" w:hAnsi="Times New Roman" w:cs="Times New Roman"/>
          <w:sz w:val="24"/>
          <w:szCs w:val="24"/>
        </w:rPr>
        <w:t>ão e à</w:t>
      </w:r>
      <w:r w:rsidRPr="003B4DBE">
        <w:rPr>
          <w:rFonts w:ascii="Times New Roman" w:hAnsi="Times New Roman" w:cs="Times New Roman"/>
          <w:sz w:val="24"/>
          <w:szCs w:val="24"/>
        </w:rPr>
        <w:t xml:space="preserve"> fis</w:t>
      </w:r>
      <w:r w:rsidR="009535A4">
        <w:rPr>
          <w:rFonts w:ascii="Times New Roman" w:hAnsi="Times New Roman" w:cs="Times New Roman"/>
          <w:sz w:val="24"/>
          <w:szCs w:val="24"/>
        </w:rPr>
        <w:t>calização de tributos bem como à</w:t>
      </w:r>
      <w:r w:rsidRPr="003B4DBE">
        <w:rPr>
          <w:rFonts w:ascii="Times New Roman" w:hAnsi="Times New Roman" w:cs="Times New Roman"/>
          <w:sz w:val="24"/>
          <w:szCs w:val="24"/>
        </w:rPr>
        <w:t xml:space="preserve"> guarda dos recursos financeiros e títulos representativos de a</w:t>
      </w:r>
      <w:r w:rsidR="00D2010E">
        <w:rPr>
          <w:rFonts w:ascii="Times New Roman" w:hAnsi="Times New Roman" w:cs="Times New Roman"/>
          <w:sz w:val="24"/>
          <w:szCs w:val="24"/>
        </w:rPr>
        <w:t>tivo e de direitos do Estado” (</w:t>
      </w:r>
      <w:r w:rsidRPr="003B4DBE">
        <w:rPr>
          <w:rFonts w:ascii="Times New Roman" w:hAnsi="Times New Roman" w:cs="Times New Roman"/>
          <w:sz w:val="24"/>
          <w:szCs w:val="24"/>
        </w:rPr>
        <w:t>Site da Câmara dos Deputados). Ou seja, a Fazenda Pública é constituída por todas as entidades de direito público interno, a União, os Estados, Municípios e o Distrito Federal, e suas respectivas autarquias e fundações de direito público. Ela pode ser tanto credora, com base na Lei 6.830/80, como devedora, regulada pelos artigos 730 e 731 do Código de Processo Civil. “A expressão Fazenda Pública é utilizada para designar as pessoas jurídicas de direito público que figurem em ações judicia</w:t>
      </w:r>
      <w:r w:rsidR="00D2010E">
        <w:rPr>
          <w:rFonts w:ascii="Times New Roman" w:hAnsi="Times New Roman" w:cs="Times New Roman"/>
          <w:sz w:val="24"/>
          <w:szCs w:val="24"/>
        </w:rPr>
        <w:t>i</w:t>
      </w:r>
      <w:r w:rsidRPr="003B4DBE">
        <w:rPr>
          <w:rFonts w:ascii="Times New Roman" w:hAnsi="Times New Roman" w:cs="Times New Roman"/>
          <w:sz w:val="24"/>
          <w:szCs w:val="24"/>
        </w:rPr>
        <w:t>s, mesmo que a demanda não verse sobre matéria estritamente fiscal ou financeira” (CUNHA, 2077, p.15).</w:t>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p>
    <w:p w:rsidR="000242CA" w:rsidRPr="000242CA" w:rsidRDefault="000242CA" w:rsidP="000242CA">
      <w:pPr>
        <w:tabs>
          <w:tab w:val="left" w:pos="851"/>
        </w:tabs>
        <w:spacing w:after="0" w:line="240" w:lineRule="auto"/>
        <w:ind w:left="4536"/>
        <w:jc w:val="both"/>
        <w:rPr>
          <w:rFonts w:ascii="Times New Roman" w:hAnsi="Times New Roman" w:cs="Times New Roman"/>
          <w:sz w:val="20"/>
          <w:szCs w:val="20"/>
        </w:rPr>
      </w:pPr>
      <w:r w:rsidRPr="000242CA">
        <w:rPr>
          <w:rFonts w:ascii="Times New Roman" w:hAnsi="Times New Roman" w:cs="Times New Roman"/>
          <w:sz w:val="20"/>
          <w:szCs w:val="20"/>
        </w:rPr>
        <w:t xml:space="preserve">A organização da Administração Pública, no Brasil, segue as linhas tracejadas pelo Decreto-lei nº 200/67, de cujos dispositivos se extrai a divisão da administração em direta e indireta. </w:t>
      </w:r>
      <w:proofErr w:type="gramStart"/>
      <w:r w:rsidRPr="000242CA">
        <w:rPr>
          <w:rFonts w:ascii="Times New Roman" w:hAnsi="Times New Roman" w:cs="Times New Roman"/>
          <w:sz w:val="20"/>
          <w:szCs w:val="20"/>
        </w:rPr>
        <w:t>Integram</w:t>
      </w:r>
      <w:proofErr w:type="gramEnd"/>
      <w:r w:rsidRPr="000242CA">
        <w:rPr>
          <w:rFonts w:ascii="Times New Roman" w:hAnsi="Times New Roman" w:cs="Times New Roman"/>
          <w:sz w:val="20"/>
          <w:szCs w:val="20"/>
        </w:rPr>
        <w:t xml:space="preserve"> a Administração direta os órgãos componentes dos entes federativos, a </w:t>
      </w:r>
      <w:r w:rsidR="009535A4">
        <w:rPr>
          <w:rFonts w:ascii="Times New Roman" w:hAnsi="Times New Roman" w:cs="Times New Roman"/>
          <w:sz w:val="20"/>
          <w:szCs w:val="20"/>
        </w:rPr>
        <w:t>saber</w:t>
      </w:r>
      <w:r w:rsidRPr="000242CA">
        <w:rPr>
          <w:rFonts w:ascii="Times New Roman" w:hAnsi="Times New Roman" w:cs="Times New Roman"/>
          <w:sz w:val="20"/>
          <w:szCs w:val="20"/>
        </w:rPr>
        <w:t xml:space="preserve">: a União, os Estados, o Distrito Federal e os Municípios. A par de tais pessoas jurídicas e dos órgãos que as integram, permite-se o surgimento de outras entidades administrativas, que compõem a Administração indireta: são as autarquias, as Fundações públicas, as empresas públicas e as sociedades de economia mista. Estas </w:t>
      </w:r>
      <w:proofErr w:type="gramStart"/>
      <w:r w:rsidRPr="000242CA">
        <w:rPr>
          <w:rFonts w:ascii="Times New Roman" w:hAnsi="Times New Roman" w:cs="Times New Roman"/>
          <w:sz w:val="20"/>
          <w:szCs w:val="20"/>
        </w:rPr>
        <w:t>2</w:t>
      </w:r>
      <w:proofErr w:type="gramEnd"/>
      <w:r w:rsidRPr="000242CA">
        <w:rPr>
          <w:rFonts w:ascii="Times New Roman" w:hAnsi="Times New Roman" w:cs="Times New Roman"/>
          <w:sz w:val="20"/>
          <w:szCs w:val="20"/>
        </w:rPr>
        <w:t xml:space="preserve"> (duas) </w:t>
      </w:r>
      <w:proofErr w:type="spellStart"/>
      <w:r w:rsidRPr="000242CA">
        <w:rPr>
          <w:rFonts w:ascii="Times New Roman" w:hAnsi="Times New Roman" w:cs="Times New Roman"/>
          <w:sz w:val="20"/>
          <w:szCs w:val="20"/>
        </w:rPr>
        <w:t>ultimas-empresas</w:t>
      </w:r>
      <w:proofErr w:type="spellEnd"/>
      <w:r w:rsidRPr="000242CA">
        <w:rPr>
          <w:rFonts w:ascii="Times New Roman" w:hAnsi="Times New Roman" w:cs="Times New Roman"/>
          <w:sz w:val="20"/>
          <w:szCs w:val="20"/>
        </w:rPr>
        <w:t xml:space="preserve"> públicas e as sociedades de economia Mista, revestem-se de natureza de pessoas jurídicas de direito privado não integrando o conceito de Fazenda Publica. Já </w:t>
      </w:r>
      <w:r w:rsidRPr="000242CA">
        <w:rPr>
          <w:rFonts w:ascii="Times New Roman" w:hAnsi="Times New Roman" w:cs="Times New Roman"/>
          <w:sz w:val="20"/>
          <w:szCs w:val="20"/>
        </w:rPr>
        <w:lastRenderedPageBreak/>
        <w:t>a autarquia constitui uma pessoa jurídica de direito público, com personalidade jurídica própria e atribuições específicas da Administração Pública. (CUNHA, 2007, p 16)</w:t>
      </w:r>
    </w:p>
    <w:p w:rsidR="000242CA" w:rsidRPr="003B4DBE" w:rsidRDefault="000242CA" w:rsidP="000242CA">
      <w:pPr>
        <w:tabs>
          <w:tab w:val="left" w:pos="77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B4DBE">
        <w:rPr>
          <w:rFonts w:ascii="Times New Roman" w:hAnsi="Times New Roman" w:cs="Times New Roman"/>
          <w:sz w:val="24"/>
          <w:szCs w:val="24"/>
        </w:rPr>
        <w:t>Quando se fala em ação contra a Fazenda Pública, a mesma deve obedecer, como todo mundo, o devido processo legal. Entretanto, por possuir um car</w:t>
      </w:r>
      <w:r>
        <w:rPr>
          <w:rFonts w:ascii="Times New Roman" w:hAnsi="Times New Roman" w:cs="Times New Roman"/>
          <w:sz w:val="24"/>
          <w:szCs w:val="24"/>
        </w:rPr>
        <w:t xml:space="preserve">áter público, ela </w:t>
      </w:r>
      <w:r w:rsidRPr="003B4DBE">
        <w:rPr>
          <w:rFonts w:ascii="Times New Roman" w:hAnsi="Times New Roman" w:cs="Times New Roman"/>
          <w:sz w:val="24"/>
          <w:szCs w:val="24"/>
        </w:rPr>
        <w:t>goza de algumas prerrogativas. Quando um processo é instaurado,</w:t>
      </w:r>
      <w:r>
        <w:rPr>
          <w:rFonts w:ascii="Times New Roman" w:hAnsi="Times New Roman" w:cs="Times New Roman"/>
          <w:sz w:val="24"/>
          <w:szCs w:val="24"/>
        </w:rPr>
        <w:t xml:space="preserve"> ou seja,</w:t>
      </w:r>
      <w:r w:rsidRPr="003B4DBE">
        <w:rPr>
          <w:rFonts w:ascii="Times New Roman" w:hAnsi="Times New Roman" w:cs="Times New Roman"/>
          <w:sz w:val="24"/>
          <w:szCs w:val="24"/>
        </w:rPr>
        <w:t xml:space="preserve"> quando u</w:t>
      </w:r>
      <w:r w:rsidR="009535A4">
        <w:rPr>
          <w:rFonts w:ascii="Times New Roman" w:hAnsi="Times New Roman" w:cs="Times New Roman"/>
          <w:sz w:val="24"/>
          <w:szCs w:val="24"/>
        </w:rPr>
        <w:t>ma das partes (autor) aciona o j</w:t>
      </w:r>
      <w:r w:rsidRPr="003B4DBE">
        <w:rPr>
          <w:rFonts w:ascii="Times New Roman" w:hAnsi="Times New Roman" w:cs="Times New Roman"/>
          <w:sz w:val="24"/>
          <w:szCs w:val="24"/>
        </w:rPr>
        <w:t xml:space="preserve">udiciário, é preciso que haja a comunicação processual, essa si dá pela citação do réu, para que o mesmo fique ciente do processo. Essa citação pode ser entregue por carta, mandato, edital, diário oficial ou ate mesmo pela internet, sendo que o prazo para a contestação é de 15 dias. Entretanto, quando se trata da Fazenda Pública, segundo exposto no art. 188 do CPC, esse prazo de contestação é quadruplicado, ou seja, ela terá 60 dias para contestar, além de duplicar o prazo para recorrer. </w:t>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p>
    <w:p w:rsidR="000242CA" w:rsidRPr="003B4DBE" w:rsidRDefault="000242CA" w:rsidP="000242CA">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A Fazenda Pública desfruta da prerrogativa prevista no art. 188 do CPC não somente quando atua como parte, mas também quando comparece em juízo como assistente de uma das partes (...). O que importa para a aplicação do dispositivo, é que a Fazenda Pública conteste ou recorra, seja na condição de parte, de interveniente, de terceiros ou de assistente. (CUNHA, 2007, P. 41)</w:t>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B4DBE">
        <w:rPr>
          <w:rFonts w:ascii="Times New Roman" w:hAnsi="Times New Roman" w:cs="Times New Roman"/>
          <w:sz w:val="24"/>
          <w:szCs w:val="24"/>
        </w:rPr>
        <w:t xml:space="preserve"> Ainda com relação aos prazos, sabe-se que há dois tipos, os prazos próprios, são aqueles que quando não cumpridos corretamente, ocasionam a preclusão, e os impróprios, que não admitem a preclusão. Com relação à Fazenda Pública, ela dispõe de prazos próprios, ou seja, caso os prazos não sejam cumpridos devidamente, acarr</w:t>
      </w:r>
      <w:r w:rsidR="009535A4">
        <w:rPr>
          <w:rFonts w:ascii="Times New Roman" w:hAnsi="Times New Roman" w:cs="Times New Roman"/>
          <w:sz w:val="24"/>
          <w:szCs w:val="24"/>
        </w:rPr>
        <w:t>etará na preclusão, que é a perd</w:t>
      </w:r>
      <w:r w:rsidRPr="003B4DBE">
        <w:rPr>
          <w:rFonts w:ascii="Times New Roman" w:hAnsi="Times New Roman" w:cs="Times New Roman"/>
          <w:sz w:val="24"/>
          <w:szCs w:val="24"/>
        </w:rPr>
        <w:t>a de uma determinada faculdade processual. Deve-se ressaltar que nesse caso a citação deverá ser feita pessoalmente na figura do representante legal. Em se tratando da União, a citação far-se-á na pessoa do Advogado</w:t>
      </w:r>
      <w:r w:rsidR="009535A4">
        <w:rPr>
          <w:rFonts w:ascii="Times New Roman" w:hAnsi="Times New Roman" w:cs="Times New Roman"/>
          <w:sz w:val="24"/>
          <w:szCs w:val="24"/>
        </w:rPr>
        <w:t>-</w:t>
      </w:r>
      <w:r w:rsidRPr="003B4DBE">
        <w:rPr>
          <w:rFonts w:ascii="Times New Roman" w:hAnsi="Times New Roman" w:cs="Times New Roman"/>
          <w:sz w:val="24"/>
          <w:szCs w:val="24"/>
        </w:rPr>
        <w:t>Geral da União, cabendo ao Procurador</w:t>
      </w:r>
      <w:r w:rsidR="009535A4">
        <w:rPr>
          <w:rFonts w:ascii="Times New Roman" w:hAnsi="Times New Roman" w:cs="Times New Roman"/>
          <w:sz w:val="24"/>
          <w:szCs w:val="24"/>
        </w:rPr>
        <w:t>-Geral da União representá</w:t>
      </w:r>
      <w:r w:rsidRPr="003B4DBE">
        <w:rPr>
          <w:rFonts w:ascii="Times New Roman" w:hAnsi="Times New Roman" w:cs="Times New Roman"/>
          <w:sz w:val="24"/>
          <w:szCs w:val="24"/>
        </w:rPr>
        <w:t>-la perante os Tribunais superiores. “Enfim, a União será representada judicialmente pela Procuradoria da Fazenda Nacional se a causa ostentar natureza tributária ou fiscal, ou se tratar de execução fiscal. Nos outros tipos de demanda</w:t>
      </w:r>
      <w:r w:rsidR="00D2010E">
        <w:rPr>
          <w:rFonts w:ascii="Times New Roman" w:hAnsi="Times New Roman" w:cs="Times New Roman"/>
          <w:sz w:val="24"/>
          <w:szCs w:val="24"/>
        </w:rPr>
        <w:t>, sua representação é confiada à</w:t>
      </w:r>
      <w:r w:rsidRPr="003B4DBE">
        <w:rPr>
          <w:rFonts w:ascii="Times New Roman" w:hAnsi="Times New Roman" w:cs="Times New Roman"/>
          <w:sz w:val="24"/>
          <w:szCs w:val="24"/>
        </w:rPr>
        <w:t xml:space="preserve"> Advocacia-Geral da União”. (CUNHA, 2007, p 23). Quando se trata dos </w:t>
      </w:r>
      <w:r w:rsidR="00D2010E">
        <w:rPr>
          <w:rFonts w:ascii="Times New Roman" w:hAnsi="Times New Roman" w:cs="Times New Roman"/>
          <w:sz w:val="24"/>
          <w:szCs w:val="24"/>
        </w:rPr>
        <w:t>Estados</w:t>
      </w:r>
      <w:r w:rsidRPr="003B4DBE">
        <w:rPr>
          <w:rFonts w:ascii="Times New Roman" w:hAnsi="Times New Roman" w:cs="Times New Roman"/>
          <w:sz w:val="24"/>
          <w:szCs w:val="24"/>
        </w:rPr>
        <w:t xml:space="preserve">, a citação far-se-á na pessoa dos Procuradores do Estado, e os Municípios, de acordo com o artigo </w:t>
      </w:r>
      <w:proofErr w:type="gramStart"/>
      <w:r w:rsidRPr="003B4DBE">
        <w:rPr>
          <w:rFonts w:ascii="Times New Roman" w:hAnsi="Times New Roman" w:cs="Times New Roman"/>
          <w:sz w:val="24"/>
          <w:szCs w:val="24"/>
        </w:rPr>
        <w:t>2</w:t>
      </w:r>
      <w:proofErr w:type="gramEnd"/>
      <w:r w:rsidRPr="003B4DBE">
        <w:rPr>
          <w:rFonts w:ascii="Times New Roman" w:hAnsi="Times New Roman" w:cs="Times New Roman"/>
          <w:sz w:val="24"/>
          <w:szCs w:val="24"/>
        </w:rPr>
        <w:t xml:space="preserve">, II, do CPC, podem ser representados tanto pelo procurador como pelo prefeito. “Em princípio a </w:t>
      </w:r>
      <w:r w:rsidRPr="003B4DBE">
        <w:rPr>
          <w:rFonts w:ascii="Times New Roman" w:hAnsi="Times New Roman" w:cs="Times New Roman"/>
          <w:sz w:val="24"/>
          <w:szCs w:val="24"/>
        </w:rPr>
        <w:lastRenderedPageBreak/>
        <w:t>representação do Município em juízo é atribuída ao prefeito. Tal representação somente se fará por procurador se a lei local criar esse cargo, com função expressa ou representação do ente público”. (CUNHA, 2007, p 26)</w:t>
      </w: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B4DBE">
        <w:rPr>
          <w:rFonts w:ascii="Times New Roman" w:hAnsi="Times New Roman" w:cs="Times New Roman"/>
          <w:sz w:val="24"/>
          <w:szCs w:val="24"/>
        </w:rPr>
        <w:t xml:space="preserve">O Distrito Federal por sua vez, será representado por sua Procuradoria-Geral e as autarquias e fundações públicas terá sua representação conforme prescrita na lei que a criou. Diante disso, percebe-se que, em se tratando de Fazenda Pública, há tratamento diferenciado. Esse tratamento decorre do fato do mesmo representar os interesses públicos. </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Pr="005F4F10" w:rsidRDefault="000242CA" w:rsidP="00AA62CB">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Quando a Fazenda Pública estiver em juízo, ela está defendendo o erário. Na realidade, aquele conjunto de receita</w:t>
      </w:r>
      <w:r w:rsidR="00BF406B">
        <w:rPr>
          <w:rFonts w:ascii="Times New Roman" w:hAnsi="Times New Roman" w:cs="Times New Roman"/>
          <w:sz w:val="20"/>
          <w:szCs w:val="20"/>
        </w:rPr>
        <w:t>s públicas que pode fazer face à</w:t>
      </w:r>
      <w:r>
        <w:rPr>
          <w:rFonts w:ascii="Times New Roman" w:hAnsi="Times New Roman" w:cs="Times New Roman"/>
          <w:sz w:val="20"/>
          <w:szCs w:val="20"/>
        </w:rPr>
        <w:t xml:space="preserve">s despesas, não é de responsabilidade, na sua formação, do governante do momento. É toda a sociedade que contribui para isso. (...) ora, no momento em que a Fazenda Pública é condenada, sofre um revés, contesta uma ação ou recorre, em ultima análise, é o erário. É exatamente essa massa de recurso que foi arrecadada e que evidentemente supera, aí sim, o interesse particular. Na verdade a autonomia pública é meramente administrativa.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MORAES, 200, p.69 </w:t>
      </w:r>
      <w:r w:rsidRPr="005F4F10">
        <w:rPr>
          <w:rFonts w:ascii="Times New Roman" w:hAnsi="Times New Roman" w:cs="Times New Roman"/>
          <w:i/>
          <w:sz w:val="20"/>
          <w:szCs w:val="20"/>
        </w:rPr>
        <w:t>apud</w:t>
      </w:r>
      <w:r>
        <w:rPr>
          <w:rFonts w:ascii="Times New Roman" w:hAnsi="Times New Roman" w:cs="Times New Roman"/>
          <w:i/>
          <w:sz w:val="20"/>
          <w:szCs w:val="20"/>
        </w:rPr>
        <w:t xml:space="preserve"> </w:t>
      </w:r>
      <w:r>
        <w:rPr>
          <w:rFonts w:ascii="Times New Roman" w:hAnsi="Times New Roman" w:cs="Times New Roman"/>
          <w:sz w:val="20"/>
          <w:szCs w:val="20"/>
        </w:rPr>
        <w:t>CUNHA 2007, p. 34)</w:t>
      </w:r>
    </w:p>
    <w:p w:rsidR="000242CA" w:rsidRPr="005F4F10" w:rsidRDefault="000242CA" w:rsidP="00AA62CB">
      <w:pPr>
        <w:tabs>
          <w:tab w:val="left" w:pos="851"/>
        </w:tabs>
        <w:spacing w:after="0" w:line="360" w:lineRule="auto"/>
        <w:jc w:val="both"/>
        <w:rPr>
          <w:rFonts w:ascii="Times New Roman" w:hAnsi="Times New Roman" w:cs="Times New Roman"/>
          <w:sz w:val="20"/>
          <w:szCs w:val="20"/>
        </w:rPr>
      </w:pPr>
      <w:r w:rsidRPr="005F4F10">
        <w:rPr>
          <w:rFonts w:ascii="Times New Roman" w:hAnsi="Times New Roman" w:cs="Times New Roman"/>
          <w:sz w:val="20"/>
          <w:szCs w:val="20"/>
        </w:rPr>
        <w:tab/>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r w:rsidRPr="003B4DBE">
        <w:rPr>
          <w:rFonts w:ascii="Times New Roman" w:hAnsi="Times New Roman" w:cs="Times New Roman"/>
          <w:sz w:val="24"/>
          <w:szCs w:val="24"/>
        </w:rPr>
        <w:tab/>
        <w:t>Com isso</w:t>
      </w:r>
      <w:r>
        <w:rPr>
          <w:rFonts w:ascii="Times New Roman" w:hAnsi="Times New Roman" w:cs="Times New Roman"/>
          <w:sz w:val="24"/>
          <w:szCs w:val="24"/>
        </w:rPr>
        <w:t>,</w:t>
      </w:r>
      <w:r w:rsidRPr="003B4DBE">
        <w:rPr>
          <w:rFonts w:ascii="Times New Roman" w:hAnsi="Times New Roman" w:cs="Times New Roman"/>
          <w:sz w:val="24"/>
          <w:szCs w:val="24"/>
        </w:rPr>
        <w:t xml:space="preserve"> tem-se que a Fazenda Pública </w:t>
      </w:r>
      <w:r w:rsidR="009535A4" w:rsidRPr="003B4DBE">
        <w:rPr>
          <w:rFonts w:ascii="Times New Roman" w:hAnsi="Times New Roman" w:cs="Times New Roman"/>
          <w:sz w:val="24"/>
          <w:szCs w:val="24"/>
        </w:rPr>
        <w:t>desfruta</w:t>
      </w:r>
      <w:r w:rsidRPr="003B4DBE">
        <w:rPr>
          <w:rFonts w:ascii="Times New Roman" w:hAnsi="Times New Roman" w:cs="Times New Roman"/>
          <w:sz w:val="24"/>
          <w:szCs w:val="24"/>
        </w:rPr>
        <w:t xml:space="preserve"> d</w:t>
      </w:r>
      <w:r>
        <w:rPr>
          <w:rFonts w:ascii="Times New Roman" w:hAnsi="Times New Roman" w:cs="Times New Roman"/>
          <w:sz w:val="24"/>
          <w:szCs w:val="24"/>
        </w:rPr>
        <w:t>e um tratamento especial. Logo,</w:t>
      </w:r>
      <w:r w:rsidRPr="003B4DBE">
        <w:rPr>
          <w:rFonts w:ascii="Times New Roman" w:hAnsi="Times New Roman" w:cs="Times New Roman"/>
          <w:sz w:val="24"/>
          <w:szCs w:val="24"/>
        </w:rPr>
        <w:t xml:space="preserve"> questiona-se se esse “tratamento especial” faz com que não seja possível a aplicação da tutela antecipada com relação á obrigação de dar quantia certa.</w:t>
      </w:r>
    </w:p>
    <w:p w:rsidR="000242CA" w:rsidRPr="003B4DBE" w:rsidRDefault="000242CA" w:rsidP="000242CA">
      <w:pPr>
        <w:tabs>
          <w:tab w:val="left" w:pos="851"/>
        </w:tabs>
        <w:spacing w:after="0" w:line="360" w:lineRule="auto"/>
        <w:jc w:val="both"/>
        <w:rPr>
          <w:rFonts w:ascii="Times New Roman" w:hAnsi="Times New Roman" w:cs="Times New Roman"/>
          <w:sz w:val="24"/>
          <w:szCs w:val="24"/>
        </w:rPr>
      </w:pPr>
    </w:p>
    <w:p w:rsidR="000242CA" w:rsidRPr="00F97488" w:rsidRDefault="000242CA" w:rsidP="000242CA">
      <w:pPr>
        <w:pStyle w:val="PargrafodaLista"/>
        <w:numPr>
          <w:ilvl w:val="0"/>
          <w:numId w:val="1"/>
        </w:numPr>
        <w:tabs>
          <w:tab w:val="left" w:pos="851"/>
        </w:tabs>
        <w:spacing w:after="0" w:line="360" w:lineRule="auto"/>
        <w:jc w:val="both"/>
        <w:rPr>
          <w:rFonts w:ascii="Times New Roman" w:hAnsi="Times New Roman" w:cs="Times New Roman"/>
          <w:b/>
          <w:sz w:val="24"/>
          <w:szCs w:val="24"/>
        </w:rPr>
      </w:pPr>
      <w:r w:rsidRPr="00F97488">
        <w:rPr>
          <w:rFonts w:ascii="Times New Roman" w:hAnsi="Times New Roman" w:cs="Times New Roman"/>
          <w:b/>
          <w:sz w:val="24"/>
          <w:szCs w:val="24"/>
        </w:rPr>
        <w:t>A possibilidade de tutela antecipada em face da Fazenda Pública na obrigação de dar quantia certa.</w:t>
      </w:r>
    </w:p>
    <w:p w:rsidR="000242CA" w:rsidRDefault="000242CA" w:rsidP="00AA62CB">
      <w:pPr>
        <w:pStyle w:val="PargrafodaLista"/>
        <w:tabs>
          <w:tab w:val="left" w:pos="851"/>
        </w:tabs>
        <w:spacing w:after="0" w:line="360" w:lineRule="auto"/>
        <w:ind w:left="0"/>
        <w:jc w:val="both"/>
        <w:rPr>
          <w:rFonts w:ascii="Times New Roman" w:hAnsi="Times New Roman" w:cs="Times New Roman"/>
          <w:sz w:val="24"/>
          <w:szCs w:val="24"/>
        </w:rPr>
      </w:pPr>
    </w:p>
    <w:p w:rsidR="000242CA" w:rsidRPr="00AA62CB" w:rsidRDefault="00AA62CB" w:rsidP="00AA62CB">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42CA" w:rsidRPr="00AA62CB">
        <w:rPr>
          <w:rFonts w:ascii="Times New Roman" w:hAnsi="Times New Roman" w:cs="Times New Roman"/>
          <w:sz w:val="24"/>
          <w:szCs w:val="24"/>
        </w:rPr>
        <w:t>É certo que um dos principais problemas a</w:t>
      </w:r>
      <w:r w:rsidR="009535A4">
        <w:rPr>
          <w:rFonts w:ascii="Times New Roman" w:hAnsi="Times New Roman" w:cs="Times New Roman"/>
          <w:sz w:val="24"/>
          <w:szCs w:val="24"/>
        </w:rPr>
        <w:t>cerca do devido processo legal vem a ser</w:t>
      </w:r>
      <w:r w:rsidR="000242CA" w:rsidRPr="00AA62CB">
        <w:rPr>
          <w:rFonts w:ascii="Times New Roman" w:hAnsi="Times New Roman" w:cs="Times New Roman"/>
          <w:sz w:val="24"/>
          <w:szCs w:val="24"/>
        </w:rPr>
        <w:t xml:space="preserve"> a questão do tempo, de saber como fazer pra que os processos não demandem de tanto tempo e espera. Diante disso, criou-se a tutela antecipada, que visa antecipar os efeitos da possível sentença. Deve-se ressaltar que tal tutela não visa antecipar a sentença em si, mas apenas seus efeitos.</w:t>
      </w:r>
    </w:p>
    <w:p w:rsidR="000242CA" w:rsidRPr="00AA62CB" w:rsidRDefault="00AA62CB" w:rsidP="00AA62CB">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42CA" w:rsidRPr="00AA62CB">
        <w:rPr>
          <w:rFonts w:ascii="Times New Roman" w:hAnsi="Times New Roman" w:cs="Times New Roman"/>
          <w:sz w:val="24"/>
          <w:szCs w:val="24"/>
        </w:rPr>
        <w:t>A antecipação da tutela é comum em casos privados, porém, quando se trata de pessoas jurídicas de direito público ainda há muitas divergências quan</w:t>
      </w:r>
      <w:r w:rsidR="008970E3">
        <w:rPr>
          <w:rFonts w:ascii="Times New Roman" w:hAnsi="Times New Roman" w:cs="Times New Roman"/>
          <w:sz w:val="24"/>
          <w:szCs w:val="24"/>
        </w:rPr>
        <w:t>t</w:t>
      </w:r>
      <w:r w:rsidR="000242CA" w:rsidRPr="00AA62CB">
        <w:rPr>
          <w:rFonts w:ascii="Times New Roman" w:hAnsi="Times New Roman" w:cs="Times New Roman"/>
          <w:sz w:val="24"/>
          <w:szCs w:val="24"/>
        </w:rPr>
        <w:t xml:space="preserve">o a essa possibilidade. Segundo o artigo 273 do Código de Processo Civil “o juiz poderá, a requerimento da parte, antecipar, total ou parcialmente, os efeitos da tutela pretendida </w:t>
      </w:r>
      <w:r w:rsidR="000242CA" w:rsidRPr="00AA62CB">
        <w:rPr>
          <w:rFonts w:ascii="Times New Roman" w:hAnsi="Times New Roman" w:cs="Times New Roman"/>
          <w:sz w:val="24"/>
          <w:szCs w:val="24"/>
        </w:rPr>
        <w:lastRenderedPageBreak/>
        <w:t>no pedido inicial, desde que, existindo prova inequívoca, se convença da verossimilhança...”. Com isso, tem-se qu</w:t>
      </w:r>
      <w:r w:rsidR="008970E3">
        <w:rPr>
          <w:rFonts w:ascii="Times New Roman" w:hAnsi="Times New Roman" w:cs="Times New Roman"/>
          <w:sz w:val="24"/>
          <w:szCs w:val="24"/>
        </w:rPr>
        <w:t>e todos os processos, que obedeça</w:t>
      </w:r>
      <w:r w:rsidR="000242CA" w:rsidRPr="00AA62CB">
        <w:rPr>
          <w:rFonts w:ascii="Times New Roman" w:hAnsi="Times New Roman" w:cs="Times New Roman"/>
          <w:sz w:val="24"/>
          <w:szCs w:val="24"/>
        </w:rPr>
        <w:t>m aos requisitos do artigo supracitado, poderão requerer a antecipação dos efeitos da sentença. Entretanto, um dos principais fundamentos para que não haja possibilidade de tal ação esta no artigo 475 do CPC, que</w:t>
      </w:r>
      <w:r w:rsidRPr="00AA62CB">
        <w:rPr>
          <w:rFonts w:ascii="Times New Roman" w:hAnsi="Times New Roman" w:cs="Times New Roman"/>
          <w:sz w:val="24"/>
          <w:szCs w:val="24"/>
        </w:rPr>
        <w:t xml:space="preserve"> afirma que a Fazenda Pública “</w:t>
      </w:r>
      <w:r w:rsidR="000242CA" w:rsidRPr="00AA62CB">
        <w:rPr>
          <w:rFonts w:ascii="Times New Roman" w:hAnsi="Times New Roman" w:cs="Times New Roman"/>
          <w:sz w:val="24"/>
          <w:szCs w:val="24"/>
        </w:rPr>
        <w:t xml:space="preserve">está sujeita ao duplo grau de jurisdição, não produzindo efeito senão depois de confirmada pelo tribunal, a sentença”. De acordo com tal artigo, seria impossível a antecipação dos efeitos antes da sentença transitada em julgado. </w:t>
      </w:r>
    </w:p>
    <w:p w:rsidR="000242CA" w:rsidRDefault="000242CA" w:rsidP="00AA62CB">
      <w:pPr>
        <w:pStyle w:val="PargrafodaLista"/>
        <w:tabs>
          <w:tab w:val="left" w:pos="851"/>
        </w:tabs>
        <w:spacing w:after="0" w:line="360" w:lineRule="auto"/>
        <w:ind w:left="357"/>
        <w:jc w:val="both"/>
        <w:rPr>
          <w:rFonts w:ascii="Times New Roman" w:hAnsi="Times New Roman" w:cs="Times New Roman"/>
          <w:sz w:val="24"/>
          <w:szCs w:val="24"/>
        </w:rPr>
      </w:pPr>
    </w:p>
    <w:p w:rsidR="000242CA" w:rsidRDefault="000242CA" w:rsidP="00AA62CB">
      <w:pPr>
        <w:pStyle w:val="PargrafodaLista"/>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Antonio </w:t>
      </w:r>
      <w:proofErr w:type="spellStart"/>
      <w:r>
        <w:rPr>
          <w:rFonts w:ascii="Times New Roman" w:hAnsi="Times New Roman" w:cs="Times New Roman"/>
          <w:sz w:val="20"/>
          <w:szCs w:val="20"/>
        </w:rPr>
        <w:t>Raphael</w:t>
      </w:r>
      <w:proofErr w:type="spellEnd"/>
      <w:r>
        <w:rPr>
          <w:rFonts w:ascii="Times New Roman" w:hAnsi="Times New Roman" w:cs="Times New Roman"/>
          <w:sz w:val="20"/>
          <w:szCs w:val="20"/>
        </w:rPr>
        <w:t xml:space="preserve"> Silva Salvador esclarece o tema sobre a impossibilidade de concessão de tutela antecipada contra a Fazenda Pública, ao fazer uma analogia entre a sentença definitiva e o julgamento provisório, observando que, se nem a sentença do mérito está sujeita a produzir os seus efeitos de imediato, quem dirá um julgamento antecipado possível de revogação pelo Tribunal, pois, conforme art. 475, do CPC todas as decisões que forem improcedentes, de forma total ou parcial, contra a Fazenda Pública, estarão sujeitos ao duplo grau de jurisdição obrigatório. Ainda mais quando se tratar de obrigação de pagar quantia certa. (JURISWAY)</w:t>
      </w:r>
    </w:p>
    <w:p w:rsidR="000242CA" w:rsidRDefault="000242CA" w:rsidP="000242CA">
      <w:pPr>
        <w:tabs>
          <w:tab w:val="left" w:pos="851"/>
        </w:tabs>
        <w:spacing w:after="0" w:line="360" w:lineRule="auto"/>
        <w:jc w:val="both"/>
        <w:rPr>
          <w:rFonts w:ascii="Times New Roman" w:hAnsi="Times New Roman" w:cs="Times New Roman"/>
          <w:sz w:val="20"/>
          <w:szCs w:val="20"/>
        </w:rPr>
      </w:pP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Para que haja a possibilidade de uma antecipação da tutela nas obrigações de dar quantia cer</w:t>
      </w:r>
      <w:r w:rsidR="008970E3">
        <w:rPr>
          <w:rFonts w:ascii="Times New Roman" w:hAnsi="Times New Roman" w:cs="Times New Roman"/>
          <w:sz w:val="24"/>
          <w:szCs w:val="24"/>
        </w:rPr>
        <w:t>ta, faz-se necessária</w:t>
      </w:r>
      <w:r>
        <w:rPr>
          <w:rFonts w:ascii="Times New Roman" w:hAnsi="Times New Roman" w:cs="Times New Roman"/>
          <w:sz w:val="24"/>
          <w:szCs w:val="24"/>
        </w:rPr>
        <w:t xml:space="preserve"> a presença do precatório. O art. 730 do CPC e o art. 100 da Constituição Federal deixam bem claro que na execução por quantia certa o pagamento deverá ser feito na ordem de apresentação do precatório e para que haja a expedição do precatório é preciso que a sentença que condenou a Fazenda Pública com base na obrigação de pagar quantia certa,</w:t>
      </w:r>
      <w:r w:rsidR="008970E3">
        <w:rPr>
          <w:rFonts w:ascii="Times New Roman" w:hAnsi="Times New Roman" w:cs="Times New Roman"/>
          <w:sz w:val="24"/>
          <w:szCs w:val="24"/>
        </w:rPr>
        <w:t xml:space="preserve"> já esteja transitada em julgado</w:t>
      </w:r>
      <w:r>
        <w:rPr>
          <w:rFonts w:ascii="Times New Roman" w:hAnsi="Times New Roman" w:cs="Times New Roman"/>
          <w:sz w:val="24"/>
          <w:szCs w:val="24"/>
        </w:rPr>
        <w:t xml:space="preserve">, ou seja, diante disso não haveria como antecipar os possíveis efeitos antes da real sentença. Entretanto,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(2004, p.</w:t>
      </w:r>
      <w:r w:rsidR="008970E3">
        <w:rPr>
          <w:rFonts w:ascii="Times New Roman" w:hAnsi="Times New Roman" w:cs="Times New Roman"/>
          <w:sz w:val="24"/>
          <w:szCs w:val="24"/>
        </w:rPr>
        <w:t xml:space="preserve"> </w:t>
      </w:r>
      <w:r>
        <w:rPr>
          <w:rFonts w:ascii="Times New Roman" w:hAnsi="Times New Roman" w:cs="Times New Roman"/>
          <w:sz w:val="24"/>
          <w:szCs w:val="24"/>
        </w:rPr>
        <w:t xml:space="preserve">320) diz não ser absolutamente indispensável </w:t>
      </w:r>
      <w:r w:rsidR="008970E3">
        <w:rPr>
          <w:rFonts w:ascii="Times New Roman" w:hAnsi="Times New Roman" w:cs="Times New Roman"/>
          <w:sz w:val="24"/>
          <w:szCs w:val="24"/>
        </w:rPr>
        <w:t>à</w:t>
      </w:r>
      <w:r>
        <w:rPr>
          <w:rFonts w:ascii="Times New Roman" w:hAnsi="Times New Roman" w:cs="Times New Roman"/>
          <w:sz w:val="24"/>
          <w:szCs w:val="24"/>
        </w:rPr>
        <w:t xml:space="preserve"> presença do precatório para que haja possibilidade da antecipação da tutela, quando esta se tratar de verbas de caráter alimentício.</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Pr="00AA62CB" w:rsidRDefault="000242CA" w:rsidP="000242CA">
      <w:pPr>
        <w:tabs>
          <w:tab w:val="left" w:pos="851"/>
        </w:tabs>
        <w:spacing w:after="0" w:line="240" w:lineRule="auto"/>
        <w:ind w:left="4536"/>
        <w:jc w:val="both"/>
        <w:rPr>
          <w:rFonts w:ascii="Times New Roman" w:hAnsi="Times New Roman" w:cs="Times New Roman"/>
          <w:sz w:val="20"/>
          <w:szCs w:val="20"/>
        </w:rPr>
      </w:pPr>
      <w:r w:rsidRPr="00AA62CB">
        <w:rPr>
          <w:rFonts w:ascii="Times New Roman" w:hAnsi="Times New Roman" w:cs="Times New Roman"/>
          <w:sz w:val="20"/>
          <w:szCs w:val="20"/>
        </w:rPr>
        <w:t>Portanto, para conciliar o art. 100, § 3º, e o art. 5º, XXXV – que estabelece o direito fundamental à tutela jurisdicional efetiva – da CF é preciso entender que o precatório deve ser dispensado diante de obrigação – de qualquer natureza – definida na lei como de pequeno valor, mas que diante da tutela antecipatória sua dispensa deve ocorrer quando o próprio juiz tiver critérios c</w:t>
      </w:r>
      <w:r w:rsidR="008970E3">
        <w:rPr>
          <w:rFonts w:ascii="Times New Roman" w:hAnsi="Times New Roman" w:cs="Times New Roman"/>
          <w:sz w:val="20"/>
          <w:szCs w:val="20"/>
        </w:rPr>
        <w:t>apazes de demonstrar que o exequ</w:t>
      </w:r>
      <w:r w:rsidRPr="00AA62CB">
        <w:rPr>
          <w:rFonts w:ascii="Times New Roman" w:hAnsi="Times New Roman" w:cs="Times New Roman"/>
          <w:sz w:val="20"/>
          <w:szCs w:val="20"/>
        </w:rPr>
        <w:t xml:space="preserve">ente </w:t>
      </w:r>
      <w:r w:rsidRPr="00AA62CB">
        <w:rPr>
          <w:rFonts w:ascii="Times New Roman" w:hAnsi="Times New Roman" w:cs="Times New Roman"/>
          <w:sz w:val="20"/>
          <w:szCs w:val="20"/>
        </w:rPr>
        <w:lastRenderedPageBreak/>
        <w:t>necessita imediatamente de alimentos, ainda que em valor superior a 60 salários mínimos. (MARINONI, 2004,</w:t>
      </w:r>
      <w:r w:rsidR="00AA62CB">
        <w:rPr>
          <w:rFonts w:ascii="Times New Roman" w:hAnsi="Times New Roman" w:cs="Times New Roman"/>
          <w:sz w:val="20"/>
          <w:szCs w:val="20"/>
        </w:rPr>
        <w:t xml:space="preserve"> </w:t>
      </w:r>
      <w:r w:rsidRPr="00AA62CB">
        <w:rPr>
          <w:rFonts w:ascii="Times New Roman" w:hAnsi="Times New Roman" w:cs="Times New Roman"/>
          <w:sz w:val="20"/>
          <w:szCs w:val="20"/>
        </w:rPr>
        <w:t>P.320)</w:t>
      </w:r>
    </w:p>
    <w:p w:rsidR="000242CA" w:rsidRPr="00573B3F" w:rsidRDefault="000242CA" w:rsidP="00AA62CB">
      <w:pPr>
        <w:tabs>
          <w:tab w:val="left" w:pos="851"/>
        </w:tabs>
        <w:spacing w:after="0" w:line="360" w:lineRule="auto"/>
        <w:jc w:val="both"/>
        <w:rPr>
          <w:rFonts w:ascii="Times New Roman" w:hAnsi="Times New Roman" w:cs="Times New Roman"/>
          <w:sz w:val="20"/>
          <w:szCs w:val="20"/>
        </w:rPr>
      </w:pPr>
    </w:p>
    <w:p w:rsidR="000242CA" w:rsidRDefault="00AA62CB"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Já Juvêncio Vasconcelos (</w:t>
      </w:r>
      <w:r w:rsidR="000242CA">
        <w:rPr>
          <w:rFonts w:ascii="Times New Roman" w:hAnsi="Times New Roman" w:cs="Times New Roman"/>
          <w:sz w:val="24"/>
          <w:szCs w:val="24"/>
        </w:rPr>
        <w:t>1998,</w:t>
      </w:r>
      <w:r>
        <w:rPr>
          <w:rFonts w:ascii="Times New Roman" w:hAnsi="Times New Roman" w:cs="Times New Roman"/>
          <w:sz w:val="24"/>
          <w:szCs w:val="24"/>
        </w:rPr>
        <w:t xml:space="preserve"> p.147) afirma que</w:t>
      </w:r>
      <w:r w:rsidR="000242CA">
        <w:rPr>
          <w:rFonts w:ascii="Times New Roman" w:hAnsi="Times New Roman" w:cs="Times New Roman"/>
          <w:sz w:val="24"/>
          <w:szCs w:val="24"/>
        </w:rPr>
        <w:t>:</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 w:val="left" w:pos="3402"/>
        </w:tabs>
        <w:spacing w:after="0" w:line="240" w:lineRule="auto"/>
        <w:ind w:left="4536"/>
        <w:jc w:val="both"/>
        <w:rPr>
          <w:rFonts w:ascii="Times New Roman" w:hAnsi="Times New Roman" w:cs="Times New Roman"/>
          <w:sz w:val="20"/>
          <w:szCs w:val="20"/>
        </w:rPr>
      </w:pPr>
      <w:r w:rsidRPr="00CA54A7">
        <w:rPr>
          <w:rFonts w:ascii="Times New Roman" w:hAnsi="Times New Roman" w:cs="Times New Roman"/>
          <w:sz w:val="20"/>
          <w:szCs w:val="20"/>
        </w:rPr>
        <w:t>O que não pode é, ao conceder a tutela, querer o juiz determinar bloqueios de verbas dos cofres da Fazenda para a satisfação imediata do requerente da medida. Isso nem mesmo sob o invocar de que o crédito seria de natureza alimentícia (vencimentos, soldos, etc.), pois, segundo a interpretação vigente no STJ e no STF, a exceção trazida no artigo 100 CF não gera a dispensa do precatório.</w:t>
      </w:r>
    </w:p>
    <w:p w:rsidR="000242CA" w:rsidRPr="00CA54A7" w:rsidRDefault="000242CA" w:rsidP="00AA62CB">
      <w:pPr>
        <w:tabs>
          <w:tab w:val="left" w:pos="851"/>
          <w:tab w:val="left" w:pos="3402"/>
        </w:tabs>
        <w:spacing w:after="0" w:line="360" w:lineRule="auto"/>
        <w:jc w:val="both"/>
        <w:rPr>
          <w:rFonts w:ascii="Times New Roman" w:hAnsi="Times New Roman" w:cs="Times New Roman"/>
          <w:sz w:val="20"/>
          <w:szCs w:val="20"/>
        </w:rPr>
      </w:pPr>
    </w:p>
    <w:p w:rsidR="002F3B16"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Quando se fala em obrigação de pagar quantia certa, como o próprio nome já diz, o devedor é condenado a pagar certa quantia em dinheiro e, segundo o art. 475 J, do CPC, se </w:t>
      </w:r>
      <w:r w:rsidR="00AA62CB">
        <w:rPr>
          <w:rFonts w:ascii="Times New Roman" w:hAnsi="Times New Roman" w:cs="Times New Roman"/>
          <w:sz w:val="24"/>
          <w:szCs w:val="24"/>
        </w:rPr>
        <w:t>o valor não for pago em 15 dias</w:t>
      </w:r>
      <w:r>
        <w:rPr>
          <w:rFonts w:ascii="Times New Roman" w:hAnsi="Times New Roman" w:cs="Times New Roman"/>
          <w:sz w:val="24"/>
          <w:szCs w:val="24"/>
        </w:rPr>
        <w:t xml:space="preserve">, o montante da condenação será acrescido de multa </w:t>
      </w:r>
      <w:r w:rsidR="00AA62CB">
        <w:rPr>
          <w:rFonts w:ascii="Times New Roman" w:hAnsi="Times New Roman" w:cs="Times New Roman"/>
          <w:sz w:val="24"/>
          <w:szCs w:val="24"/>
        </w:rPr>
        <w:t>percentual de 10% (</w:t>
      </w:r>
      <w:r>
        <w:rPr>
          <w:rFonts w:ascii="Times New Roman" w:hAnsi="Times New Roman" w:cs="Times New Roman"/>
          <w:sz w:val="24"/>
          <w:szCs w:val="24"/>
        </w:rPr>
        <w:t xml:space="preserve">dez por cento). De acordo com o art. 646 do CPC, “a execução por quantia certa tem por objeto expropriar bens do devedor, a fim de satisfazer o direito do credor (art. 591)”. </w:t>
      </w:r>
    </w:p>
    <w:p w:rsidR="000242CA" w:rsidRDefault="002F3B16"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42CA">
        <w:rPr>
          <w:rFonts w:ascii="Times New Roman" w:hAnsi="Times New Roman" w:cs="Times New Roman"/>
          <w:sz w:val="24"/>
          <w:szCs w:val="24"/>
        </w:rPr>
        <w:t>Deve-se ressaltar que, ante da Lei 11.232/05 somente com relação às obrigações de fazer, não fazer e dar coisa diversa de dinheiro era acolhido o cumprimento imediato das decisões. Após a referida Lei, em se tratando da obrigação de paga</w:t>
      </w:r>
      <w:r>
        <w:rPr>
          <w:rFonts w:ascii="Times New Roman" w:hAnsi="Times New Roman" w:cs="Times New Roman"/>
          <w:sz w:val="24"/>
          <w:szCs w:val="24"/>
        </w:rPr>
        <w:t>r quantia certa, é desnecessária</w:t>
      </w:r>
      <w:r w:rsidR="000242CA">
        <w:rPr>
          <w:rFonts w:ascii="Times New Roman" w:hAnsi="Times New Roman" w:cs="Times New Roman"/>
          <w:sz w:val="24"/>
          <w:szCs w:val="24"/>
        </w:rPr>
        <w:t xml:space="preserve"> a instauração de um processo de execução, pois “uma vez transitado em julgado a decisão (sentença ou acórdão), ou mesmo que esteja na pendência de recursos, com efeito, meramente devolutivo, pode o credor da obrigação de pagar quantia certa promover o cumprimento da decisão por atos executivos” (Patrícia Gonçalves). Com isso visou-se, baseado no art. 5º, LXXVIII, uma razoável duração do processo. </w:t>
      </w: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obstáculo encontrado para que haja o deferimento da tutela antecipada é o reexame necessário, que configura uma condição de eficácia da sentença, só haverá sentença transitada em julgado após o reexame da sentença do tribunal. Diante disso, a tutela só poderia ser antecipada após revistas pelos órgãos de segundo grau. </w:t>
      </w: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Sobre o referido tema, Juvêncio Vasconcelos Viana afirma:</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2F3B16">
      <w:pPr>
        <w:tabs>
          <w:tab w:val="left" w:pos="851"/>
          <w:tab w:val="left" w:pos="4536"/>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Arguir o reexame necessário</w:t>
      </w:r>
      <w:r w:rsidR="002F3B16">
        <w:rPr>
          <w:rFonts w:ascii="Times New Roman" w:hAnsi="Times New Roman" w:cs="Times New Roman"/>
          <w:sz w:val="20"/>
          <w:szCs w:val="20"/>
        </w:rPr>
        <w:t xml:space="preserve"> do art. 475 do CPC como óbice à</w:t>
      </w:r>
      <w:r>
        <w:rPr>
          <w:rFonts w:ascii="Times New Roman" w:hAnsi="Times New Roman" w:cs="Times New Roman"/>
          <w:sz w:val="20"/>
          <w:szCs w:val="20"/>
        </w:rPr>
        <w:t xml:space="preserve"> concessão da antecipação da tutela contra a Fazenda Pública é argumentação improcedente para a negativa de eficácia do </w:t>
      </w:r>
      <w:r>
        <w:rPr>
          <w:rFonts w:ascii="Times New Roman" w:hAnsi="Times New Roman" w:cs="Times New Roman"/>
          <w:sz w:val="20"/>
          <w:szCs w:val="20"/>
        </w:rPr>
        <w:lastRenderedPageBreak/>
        <w:t>instituto nesse caso. A antecipação dos efeitos da tutela pretendida pelo provento dá-se por adesão interlocutória, pronunciamento que não está sujeito ao duplo grau obrigatório, produzindo efeitos de forma imediata e com carga de provisoriedade. A natureza do direito em questão ou mesmo a qualidade da parte não deve gerar, por si só, impedi</w:t>
      </w:r>
      <w:r w:rsidR="002F3B16">
        <w:rPr>
          <w:rFonts w:ascii="Times New Roman" w:hAnsi="Times New Roman" w:cs="Times New Roman"/>
          <w:sz w:val="20"/>
          <w:szCs w:val="20"/>
        </w:rPr>
        <w:t>mento à</w:t>
      </w:r>
      <w:r>
        <w:rPr>
          <w:rFonts w:ascii="Times New Roman" w:hAnsi="Times New Roman" w:cs="Times New Roman"/>
          <w:sz w:val="20"/>
          <w:szCs w:val="20"/>
        </w:rPr>
        <w:t xml:space="preserve"> aplicação da providência do art. 273 do CPC. (VIANA, 1998, P.159)</w:t>
      </w:r>
    </w:p>
    <w:p w:rsidR="000242CA" w:rsidRDefault="000242CA" w:rsidP="00AA62CB">
      <w:pPr>
        <w:tabs>
          <w:tab w:val="left" w:pos="851"/>
          <w:tab w:val="left" w:pos="78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2CB">
        <w:rPr>
          <w:rFonts w:ascii="Times New Roman" w:hAnsi="Times New Roman" w:cs="Times New Roman"/>
          <w:sz w:val="24"/>
          <w:szCs w:val="24"/>
        </w:rPr>
        <w:tab/>
      </w: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Diante das divergências acerca da possibilidade de antecipação da tutela em face da Fazenda Pública, na obrigação de pagar quantia certa, e acerca de suas prerrogativas, o presente artigo defende que há sim a possibilidade de antecipação da tutela e com relação as suas prerrogativas, como a precisão do reexame necessário e o</w:t>
      </w:r>
      <w:r w:rsidR="002F3B16">
        <w:rPr>
          <w:rFonts w:ascii="Times New Roman" w:hAnsi="Times New Roman" w:cs="Times New Roman"/>
          <w:sz w:val="24"/>
          <w:szCs w:val="24"/>
        </w:rPr>
        <w:t xml:space="preserve"> precatório, devem ser utilizados as técnicas da</w:t>
      </w:r>
      <w:r>
        <w:rPr>
          <w:rFonts w:ascii="Times New Roman" w:hAnsi="Times New Roman" w:cs="Times New Roman"/>
          <w:sz w:val="24"/>
          <w:szCs w:val="24"/>
        </w:rPr>
        <w:t xml:space="preserve"> proporcionalidade, que busca o meio mais adequado e necessário para que sua finalidade seja alcançada e a técnica da razoabilidade, onde o ato tem que partir de um consenso, além de ser adequado e necessário, diante de um caso concreto. </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b/>
          <w:sz w:val="24"/>
          <w:szCs w:val="24"/>
        </w:rPr>
      </w:pPr>
      <w:r w:rsidRPr="00DD01A2">
        <w:rPr>
          <w:rFonts w:ascii="Times New Roman" w:hAnsi="Times New Roman" w:cs="Times New Roman"/>
          <w:b/>
          <w:sz w:val="24"/>
          <w:szCs w:val="24"/>
        </w:rPr>
        <w:t>Conclusão</w:t>
      </w: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242CA"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Diante do trabalho exposto, percebe-se que a tutela antecipada surgiu como um meio de assegurar a celeridade do processo, através de um menor tempo, e tem como objetivo antecipar os efeitos da possível sentença. Entretanto, quando se trata de pessoas jurídicas de direito público, como a Fazenda Pública, há uma divergência quanto à aplicabilidade desse recurso, pois a mesma não é uma ré comum e possui prerrogativas diferenciadas como o duplo grau de jurisdição, além de deter de diversos obstáculos como o reexame necessário e a exigência do precatório.</w:t>
      </w:r>
    </w:p>
    <w:p w:rsidR="000242CA" w:rsidRPr="00DD01A2" w:rsidRDefault="000242CA" w:rsidP="000242C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como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já a</w:t>
      </w:r>
      <w:r w:rsidR="002F3B16">
        <w:rPr>
          <w:rFonts w:ascii="Times New Roman" w:hAnsi="Times New Roman" w:cs="Times New Roman"/>
          <w:sz w:val="24"/>
          <w:szCs w:val="24"/>
        </w:rPr>
        <w:t>firmou, a tutela antecipada está</w:t>
      </w:r>
      <w:r>
        <w:rPr>
          <w:rFonts w:ascii="Times New Roman" w:hAnsi="Times New Roman" w:cs="Times New Roman"/>
          <w:sz w:val="24"/>
          <w:szCs w:val="24"/>
        </w:rPr>
        <w:t xml:space="preserve"> assegurada pelo artigo 5º do CPC, e é um pressuposto para</w:t>
      </w:r>
      <w:r w:rsidR="002F3B16">
        <w:rPr>
          <w:rFonts w:ascii="Times New Roman" w:hAnsi="Times New Roman" w:cs="Times New Roman"/>
          <w:sz w:val="24"/>
          <w:szCs w:val="24"/>
        </w:rPr>
        <w:t xml:space="preserve"> o devido processo legal, princí</w:t>
      </w:r>
      <w:r>
        <w:rPr>
          <w:rFonts w:ascii="Times New Roman" w:hAnsi="Times New Roman" w:cs="Times New Roman"/>
          <w:sz w:val="24"/>
          <w:szCs w:val="24"/>
        </w:rPr>
        <w:t xml:space="preserve">pio basilar da relação processual. Diante disso, observou-se que há diversas divergências quanto </w:t>
      </w:r>
      <w:r w:rsidR="002F3B16">
        <w:rPr>
          <w:rFonts w:ascii="Times New Roman" w:hAnsi="Times New Roman" w:cs="Times New Roman"/>
          <w:sz w:val="24"/>
          <w:szCs w:val="24"/>
        </w:rPr>
        <w:t>à</w:t>
      </w:r>
      <w:r>
        <w:rPr>
          <w:rFonts w:ascii="Times New Roman" w:hAnsi="Times New Roman" w:cs="Times New Roman"/>
          <w:sz w:val="24"/>
          <w:szCs w:val="24"/>
        </w:rPr>
        <w:t xml:space="preserve"> possibilidade de aplicação da tutela antecipada em face da Fazenda Pública, nas obrigações de pagar quantia certa, principalment</w:t>
      </w:r>
      <w:r w:rsidR="002F3B16">
        <w:rPr>
          <w:rFonts w:ascii="Times New Roman" w:hAnsi="Times New Roman" w:cs="Times New Roman"/>
          <w:sz w:val="24"/>
          <w:szCs w:val="24"/>
        </w:rPr>
        <w:t>e quando se trata do precatório</w:t>
      </w:r>
      <w:r>
        <w:rPr>
          <w:rFonts w:ascii="Times New Roman" w:hAnsi="Times New Roman" w:cs="Times New Roman"/>
          <w:sz w:val="24"/>
          <w:szCs w:val="24"/>
        </w:rPr>
        <w:t xml:space="preserve">, pois muitos autores divergem </w:t>
      </w:r>
      <w:r w:rsidR="002F3B16">
        <w:rPr>
          <w:rFonts w:ascii="Times New Roman" w:hAnsi="Times New Roman" w:cs="Times New Roman"/>
          <w:sz w:val="24"/>
          <w:szCs w:val="24"/>
        </w:rPr>
        <w:t>sobre a absoluta precisão dest</w:t>
      </w:r>
      <w:r>
        <w:rPr>
          <w:rFonts w:ascii="Times New Roman" w:hAnsi="Times New Roman" w:cs="Times New Roman"/>
          <w:sz w:val="24"/>
          <w:szCs w:val="24"/>
        </w:rPr>
        <w:t>e</w:t>
      </w:r>
      <w:r w:rsidR="002F3B16">
        <w:rPr>
          <w:rFonts w:ascii="Times New Roman" w:hAnsi="Times New Roman" w:cs="Times New Roman"/>
          <w:sz w:val="24"/>
          <w:szCs w:val="24"/>
        </w:rPr>
        <w:t>s</w:t>
      </w:r>
      <w:r>
        <w:rPr>
          <w:rFonts w:ascii="Times New Roman" w:hAnsi="Times New Roman" w:cs="Times New Roman"/>
          <w:sz w:val="24"/>
          <w:szCs w:val="24"/>
        </w:rPr>
        <w:t xml:space="preserve"> recursos. Com isso, o presente trabalho defende que há sim possibilidade da tutela antecipada em face da Fazenda Pública, já que o art. 273 do CPC em nenhum momento diz não haver essa possibilidade, apenas afirma que deve ser preciso prova inequívoca e convencimento da </w:t>
      </w:r>
      <w:r>
        <w:rPr>
          <w:rFonts w:ascii="Times New Roman" w:hAnsi="Times New Roman" w:cs="Times New Roman"/>
          <w:sz w:val="24"/>
          <w:szCs w:val="24"/>
        </w:rPr>
        <w:lastRenderedPageBreak/>
        <w:t>verossimilhança da alegação. Quando se trata da obrigação de pagar quantia certa e dos obstáculos que a Fazenda Pública possui, como o precatório, devem ser utilizadas as técnicas de proporcionalidade e razoabilidade, ate porque o direito á tutela antecipada, ao devido processo legal, é um direito fundamental e possui relevante importância.</w:t>
      </w: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0242CA" w:rsidRDefault="000242CA"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AA62CB" w:rsidRDefault="00AA62CB" w:rsidP="000242CA">
      <w:pPr>
        <w:tabs>
          <w:tab w:val="left" w:pos="851"/>
        </w:tabs>
        <w:spacing w:after="0" w:line="360" w:lineRule="auto"/>
        <w:jc w:val="both"/>
        <w:rPr>
          <w:rFonts w:ascii="Times New Roman" w:hAnsi="Times New Roman" w:cs="Times New Roman"/>
          <w:sz w:val="24"/>
          <w:szCs w:val="24"/>
        </w:rPr>
      </w:pPr>
    </w:p>
    <w:p w:rsidR="002F3B16" w:rsidRDefault="002F3B16" w:rsidP="000242CA">
      <w:pPr>
        <w:tabs>
          <w:tab w:val="left" w:pos="851"/>
        </w:tabs>
        <w:spacing w:after="0" w:line="360" w:lineRule="auto"/>
        <w:jc w:val="both"/>
        <w:rPr>
          <w:rFonts w:ascii="Times New Roman" w:hAnsi="Times New Roman" w:cs="Times New Roman"/>
          <w:sz w:val="24"/>
          <w:szCs w:val="24"/>
        </w:rPr>
      </w:pPr>
    </w:p>
    <w:p w:rsidR="002F3B16" w:rsidRDefault="002F3B16" w:rsidP="000242CA">
      <w:pPr>
        <w:tabs>
          <w:tab w:val="left" w:pos="851"/>
        </w:tabs>
        <w:spacing w:after="0" w:line="360" w:lineRule="auto"/>
        <w:jc w:val="both"/>
        <w:rPr>
          <w:rFonts w:ascii="Times New Roman" w:hAnsi="Times New Roman" w:cs="Times New Roman"/>
          <w:sz w:val="24"/>
          <w:szCs w:val="24"/>
        </w:rPr>
      </w:pPr>
    </w:p>
    <w:p w:rsidR="002F3B16" w:rsidRPr="009C52A5" w:rsidRDefault="002F3B16" w:rsidP="000242CA">
      <w:pPr>
        <w:tabs>
          <w:tab w:val="left" w:pos="851"/>
        </w:tabs>
        <w:spacing w:after="0" w:line="360" w:lineRule="auto"/>
        <w:jc w:val="both"/>
        <w:rPr>
          <w:rFonts w:ascii="Times New Roman" w:hAnsi="Times New Roman" w:cs="Times New Roman"/>
          <w:sz w:val="24"/>
          <w:szCs w:val="24"/>
        </w:rPr>
      </w:pPr>
    </w:p>
    <w:p w:rsidR="000242CA" w:rsidRPr="002F3B16" w:rsidRDefault="000242CA" w:rsidP="000242CA">
      <w:pPr>
        <w:tabs>
          <w:tab w:val="left" w:pos="851"/>
        </w:tabs>
        <w:spacing w:after="0" w:line="240" w:lineRule="auto"/>
        <w:rPr>
          <w:rFonts w:ascii="Times New Roman" w:hAnsi="Times New Roman" w:cs="Times New Roman"/>
          <w:b/>
          <w:sz w:val="24"/>
          <w:szCs w:val="24"/>
        </w:rPr>
      </w:pPr>
      <w:r w:rsidRPr="002F3B16">
        <w:rPr>
          <w:rFonts w:ascii="Times New Roman" w:hAnsi="Times New Roman" w:cs="Times New Roman"/>
          <w:b/>
          <w:sz w:val="24"/>
          <w:szCs w:val="24"/>
        </w:rPr>
        <w:lastRenderedPageBreak/>
        <w:t>REFERÊNCIAS:</w:t>
      </w:r>
    </w:p>
    <w:p w:rsidR="000242CA" w:rsidRPr="002F3B16" w:rsidRDefault="000242CA" w:rsidP="000242CA">
      <w:pPr>
        <w:tabs>
          <w:tab w:val="left" w:pos="851"/>
        </w:tabs>
        <w:spacing w:after="0" w:line="240" w:lineRule="auto"/>
        <w:ind w:firstLine="709"/>
        <w:rPr>
          <w:rFonts w:ascii="Times New Roman" w:hAnsi="Times New Roman" w:cs="Times New Roman"/>
          <w:b/>
          <w:sz w:val="24"/>
          <w:szCs w:val="24"/>
        </w:rPr>
      </w:pPr>
    </w:p>
    <w:p w:rsidR="000242CA" w:rsidRPr="002F3B16" w:rsidRDefault="000242CA" w:rsidP="000242CA">
      <w:pPr>
        <w:tabs>
          <w:tab w:val="left" w:pos="851"/>
        </w:tabs>
        <w:spacing w:after="0" w:line="240" w:lineRule="auto"/>
        <w:ind w:firstLine="708"/>
        <w:rPr>
          <w:rFonts w:ascii="Times New Roman" w:hAnsi="Times New Roman" w:cs="Times New Roman"/>
          <w:b/>
          <w:sz w:val="24"/>
          <w:szCs w:val="24"/>
        </w:rPr>
      </w:pPr>
    </w:p>
    <w:p w:rsidR="000242CA" w:rsidRPr="002F3B16" w:rsidRDefault="000242CA" w:rsidP="000242CA">
      <w:pPr>
        <w:spacing w:after="0" w:line="240" w:lineRule="auto"/>
        <w:rPr>
          <w:rFonts w:ascii="Times New Roman" w:hAnsi="Times New Roman" w:cs="Times New Roman"/>
          <w:sz w:val="24"/>
          <w:szCs w:val="24"/>
        </w:rPr>
      </w:pPr>
      <w:r w:rsidRPr="002F3B16">
        <w:rPr>
          <w:rFonts w:ascii="Times New Roman" w:hAnsi="Times New Roman" w:cs="Times New Roman"/>
          <w:sz w:val="24"/>
          <w:szCs w:val="24"/>
        </w:rPr>
        <w:t xml:space="preserve">CADDAH, </w:t>
      </w:r>
      <w:proofErr w:type="spellStart"/>
      <w:r w:rsidRPr="002F3B16">
        <w:rPr>
          <w:rFonts w:ascii="Times New Roman" w:hAnsi="Times New Roman" w:cs="Times New Roman"/>
          <w:sz w:val="24"/>
          <w:szCs w:val="24"/>
        </w:rPr>
        <w:t>Micaele</w:t>
      </w:r>
      <w:proofErr w:type="spellEnd"/>
      <w:r w:rsidRPr="002F3B16">
        <w:rPr>
          <w:rFonts w:ascii="Times New Roman" w:hAnsi="Times New Roman" w:cs="Times New Roman"/>
          <w:sz w:val="24"/>
          <w:szCs w:val="24"/>
        </w:rPr>
        <w:t xml:space="preserve">. </w:t>
      </w:r>
      <w:r w:rsidR="002F3B16">
        <w:rPr>
          <w:rFonts w:ascii="Times New Roman" w:hAnsi="Times New Roman" w:cs="Times New Roman"/>
          <w:b/>
          <w:sz w:val="24"/>
          <w:szCs w:val="24"/>
        </w:rPr>
        <w:t>Aspectos polê</w:t>
      </w:r>
      <w:r w:rsidRPr="002F3B16">
        <w:rPr>
          <w:rFonts w:ascii="Times New Roman" w:hAnsi="Times New Roman" w:cs="Times New Roman"/>
          <w:b/>
          <w:sz w:val="24"/>
          <w:szCs w:val="24"/>
        </w:rPr>
        <w:t>micos da tutela antecipada contra a Fazenda Pública</w:t>
      </w:r>
      <w:r w:rsidRPr="002F3B16">
        <w:rPr>
          <w:rFonts w:ascii="Times New Roman" w:hAnsi="Times New Roman" w:cs="Times New Roman"/>
          <w:sz w:val="24"/>
          <w:szCs w:val="24"/>
        </w:rPr>
        <w:t>. Elaborado em Dezembro de 2001. Disponível em: &lt;</w:t>
      </w:r>
      <w:hyperlink r:id="rId14" w:history="1">
        <w:r w:rsidRPr="002F3B16">
          <w:rPr>
            <w:rStyle w:val="Hyperlink"/>
            <w:rFonts w:ascii="Times New Roman" w:hAnsi="Times New Roman" w:cs="Times New Roman"/>
            <w:color w:val="000000" w:themeColor="text1"/>
            <w:sz w:val="24"/>
            <w:szCs w:val="24"/>
            <w:u w:val="none"/>
          </w:rPr>
          <w:t>http://jus.com.br/revista/texto/2752/aspectos-polemicos-da-tutela-antecipada-contra-a-fazenda-publica</w:t>
        </w:r>
      </w:hyperlink>
      <w:r w:rsidRPr="002F3B16">
        <w:rPr>
          <w:rFonts w:ascii="Times New Roman" w:hAnsi="Times New Roman" w:cs="Times New Roman"/>
          <w:color w:val="000000" w:themeColor="text1"/>
          <w:sz w:val="24"/>
          <w:szCs w:val="24"/>
        </w:rPr>
        <w:t xml:space="preserve">&gt; </w:t>
      </w:r>
      <w:r w:rsidRPr="002F3B16">
        <w:rPr>
          <w:rFonts w:ascii="Times New Roman" w:hAnsi="Times New Roman" w:cs="Times New Roman"/>
          <w:sz w:val="24"/>
          <w:szCs w:val="24"/>
        </w:rPr>
        <w:t>Acesso em: 26. Fev. 2013</w:t>
      </w:r>
    </w:p>
    <w:p w:rsidR="000242CA" w:rsidRPr="002F3B16" w:rsidRDefault="00BF406B" w:rsidP="00BF406B">
      <w:pPr>
        <w:tabs>
          <w:tab w:val="left" w:pos="178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A62CB" w:rsidRPr="002F3B16" w:rsidRDefault="00AA62CB" w:rsidP="000242CA">
      <w:pPr>
        <w:spacing w:after="0" w:line="240" w:lineRule="auto"/>
        <w:rPr>
          <w:rFonts w:ascii="Times New Roman" w:hAnsi="Times New Roman" w:cs="Times New Roman"/>
          <w:sz w:val="24"/>
          <w:szCs w:val="24"/>
        </w:rPr>
      </w:pPr>
    </w:p>
    <w:p w:rsidR="000242CA" w:rsidRPr="002F3B16" w:rsidRDefault="000242CA" w:rsidP="000242CA">
      <w:pPr>
        <w:spacing w:after="0" w:line="240" w:lineRule="auto"/>
        <w:rPr>
          <w:rFonts w:ascii="Times New Roman" w:hAnsi="Times New Roman" w:cs="Times New Roman"/>
          <w:sz w:val="24"/>
          <w:szCs w:val="24"/>
        </w:rPr>
      </w:pPr>
      <w:r w:rsidRPr="002F3B16">
        <w:rPr>
          <w:rFonts w:ascii="Times New Roman" w:hAnsi="Times New Roman" w:cs="Times New Roman"/>
          <w:sz w:val="24"/>
          <w:szCs w:val="24"/>
        </w:rPr>
        <w:t xml:space="preserve">Código de Processo Civil </w:t>
      </w:r>
    </w:p>
    <w:p w:rsidR="000242CA" w:rsidRPr="002F3B16" w:rsidRDefault="000242CA" w:rsidP="000242CA">
      <w:pPr>
        <w:spacing w:after="0" w:line="240" w:lineRule="auto"/>
        <w:rPr>
          <w:rFonts w:ascii="Times New Roman" w:hAnsi="Times New Roman" w:cs="Times New Roman"/>
          <w:sz w:val="24"/>
          <w:szCs w:val="24"/>
        </w:rPr>
      </w:pPr>
    </w:p>
    <w:p w:rsidR="00AA62CB" w:rsidRPr="002F3B16" w:rsidRDefault="00AA62CB" w:rsidP="000242CA">
      <w:pPr>
        <w:spacing w:after="0" w:line="240" w:lineRule="auto"/>
        <w:rPr>
          <w:rFonts w:ascii="Times New Roman" w:hAnsi="Times New Roman" w:cs="Times New Roman"/>
          <w:sz w:val="24"/>
          <w:szCs w:val="24"/>
        </w:rPr>
      </w:pPr>
    </w:p>
    <w:p w:rsidR="000242CA" w:rsidRPr="002F3B16" w:rsidRDefault="000242CA" w:rsidP="000242CA">
      <w:pPr>
        <w:spacing w:after="0" w:line="240" w:lineRule="auto"/>
        <w:rPr>
          <w:rFonts w:ascii="Times New Roman" w:hAnsi="Times New Roman" w:cs="Times New Roman"/>
          <w:sz w:val="24"/>
          <w:szCs w:val="24"/>
        </w:rPr>
      </w:pPr>
      <w:r w:rsidRPr="002F3B16">
        <w:rPr>
          <w:rFonts w:ascii="Times New Roman" w:hAnsi="Times New Roman" w:cs="Times New Roman"/>
          <w:sz w:val="24"/>
          <w:szCs w:val="24"/>
        </w:rPr>
        <w:t xml:space="preserve">Código do Consumidor </w:t>
      </w:r>
    </w:p>
    <w:p w:rsidR="000242CA" w:rsidRPr="002F3B16" w:rsidRDefault="000242CA" w:rsidP="000242CA">
      <w:pPr>
        <w:spacing w:after="0" w:line="240" w:lineRule="auto"/>
        <w:rPr>
          <w:rFonts w:ascii="Times New Roman" w:hAnsi="Times New Roman" w:cs="Times New Roman"/>
          <w:sz w:val="24"/>
          <w:szCs w:val="24"/>
        </w:rPr>
      </w:pPr>
    </w:p>
    <w:p w:rsidR="00AA62CB" w:rsidRPr="002F3B16" w:rsidRDefault="00AA62CB" w:rsidP="000242CA">
      <w:pPr>
        <w:spacing w:after="0" w:line="240" w:lineRule="auto"/>
        <w:rPr>
          <w:rFonts w:ascii="Times New Roman" w:hAnsi="Times New Roman" w:cs="Times New Roman"/>
          <w:sz w:val="24"/>
          <w:szCs w:val="24"/>
        </w:rPr>
      </w:pPr>
    </w:p>
    <w:p w:rsidR="000242CA" w:rsidRPr="002F3B16" w:rsidRDefault="000242CA" w:rsidP="000242CA">
      <w:pPr>
        <w:spacing w:after="0" w:line="240" w:lineRule="auto"/>
        <w:rPr>
          <w:rFonts w:ascii="Times New Roman" w:hAnsi="Times New Roman" w:cs="Times New Roman"/>
          <w:sz w:val="24"/>
          <w:szCs w:val="24"/>
        </w:rPr>
      </w:pPr>
      <w:r w:rsidRPr="002F3B16">
        <w:rPr>
          <w:rFonts w:ascii="Times New Roman" w:hAnsi="Times New Roman" w:cs="Times New Roman"/>
          <w:sz w:val="24"/>
          <w:szCs w:val="24"/>
        </w:rPr>
        <w:t>Constituição Federal de 1988</w:t>
      </w:r>
    </w:p>
    <w:p w:rsidR="00AA62CB" w:rsidRPr="002F3B16" w:rsidRDefault="00AA62CB" w:rsidP="000242CA">
      <w:pPr>
        <w:tabs>
          <w:tab w:val="left" w:pos="2640"/>
        </w:tabs>
        <w:spacing w:after="0" w:line="240" w:lineRule="auto"/>
        <w:rPr>
          <w:rFonts w:ascii="Times New Roman" w:hAnsi="Times New Roman" w:cs="Times New Roman"/>
          <w:sz w:val="24"/>
          <w:szCs w:val="24"/>
        </w:rPr>
      </w:pPr>
    </w:p>
    <w:p w:rsidR="000242CA" w:rsidRPr="002F3B16" w:rsidRDefault="000242CA" w:rsidP="000242CA">
      <w:pPr>
        <w:tabs>
          <w:tab w:val="left" w:pos="2640"/>
        </w:tabs>
        <w:spacing w:after="0" w:line="240" w:lineRule="auto"/>
        <w:rPr>
          <w:rFonts w:ascii="Times New Roman" w:hAnsi="Times New Roman" w:cs="Times New Roman"/>
          <w:sz w:val="24"/>
          <w:szCs w:val="24"/>
        </w:rPr>
      </w:pPr>
      <w:r w:rsidRPr="002F3B16">
        <w:rPr>
          <w:rFonts w:ascii="Times New Roman" w:hAnsi="Times New Roman" w:cs="Times New Roman"/>
          <w:sz w:val="24"/>
          <w:szCs w:val="24"/>
        </w:rPr>
        <w:tab/>
      </w:r>
    </w:p>
    <w:p w:rsidR="000242CA" w:rsidRPr="002F3B16" w:rsidRDefault="000242CA" w:rsidP="000242CA">
      <w:pPr>
        <w:spacing w:after="0" w:line="240" w:lineRule="auto"/>
        <w:rPr>
          <w:rFonts w:ascii="Times New Roman" w:hAnsi="Times New Roman" w:cs="Times New Roman"/>
          <w:sz w:val="24"/>
          <w:szCs w:val="24"/>
        </w:rPr>
      </w:pPr>
      <w:r w:rsidRPr="002F3B16">
        <w:rPr>
          <w:rFonts w:ascii="Times New Roman" w:hAnsi="Times New Roman" w:cs="Times New Roman"/>
          <w:sz w:val="24"/>
          <w:szCs w:val="24"/>
        </w:rPr>
        <w:t>CUNHA, Leonardo José Carneiro</w:t>
      </w:r>
      <w:r w:rsidRPr="002F3B16">
        <w:rPr>
          <w:rFonts w:ascii="Times New Roman" w:hAnsi="Times New Roman" w:cs="Times New Roman"/>
          <w:b/>
          <w:sz w:val="24"/>
          <w:szCs w:val="24"/>
        </w:rPr>
        <w:t>. A Fazenda Pública em Juízo</w:t>
      </w:r>
      <w:r w:rsidRPr="002F3B16">
        <w:rPr>
          <w:rFonts w:ascii="Times New Roman" w:hAnsi="Times New Roman" w:cs="Times New Roman"/>
          <w:sz w:val="24"/>
          <w:szCs w:val="24"/>
        </w:rPr>
        <w:t xml:space="preserve">. </w:t>
      </w:r>
      <w:proofErr w:type="gramStart"/>
      <w:r w:rsidRPr="002F3B16">
        <w:rPr>
          <w:rFonts w:ascii="Times New Roman" w:hAnsi="Times New Roman" w:cs="Times New Roman"/>
          <w:sz w:val="24"/>
          <w:szCs w:val="24"/>
        </w:rPr>
        <w:t>6</w:t>
      </w:r>
      <w:proofErr w:type="gramEnd"/>
      <w:r w:rsidRPr="002F3B16">
        <w:rPr>
          <w:rFonts w:ascii="Times New Roman" w:hAnsi="Times New Roman" w:cs="Times New Roman"/>
          <w:sz w:val="24"/>
          <w:szCs w:val="24"/>
        </w:rPr>
        <w:t xml:space="preserve"> ed. São Paulo: Dialética, 2008</w:t>
      </w:r>
      <w:r w:rsidR="006F12DA">
        <w:rPr>
          <w:rFonts w:ascii="Times New Roman" w:hAnsi="Times New Roman" w:cs="Times New Roman"/>
          <w:sz w:val="24"/>
          <w:szCs w:val="24"/>
        </w:rPr>
        <w:t>,</w:t>
      </w:r>
      <w:r w:rsidRPr="002F3B16">
        <w:rPr>
          <w:rFonts w:ascii="Times New Roman" w:hAnsi="Times New Roman" w:cs="Times New Roman"/>
          <w:sz w:val="24"/>
          <w:szCs w:val="24"/>
        </w:rPr>
        <w:t xml:space="preserve"> p. 235-236.</w:t>
      </w:r>
    </w:p>
    <w:p w:rsidR="000242CA" w:rsidRDefault="000242CA" w:rsidP="000242CA">
      <w:pPr>
        <w:spacing w:after="0" w:line="240" w:lineRule="auto"/>
        <w:rPr>
          <w:rFonts w:ascii="Times New Roman" w:hAnsi="Times New Roman" w:cs="Times New Roman"/>
          <w:sz w:val="24"/>
          <w:szCs w:val="24"/>
        </w:rPr>
      </w:pPr>
    </w:p>
    <w:p w:rsidR="00BF406B" w:rsidRDefault="00BF406B" w:rsidP="000242CA">
      <w:pPr>
        <w:spacing w:after="0" w:line="240" w:lineRule="auto"/>
        <w:rPr>
          <w:rFonts w:ascii="Times New Roman" w:hAnsi="Times New Roman" w:cs="Times New Roman"/>
          <w:sz w:val="24"/>
          <w:szCs w:val="24"/>
        </w:rPr>
      </w:pPr>
    </w:p>
    <w:p w:rsidR="00BF406B" w:rsidRPr="0095365F" w:rsidRDefault="00BF406B" w:rsidP="00BF406B">
      <w:pPr>
        <w:spacing w:after="0" w:line="240" w:lineRule="auto"/>
        <w:rPr>
          <w:rFonts w:ascii="Times New Roman" w:hAnsi="Times New Roman" w:cs="Times New Roman"/>
          <w:sz w:val="24"/>
          <w:szCs w:val="24"/>
        </w:rPr>
      </w:pPr>
      <w:r w:rsidRPr="0095365F">
        <w:rPr>
          <w:rFonts w:ascii="Times New Roman" w:hAnsi="Times New Roman" w:cs="Times New Roman"/>
          <w:sz w:val="24"/>
          <w:szCs w:val="24"/>
        </w:rPr>
        <w:t>CUNHA, Leonardo José Carneiro</w:t>
      </w:r>
      <w:r w:rsidRPr="0095365F">
        <w:rPr>
          <w:rFonts w:ascii="Times New Roman" w:hAnsi="Times New Roman" w:cs="Times New Roman"/>
          <w:b/>
          <w:sz w:val="24"/>
          <w:szCs w:val="24"/>
        </w:rPr>
        <w:t>. A Fazenda Pública em Juízo</w:t>
      </w:r>
      <w:r w:rsidRPr="0095365F">
        <w:rPr>
          <w:rFonts w:ascii="Times New Roman" w:hAnsi="Times New Roman" w:cs="Times New Roman"/>
          <w:sz w:val="24"/>
          <w:szCs w:val="24"/>
        </w:rPr>
        <w:t xml:space="preserve">. </w:t>
      </w:r>
      <w:proofErr w:type="gramStart"/>
      <w:r w:rsidRPr="0095365F">
        <w:rPr>
          <w:rFonts w:ascii="Times New Roman" w:hAnsi="Times New Roman" w:cs="Times New Roman"/>
          <w:sz w:val="24"/>
          <w:szCs w:val="24"/>
        </w:rPr>
        <w:t>6</w:t>
      </w:r>
      <w:proofErr w:type="gramEnd"/>
      <w:r w:rsidRPr="0095365F">
        <w:rPr>
          <w:rFonts w:ascii="Times New Roman" w:hAnsi="Times New Roman" w:cs="Times New Roman"/>
          <w:sz w:val="24"/>
          <w:szCs w:val="24"/>
        </w:rPr>
        <w:t xml:space="preserve"> ed. São Paulo: Dialética, 2008 p. 235-236.</w:t>
      </w:r>
    </w:p>
    <w:p w:rsidR="00BF406B" w:rsidRPr="0095365F" w:rsidRDefault="00BF406B" w:rsidP="00BF406B">
      <w:pPr>
        <w:tabs>
          <w:tab w:val="left" w:pos="2640"/>
        </w:tabs>
        <w:spacing w:after="0" w:line="240" w:lineRule="auto"/>
        <w:rPr>
          <w:rFonts w:ascii="Times New Roman" w:hAnsi="Times New Roman" w:cs="Times New Roman"/>
          <w:sz w:val="24"/>
          <w:szCs w:val="24"/>
        </w:rPr>
      </w:pPr>
    </w:p>
    <w:p w:rsidR="00BF406B" w:rsidRPr="0095365F" w:rsidRDefault="00BF406B" w:rsidP="00BF406B">
      <w:pPr>
        <w:tabs>
          <w:tab w:val="left" w:pos="1200"/>
          <w:tab w:val="left" w:pos="2640"/>
        </w:tabs>
        <w:spacing w:after="0" w:line="240" w:lineRule="auto"/>
        <w:rPr>
          <w:rFonts w:ascii="Times New Roman" w:hAnsi="Times New Roman" w:cs="Times New Roman"/>
          <w:sz w:val="24"/>
          <w:szCs w:val="24"/>
        </w:rPr>
      </w:pPr>
      <w:r w:rsidRPr="0095365F">
        <w:rPr>
          <w:rFonts w:ascii="Times New Roman" w:hAnsi="Times New Roman" w:cs="Times New Roman"/>
          <w:sz w:val="24"/>
          <w:szCs w:val="24"/>
        </w:rPr>
        <w:tab/>
      </w:r>
    </w:p>
    <w:p w:rsidR="00BF406B" w:rsidRPr="0095365F" w:rsidRDefault="00BF406B" w:rsidP="00BF406B">
      <w:pPr>
        <w:spacing w:after="0" w:line="240" w:lineRule="auto"/>
        <w:rPr>
          <w:rFonts w:ascii="Times New Roman" w:hAnsi="Times New Roman" w:cs="Times New Roman"/>
          <w:b/>
          <w:color w:val="000000" w:themeColor="text1"/>
          <w:sz w:val="24"/>
          <w:szCs w:val="24"/>
        </w:rPr>
      </w:pPr>
      <w:r w:rsidRPr="0095365F">
        <w:rPr>
          <w:rFonts w:ascii="Times New Roman" w:hAnsi="Times New Roman" w:cs="Times New Roman"/>
          <w:color w:val="000000" w:themeColor="text1"/>
          <w:sz w:val="24"/>
          <w:szCs w:val="24"/>
        </w:rPr>
        <w:t xml:space="preserve">JURISWAY. </w:t>
      </w:r>
      <w:r w:rsidRPr="0095365F">
        <w:rPr>
          <w:rFonts w:ascii="Times New Roman" w:hAnsi="Times New Roman" w:cs="Times New Roman"/>
          <w:b/>
          <w:color w:val="000000" w:themeColor="text1"/>
          <w:sz w:val="24"/>
          <w:szCs w:val="24"/>
        </w:rPr>
        <w:t>Tutela antecipada em desfavor da Fazenda Pública.</w:t>
      </w:r>
      <w:r w:rsidRPr="0095365F">
        <w:rPr>
          <w:rFonts w:ascii="Times New Roman" w:hAnsi="Times New Roman" w:cs="Times New Roman"/>
          <w:color w:val="000000" w:themeColor="text1"/>
          <w:sz w:val="24"/>
          <w:szCs w:val="24"/>
        </w:rPr>
        <w:t xml:space="preserve"> Disponível em: &lt;</w:t>
      </w:r>
      <w:hyperlink r:id="rId15" w:history="1">
        <w:r w:rsidRPr="0095365F">
          <w:rPr>
            <w:rStyle w:val="Hyperlink"/>
            <w:rFonts w:ascii="Times New Roman" w:hAnsi="Times New Roman" w:cs="Times New Roman"/>
            <w:color w:val="000000" w:themeColor="text1"/>
            <w:sz w:val="24"/>
            <w:szCs w:val="24"/>
            <w:u w:val="none"/>
          </w:rPr>
          <w:t>http://www.jurisway.org.br/v2/dhall.asp?id_dh=4338</w:t>
        </w:r>
      </w:hyperlink>
      <w:r w:rsidRPr="0095365F">
        <w:rPr>
          <w:rFonts w:ascii="Times New Roman" w:hAnsi="Times New Roman" w:cs="Times New Roman"/>
          <w:color w:val="000000" w:themeColor="text1"/>
          <w:sz w:val="24"/>
          <w:szCs w:val="24"/>
        </w:rPr>
        <w:t>&gt; Acesso e</w:t>
      </w:r>
      <w:r>
        <w:rPr>
          <w:rFonts w:ascii="Times New Roman" w:hAnsi="Times New Roman" w:cs="Times New Roman"/>
          <w:color w:val="000000" w:themeColor="text1"/>
          <w:sz w:val="24"/>
          <w:szCs w:val="24"/>
        </w:rPr>
        <w:t>m</w:t>
      </w:r>
      <w:r w:rsidRPr="0095365F">
        <w:rPr>
          <w:rFonts w:ascii="Times New Roman" w:hAnsi="Times New Roman" w:cs="Times New Roman"/>
          <w:color w:val="000000" w:themeColor="text1"/>
          <w:sz w:val="24"/>
          <w:szCs w:val="24"/>
        </w:rPr>
        <w:t>: 18. Abr. 2013.</w:t>
      </w:r>
    </w:p>
    <w:p w:rsidR="00BF406B" w:rsidRPr="002F3B16" w:rsidRDefault="00BF406B" w:rsidP="000242CA">
      <w:pPr>
        <w:spacing w:after="0" w:line="240" w:lineRule="auto"/>
        <w:rPr>
          <w:rFonts w:ascii="Times New Roman" w:hAnsi="Times New Roman" w:cs="Times New Roman"/>
          <w:sz w:val="24"/>
          <w:szCs w:val="24"/>
        </w:rPr>
      </w:pPr>
    </w:p>
    <w:p w:rsidR="00BF406B" w:rsidRPr="002F3B16" w:rsidRDefault="00BF406B" w:rsidP="000242CA">
      <w:pPr>
        <w:spacing w:after="0" w:line="240" w:lineRule="auto"/>
        <w:rPr>
          <w:rFonts w:ascii="Times New Roman" w:hAnsi="Times New Roman" w:cs="Times New Roman"/>
          <w:sz w:val="24"/>
          <w:szCs w:val="24"/>
        </w:rPr>
      </w:pPr>
    </w:p>
    <w:p w:rsidR="000242CA" w:rsidRPr="002F3B16" w:rsidRDefault="000242CA" w:rsidP="000242CA">
      <w:pPr>
        <w:spacing w:after="0" w:line="240" w:lineRule="auto"/>
        <w:rPr>
          <w:rFonts w:ascii="Times New Roman" w:hAnsi="Times New Roman" w:cs="Times New Roman"/>
          <w:sz w:val="24"/>
          <w:szCs w:val="24"/>
        </w:rPr>
      </w:pPr>
      <w:r w:rsidRPr="002F3B16">
        <w:rPr>
          <w:rFonts w:ascii="Times New Roman" w:hAnsi="Times New Roman" w:cs="Times New Roman"/>
          <w:sz w:val="24"/>
          <w:szCs w:val="24"/>
        </w:rPr>
        <w:t>Lei 11.232/05</w:t>
      </w:r>
    </w:p>
    <w:p w:rsidR="000242CA" w:rsidRPr="002F3B16" w:rsidRDefault="000242CA" w:rsidP="000242CA">
      <w:pPr>
        <w:tabs>
          <w:tab w:val="left" w:pos="2640"/>
        </w:tabs>
        <w:spacing w:after="0" w:line="240" w:lineRule="auto"/>
        <w:rPr>
          <w:rFonts w:ascii="Times New Roman" w:hAnsi="Times New Roman" w:cs="Times New Roman"/>
          <w:sz w:val="24"/>
          <w:szCs w:val="24"/>
        </w:rPr>
      </w:pPr>
    </w:p>
    <w:p w:rsidR="00AA62CB" w:rsidRPr="002F3B16" w:rsidRDefault="00AA62CB" w:rsidP="000242CA">
      <w:pPr>
        <w:tabs>
          <w:tab w:val="left" w:pos="2640"/>
        </w:tabs>
        <w:spacing w:after="0" w:line="240" w:lineRule="auto"/>
        <w:rPr>
          <w:rFonts w:ascii="Times New Roman" w:hAnsi="Times New Roman" w:cs="Times New Roman"/>
          <w:sz w:val="24"/>
          <w:szCs w:val="24"/>
        </w:rPr>
      </w:pPr>
    </w:p>
    <w:p w:rsidR="00AA62CB" w:rsidRPr="002F3B16" w:rsidRDefault="00AA62CB" w:rsidP="00AA62CB">
      <w:pPr>
        <w:tabs>
          <w:tab w:val="left" w:pos="2640"/>
        </w:tabs>
        <w:spacing w:after="0" w:line="240" w:lineRule="auto"/>
        <w:rPr>
          <w:rFonts w:ascii="Times New Roman" w:hAnsi="Times New Roman" w:cs="Times New Roman"/>
          <w:sz w:val="24"/>
          <w:szCs w:val="24"/>
        </w:rPr>
      </w:pPr>
      <w:r w:rsidRPr="002F3B16">
        <w:rPr>
          <w:rFonts w:ascii="Times New Roman" w:hAnsi="Times New Roman" w:cs="Times New Roman"/>
          <w:sz w:val="24"/>
          <w:szCs w:val="24"/>
        </w:rPr>
        <w:t xml:space="preserve">MARINONI, Luiz Guilherme. </w:t>
      </w:r>
      <w:r w:rsidRPr="002F3B16">
        <w:rPr>
          <w:rFonts w:ascii="Times New Roman" w:hAnsi="Times New Roman" w:cs="Times New Roman"/>
          <w:b/>
          <w:sz w:val="24"/>
          <w:szCs w:val="24"/>
        </w:rPr>
        <w:t>A antecipação da tutela</w:t>
      </w:r>
      <w:r w:rsidR="006F12DA">
        <w:rPr>
          <w:rFonts w:ascii="Times New Roman" w:hAnsi="Times New Roman" w:cs="Times New Roman"/>
          <w:sz w:val="24"/>
          <w:szCs w:val="24"/>
        </w:rPr>
        <w:t>.</w:t>
      </w:r>
      <w:r w:rsidRPr="002F3B16">
        <w:rPr>
          <w:rFonts w:ascii="Times New Roman" w:hAnsi="Times New Roman" w:cs="Times New Roman"/>
          <w:sz w:val="24"/>
          <w:szCs w:val="24"/>
        </w:rPr>
        <w:t xml:space="preserve"> 8.</w:t>
      </w:r>
      <w:r w:rsidR="006F12DA">
        <w:rPr>
          <w:rFonts w:ascii="Times New Roman" w:hAnsi="Times New Roman" w:cs="Times New Roman"/>
          <w:sz w:val="24"/>
          <w:szCs w:val="24"/>
        </w:rPr>
        <w:t xml:space="preserve"> </w:t>
      </w:r>
      <w:proofErr w:type="gramStart"/>
      <w:r w:rsidRPr="002F3B16">
        <w:rPr>
          <w:rFonts w:ascii="Times New Roman" w:hAnsi="Times New Roman" w:cs="Times New Roman"/>
          <w:sz w:val="24"/>
          <w:szCs w:val="24"/>
        </w:rPr>
        <w:t>ed.</w:t>
      </w:r>
      <w:proofErr w:type="gramEnd"/>
      <w:r w:rsidRPr="002F3B16">
        <w:rPr>
          <w:rFonts w:ascii="Times New Roman" w:hAnsi="Times New Roman" w:cs="Times New Roman"/>
          <w:sz w:val="24"/>
          <w:szCs w:val="24"/>
        </w:rPr>
        <w:t xml:space="preserve"> São Paulo: Malheiros Editores, 2004.</w:t>
      </w:r>
    </w:p>
    <w:p w:rsidR="00AA62CB" w:rsidRPr="002F3B16" w:rsidRDefault="00AA62CB" w:rsidP="000242CA">
      <w:pPr>
        <w:tabs>
          <w:tab w:val="left" w:pos="2640"/>
        </w:tabs>
        <w:spacing w:after="0" w:line="240" w:lineRule="auto"/>
        <w:rPr>
          <w:rFonts w:ascii="Times New Roman" w:hAnsi="Times New Roman" w:cs="Times New Roman"/>
          <w:sz w:val="24"/>
          <w:szCs w:val="24"/>
        </w:rPr>
      </w:pPr>
    </w:p>
    <w:p w:rsidR="00AA62CB" w:rsidRPr="002F3B16" w:rsidRDefault="00AA62CB" w:rsidP="000242CA">
      <w:pPr>
        <w:tabs>
          <w:tab w:val="left" w:pos="2640"/>
        </w:tabs>
        <w:spacing w:after="0" w:line="240" w:lineRule="auto"/>
        <w:rPr>
          <w:rFonts w:ascii="Times New Roman" w:hAnsi="Times New Roman" w:cs="Times New Roman"/>
          <w:sz w:val="24"/>
          <w:szCs w:val="24"/>
        </w:rPr>
      </w:pPr>
    </w:p>
    <w:p w:rsidR="000242CA" w:rsidRPr="002F3B16" w:rsidRDefault="000242CA" w:rsidP="000242CA">
      <w:pPr>
        <w:tabs>
          <w:tab w:val="left" w:pos="2640"/>
        </w:tabs>
        <w:spacing w:after="0" w:line="240" w:lineRule="auto"/>
        <w:rPr>
          <w:rFonts w:ascii="Times New Roman" w:hAnsi="Times New Roman" w:cs="Times New Roman"/>
          <w:sz w:val="24"/>
          <w:szCs w:val="24"/>
        </w:rPr>
      </w:pPr>
      <w:r w:rsidRPr="002F3B16">
        <w:rPr>
          <w:rFonts w:ascii="Times New Roman" w:hAnsi="Times New Roman" w:cs="Times New Roman"/>
          <w:sz w:val="24"/>
          <w:szCs w:val="24"/>
        </w:rPr>
        <w:t xml:space="preserve">MARINONI, Luís Guilherme. </w:t>
      </w:r>
      <w:r w:rsidRPr="002F3B16">
        <w:rPr>
          <w:rFonts w:ascii="Times New Roman" w:hAnsi="Times New Roman" w:cs="Times New Roman"/>
          <w:b/>
          <w:sz w:val="24"/>
          <w:szCs w:val="24"/>
        </w:rPr>
        <w:t>Antecipação da Tutela</w:t>
      </w:r>
      <w:r w:rsidR="002567E9" w:rsidRPr="002F3B16">
        <w:rPr>
          <w:rFonts w:ascii="Times New Roman" w:hAnsi="Times New Roman" w:cs="Times New Roman"/>
          <w:sz w:val="24"/>
          <w:szCs w:val="24"/>
        </w:rPr>
        <w:t xml:space="preserve">. 11. </w:t>
      </w:r>
      <w:proofErr w:type="gramStart"/>
      <w:r w:rsidRPr="002F3B16">
        <w:rPr>
          <w:rFonts w:ascii="Times New Roman" w:hAnsi="Times New Roman" w:cs="Times New Roman"/>
          <w:sz w:val="24"/>
          <w:szCs w:val="24"/>
        </w:rPr>
        <w:t>ed.</w:t>
      </w:r>
      <w:proofErr w:type="gramEnd"/>
      <w:r w:rsidRPr="002F3B16">
        <w:rPr>
          <w:rFonts w:ascii="Times New Roman" w:hAnsi="Times New Roman" w:cs="Times New Roman"/>
          <w:sz w:val="24"/>
          <w:szCs w:val="24"/>
        </w:rPr>
        <w:t xml:space="preserve"> São Paulo. Editora: Revista dos Tribunais. 2009, p. 135.</w:t>
      </w:r>
    </w:p>
    <w:p w:rsidR="000242CA" w:rsidRPr="002F3B16" w:rsidRDefault="000242CA" w:rsidP="000242CA">
      <w:pPr>
        <w:tabs>
          <w:tab w:val="left" w:pos="2640"/>
        </w:tabs>
        <w:spacing w:after="0" w:line="240" w:lineRule="auto"/>
        <w:rPr>
          <w:rFonts w:ascii="Times New Roman" w:hAnsi="Times New Roman" w:cs="Times New Roman"/>
          <w:sz w:val="24"/>
          <w:szCs w:val="24"/>
        </w:rPr>
      </w:pPr>
    </w:p>
    <w:p w:rsidR="000242CA" w:rsidRPr="002F3B16" w:rsidRDefault="000242CA" w:rsidP="000242CA">
      <w:pPr>
        <w:tabs>
          <w:tab w:val="left" w:pos="2640"/>
        </w:tabs>
        <w:spacing w:after="0" w:line="240" w:lineRule="auto"/>
        <w:rPr>
          <w:rFonts w:ascii="Times New Roman" w:hAnsi="Times New Roman" w:cs="Times New Roman"/>
          <w:sz w:val="24"/>
          <w:szCs w:val="24"/>
        </w:rPr>
      </w:pPr>
    </w:p>
    <w:p w:rsidR="000242CA" w:rsidRPr="002F3B16" w:rsidRDefault="000242CA" w:rsidP="000242CA">
      <w:pPr>
        <w:tabs>
          <w:tab w:val="left" w:pos="2640"/>
        </w:tabs>
        <w:spacing w:after="0" w:line="240" w:lineRule="auto"/>
        <w:rPr>
          <w:rFonts w:ascii="Times New Roman" w:hAnsi="Times New Roman" w:cs="Times New Roman"/>
          <w:sz w:val="24"/>
          <w:szCs w:val="24"/>
        </w:rPr>
      </w:pPr>
      <w:r w:rsidRPr="002F3B16">
        <w:rPr>
          <w:rFonts w:ascii="Times New Roman" w:hAnsi="Times New Roman" w:cs="Times New Roman"/>
          <w:sz w:val="24"/>
          <w:szCs w:val="24"/>
        </w:rPr>
        <w:t xml:space="preserve">VIANA, Juvêncio Vasconcelos. </w:t>
      </w:r>
      <w:r w:rsidRPr="002F3B16">
        <w:rPr>
          <w:rFonts w:ascii="Times New Roman" w:hAnsi="Times New Roman" w:cs="Times New Roman"/>
          <w:b/>
          <w:sz w:val="24"/>
          <w:szCs w:val="24"/>
        </w:rPr>
        <w:t>Execução contra a Fazenda Pública.</w:t>
      </w:r>
      <w:r w:rsidRPr="002F3B16">
        <w:rPr>
          <w:rFonts w:ascii="Times New Roman" w:hAnsi="Times New Roman" w:cs="Times New Roman"/>
          <w:sz w:val="24"/>
          <w:szCs w:val="24"/>
        </w:rPr>
        <w:t xml:space="preserve"> São Paulo: Dialética, 1998.</w:t>
      </w:r>
    </w:p>
    <w:p w:rsidR="00D60950" w:rsidRDefault="00D60950"/>
    <w:sectPr w:rsidR="00D60950" w:rsidSect="00D6095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CFA" w:rsidRDefault="00690CFA" w:rsidP="00C769DC">
      <w:pPr>
        <w:spacing w:after="0" w:line="240" w:lineRule="auto"/>
      </w:pPr>
      <w:r>
        <w:separator/>
      </w:r>
    </w:p>
  </w:endnote>
  <w:endnote w:type="continuationSeparator" w:id="0">
    <w:p w:rsidR="00690CFA" w:rsidRDefault="00690CFA" w:rsidP="00C76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CFA" w:rsidRDefault="00690CFA" w:rsidP="00C769DC">
      <w:pPr>
        <w:spacing w:after="0" w:line="240" w:lineRule="auto"/>
      </w:pPr>
      <w:r>
        <w:separator/>
      </w:r>
    </w:p>
  </w:footnote>
  <w:footnote w:type="continuationSeparator" w:id="0">
    <w:p w:rsidR="00690CFA" w:rsidRDefault="00690CFA" w:rsidP="00C769DC">
      <w:pPr>
        <w:spacing w:after="0" w:line="240" w:lineRule="auto"/>
      </w:pPr>
      <w:r>
        <w:continuationSeparator/>
      </w:r>
    </w:p>
  </w:footnote>
  <w:footnote w:id="1">
    <w:p w:rsidR="007E5124" w:rsidRDefault="007E5124" w:rsidP="007E5124">
      <w:pPr>
        <w:pStyle w:val="Textodenotaderodap"/>
      </w:pPr>
      <w:r>
        <w:rPr>
          <w:rStyle w:val="Refdenotaderodap"/>
        </w:rPr>
        <w:footnoteRef/>
      </w:r>
      <w:r>
        <w:t xml:space="preserve"> Paper elaborada para a disciplina de Processo de Conhecimento I, da Unidade de Ensino Superior Dom Bosco – UNDB.</w:t>
      </w:r>
    </w:p>
    <w:p w:rsidR="007E5124" w:rsidRDefault="007E5124" w:rsidP="007E5124">
      <w:pPr>
        <w:pStyle w:val="Textodenotaderodap"/>
      </w:pPr>
      <w:r>
        <w:t>*</w:t>
      </w:r>
      <w:r w:rsidRPr="000643AE">
        <w:rPr>
          <w:rFonts w:asciiTheme="minorHAnsi" w:eastAsiaTheme="minorHAnsi" w:hAnsiTheme="minorHAnsi" w:cstheme="minorBidi"/>
          <w:sz w:val="22"/>
          <w:szCs w:val="22"/>
          <w:lang w:eastAsia="en-US"/>
        </w:rPr>
        <w:t xml:space="preserve"> </w:t>
      </w:r>
      <w:r w:rsidRPr="000643AE">
        <w:t>Aluna do 4º período do Curso de Direito da Unidade de Ensino Superior Dom Bosco; email</w:t>
      </w:r>
      <w:r>
        <w:t>: rayanne_sillva@hotmail.com.</w:t>
      </w:r>
    </w:p>
    <w:p w:rsidR="007E5124" w:rsidRDefault="007E5124" w:rsidP="007E5124">
      <w:pPr>
        <w:pStyle w:val="Textodenotaderodap"/>
      </w:pPr>
      <w:r>
        <w:t xml:space="preserve">** Aluna do 4º período do Curso de Direito da Unidade de Ensino Superior Dom Bosco; email: </w:t>
      </w:r>
    </w:p>
    <w:p w:rsidR="007E5124" w:rsidRDefault="007E5124" w:rsidP="007E5124">
      <w:pPr>
        <w:pStyle w:val="Textodenotaderodap"/>
      </w:pPr>
      <w:r>
        <w:t xml:space="preserve">thicianer@hotmail.com.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4582A"/>
    <w:multiLevelType w:val="multilevel"/>
    <w:tmpl w:val="FF2E1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606E12"/>
    <w:rsid w:val="000069FB"/>
    <w:rsid w:val="00006CB9"/>
    <w:rsid w:val="0000703B"/>
    <w:rsid w:val="00007EFD"/>
    <w:rsid w:val="0001170D"/>
    <w:rsid w:val="00017DC3"/>
    <w:rsid w:val="000242CA"/>
    <w:rsid w:val="00025227"/>
    <w:rsid w:val="0002676E"/>
    <w:rsid w:val="00045293"/>
    <w:rsid w:val="00045741"/>
    <w:rsid w:val="00050F64"/>
    <w:rsid w:val="00060E60"/>
    <w:rsid w:val="0006154A"/>
    <w:rsid w:val="000643AE"/>
    <w:rsid w:val="00070025"/>
    <w:rsid w:val="00071ECF"/>
    <w:rsid w:val="000725B0"/>
    <w:rsid w:val="00077706"/>
    <w:rsid w:val="00087156"/>
    <w:rsid w:val="0009079D"/>
    <w:rsid w:val="00090ECC"/>
    <w:rsid w:val="00091904"/>
    <w:rsid w:val="00093263"/>
    <w:rsid w:val="000932A1"/>
    <w:rsid w:val="00093CF3"/>
    <w:rsid w:val="000B0A30"/>
    <w:rsid w:val="000B170A"/>
    <w:rsid w:val="000B6FA4"/>
    <w:rsid w:val="000C0B2A"/>
    <w:rsid w:val="000D5389"/>
    <w:rsid w:val="000D558E"/>
    <w:rsid w:val="000E06B1"/>
    <w:rsid w:val="000F00DF"/>
    <w:rsid w:val="000F31A9"/>
    <w:rsid w:val="000F4C23"/>
    <w:rsid w:val="00101A3F"/>
    <w:rsid w:val="00103A36"/>
    <w:rsid w:val="00104C61"/>
    <w:rsid w:val="001164B7"/>
    <w:rsid w:val="00123722"/>
    <w:rsid w:val="001243F0"/>
    <w:rsid w:val="0012625A"/>
    <w:rsid w:val="001264F6"/>
    <w:rsid w:val="00130E92"/>
    <w:rsid w:val="00134181"/>
    <w:rsid w:val="00141ABD"/>
    <w:rsid w:val="0015159F"/>
    <w:rsid w:val="00157F10"/>
    <w:rsid w:val="001618DC"/>
    <w:rsid w:val="00162206"/>
    <w:rsid w:val="001708C0"/>
    <w:rsid w:val="0018710A"/>
    <w:rsid w:val="00187A7B"/>
    <w:rsid w:val="00187BD1"/>
    <w:rsid w:val="001904CD"/>
    <w:rsid w:val="00191EF5"/>
    <w:rsid w:val="001A0B6B"/>
    <w:rsid w:val="001A3363"/>
    <w:rsid w:val="001A7684"/>
    <w:rsid w:val="001B0A7D"/>
    <w:rsid w:val="001B0AA2"/>
    <w:rsid w:val="001B46B3"/>
    <w:rsid w:val="001B671D"/>
    <w:rsid w:val="001C0EEE"/>
    <w:rsid w:val="001C2474"/>
    <w:rsid w:val="001C31BF"/>
    <w:rsid w:val="001D1C5B"/>
    <w:rsid w:val="001D55C1"/>
    <w:rsid w:val="001F0B36"/>
    <w:rsid w:val="00202DFA"/>
    <w:rsid w:val="0023121E"/>
    <w:rsid w:val="002337B9"/>
    <w:rsid w:val="00235E5A"/>
    <w:rsid w:val="00236CE9"/>
    <w:rsid w:val="00252D64"/>
    <w:rsid w:val="002567E9"/>
    <w:rsid w:val="00256A41"/>
    <w:rsid w:val="002661DA"/>
    <w:rsid w:val="002735F4"/>
    <w:rsid w:val="00273900"/>
    <w:rsid w:val="00273BDA"/>
    <w:rsid w:val="00274F16"/>
    <w:rsid w:val="002768AB"/>
    <w:rsid w:val="00281D68"/>
    <w:rsid w:val="00293325"/>
    <w:rsid w:val="002A0A4E"/>
    <w:rsid w:val="002A6B54"/>
    <w:rsid w:val="002C026F"/>
    <w:rsid w:val="002C1CCA"/>
    <w:rsid w:val="002C5865"/>
    <w:rsid w:val="002D40FC"/>
    <w:rsid w:val="002E44E2"/>
    <w:rsid w:val="002E48A8"/>
    <w:rsid w:val="002F126B"/>
    <w:rsid w:val="002F3B16"/>
    <w:rsid w:val="00303415"/>
    <w:rsid w:val="00307726"/>
    <w:rsid w:val="00316ED9"/>
    <w:rsid w:val="003273FF"/>
    <w:rsid w:val="0032776A"/>
    <w:rsid w:val="00334F93"/>
    <w:rsid w:val="0033794D"/>
    <w:rsid w:val="00347889"/>
    <w:rsid w:val="00350B8B"/>
    <w:rsid w:val="0035126D"/>
    <w:rsid w:val="00367CAD"/>
    <w:rsid w:val="00370335"/>
    <w:rsid w:val="00371703"/>
    <w:rsid w:val="00372264"/>
    <w:rsid w:val="00382754"/>
    <w:rsid w:val="0038332B"/>
    <w:rsid w:val="00383AD4"/>
    <w:rsid w:val="00391A15"/>
    <w:rsid w:val="00392C2A"/>
    <w:rsid w:val="00392FFD"/>
    <w:rsid w:val="003A1304"/>
    <w:rsid w:val="003A58D0"/>
    <w:rsid w:val="003B215B"/>
    <w:rsid w:val="003B7876"/>
    <w:rsid w:val="003B7CDF"/>
    <w:rsid w:val="003C5D77"/>
    <w:rsid w:val="003D0482"/>
    <w:rsid w:val="003E0C9F"/>
    <w:rsid w:val="003E25B8"/>
    <w:rsid w:val="003E48E4"/>
    <w:rsid w:val="003F4EC6"/>
    <w:rsid w:val="0040301D"/>
    <w:rsid w:val="00407691"/>
    <w:rsid w:val="004126E7"/>
    <w:rsid w:val="004151F9"/>
    <w:rsid w:val="0042188B"/>
    <w:rsid w:val="004231F0"/>
    <w:rsid w:val="00424DD7"/>
    <w:rsid w:val="00424F27"/>
    <w:rsid w:val="004425A3"/>
    <w:rsid w:val="0045607E"/>
    <w:rsid w:val="00460501"/>
    <w:rsid w:val="004626A0"/>
    <w:rsid w:val="00462BD3"/>
    <w:rsid w:val="00465243"/>
    <w:rsid w:val="00467212"/>
    <w:rsid w:val="00471D53"/>
    <w:rsid w:val="004739EA"/>
    <w:rsid w:val="00473C8E"/>
    <w:rsid w:val="004769D0"/>
    <w:rsid w:val="004815B7"/>
    <w:rsid w:val="00484064"/>
    <w:rsid w:val="004924FC"/>
    <w:rsid w:val="0049478B"/>
    <w:rsid w:val="00496514"/>
    <w:rsid w:val="004B4D33"/>
    <w:rsid w:val="004C4D2A"/>
    <w:rsid w:val="004C7D48"/>
    <w:rsid w:val="004D1604"/>
    <w:rsid w:val="00500242"/>
    <w:rsid w:val="005011B6"/>
    <w:rsid w:val="0050451B"/>
    <w:rsid w:val="0051199D"/>
    <w:rsid w:val="00517663"/>
    <w:rsid w:val="00525A46"/>
    <w:rsid w:val="0052666A"/>
    <w:rsid w:val="00535564"/>
    <w:rsid w:val="00544F06"/>
    <w:rsid w:val="005558EF"/>
    <w:rsid w:val="00561872"/>
    <w:rsid w:val="00562BAC"/>
    <w:rsid w:val="00562CAF"/>
    <w:rsid w:val="00573C9E"/>
    <w:rsid w:val="00574084"/>
    <w:rsid w:val="0058135E"/>
    <w:rsid w:val="005827E8"/>
    <w:rsid w:val="0059139B"/>
    <w:rsid w:val="00595F0C"/>
    <w:rsid w:val="005965B5"/>
    <w:rsid w:val="00597F37"/>
    <w:rsid w:val="005A0B2D"/>
    <w:rsid w:val="005A6827"/>
    <w:rsid w:val="005B0C47"/>
    <w:rsid w:val="005C3FE8"/>
    <w:rsid w:val="005C5525"/>
    <w:rsid w:val="005D1991"/>
    <w:rsid w:val="005D2B91"/>
    <w:rsid w:val="005D3A92"/>
    <w:rsid w:val="005D677F"/>
    <w:rsid w:val="005D723D"/>
    <w:rsid w:val="005E0159"/>
    <w:rsid w:val="005E7459"/>
    <w:rsid w:val="005F1C87"/>
    <w:rsid w:val="005F7504"/>
    <w:rsid w:val="005F76D7"/>
    <w:rsid w:val="00600358"/>
    <w:rsid w:val="00601486"/>
    <w:rsid w:val="006023D7"/>
    <w:rsid w:val="00604486"/>
    <w:rsid w:val="00606E12"/>
    <w:rsid w:val="00621348"/>
    <w:rsid w:val="00631BE3"/>
    <w:rsid w:val="0065764D"/>
    <w:rsid w:val="00672B54"/>
    <w:rsid w:val="0068080D"/>
    <w:rsid w:val="00690CFA"/>
    <w:rsid w:val="00691E17"/>
    <w:rsid w:val="0069383E"/>
    <w:rsid w:val="006A032A"/>
    <w:rsid w:val="006B4340"/>
    <w:rsid w:val="006B6E90"/>
    <w:rsid w:val="006C0DAF"/>
    <w:rsid w:val="006C208F"/>
    <w:rsid w:val="006C2B6B"/>
    <w:rsid w:val="006D15BD"/>
    <w:rsid w:val="006D302E"/>
    <w:rsid w:val="006D3AB6"/>
    <w:rsid w:val="006D4F8D"/>
    <w:rsid w:val="006E267B"/>
    <w:rsid w:val="006F0E13"/>
    <w:rsid w:val="006F12DA"/>
    <w:rsid w:val="006F3C62"/>
    <w:rsid w:val="0070499D"/>
    <w:rsid w:val="007111BD"/>
    <w:rsid w:val="00717419"/>
    <w:rsid w:val="007410FB"/>
    <w:rsid w:val="00742579"/>
    <w:rsid w:val="0075142C"/>
    <w:rsid w:val="00752179"/>
    <w:rsid w:val="00754A80"/>
    <w:rsid w:val="00764AE6"/>
    <w:rsid w:val="0078558F"/>
    <w:rsid w:val="00787023"/>
    <w:rsid w:val="007917E5"/>
    <w:rsid w:val="0079286B"/>
    <w:rsid w:val="00797ED0"/>
    <w:rsid w:val="007A2179"/>
    <w:rsid w:val="007A75B5"/>
    <w:rsid w:val="007B4138"/>
    <w:rsid w:val="007B4BF2"/>
    <w:rsid w:val="007C12A5"/>
    <w:rsid w:val="007C1C6B"/>
    <w:rsid w:val="007D2302"/>
    <w:rsid w:val="007E0CB7"/>
    <w:rsid w:val="007E5124"/>
    <w:rsid w:val="007E5FAB"/>
    <w:rsid w:val="007E65BB"/>
    <w:rsid w:val="007E7131"/>
    <w:rsid w:val="007F0A6B"/>
    <w:rsid w:val="008146F3"/>
    <w:rsid w:val="008217A6"/>
    <w:rsid w:val="0082388B"/>
    <w:rsid w:val="00834547"/>
    <w:rsid w:val="008456F2"/>
    <w:rsid w:val="0088278B"/>
    <w:rsid w:val="008844FA"/>
    <w:rsid w:val="00891C62"/>
    <w:rsid w:val="0089273E"/>
    <w:rsid w:val="008970E3"/>
    <w:rsid w:val="008A0B17"/>
    <w:rsid w:val="008A1ED0"/>
    <w:rsid w:val="008B5349"/>
    <w:rsid w:val="008B740E"/>
    <w:rsid w:val="008C144A"/>
    <w:rsid w:val="008C2EB0"/>
    <w:rsid w:val="008C31ED"/>
    <w:rsid w:val="008C409B"/>
    <w:rsid w:val="008D2363"/>
    <w:rsid w:val="008D5A09"/>
    <w:rsid w:val="008F3C7B"/>
    <w:rsid w:val="009044CD"/>
    <w:rsid w:val="009102B2"/>
    <w:rsid w:val="009108F7"/>
    <w:rsid w:val="00925349"/>
    <w:rsid w:val="009265F1"/>
    <w:rsid w:val="00950D0F"/>
    <w:rsid w:val="009535A4"/>
    <w:rsid w:val="009541FC"/>
    <w:rsid w:val="009547FE"/>
    <w:rsid w:val="009573D8"/>
    <w:rsid w:val="00972B08"/>
    <w:rsid w:val="00972D33"/>
    <w:rsid w:val="00983FA7"/>
    <w:rsid w:val="00987346"/>
    <w:rsid w:val="00997B80"/>
    <w:rsid w:val="009B1298"/>
    <w:rsid w:val="009C0424"/>
    <w:rsid w:val="009C0804"/>
    <w:rsid w:val="009C3277"/>
    <w:rsid w:val="009C7208"/>
    <w:rsid w:val="009E30D6"/>
    <w:rsid w:val="009E337A"/>
    <w:rsid w:val="009E4271"/>
    <w:rsid w:val="009E53A5"/>
    <w:rsid w:val="009E5467"/>
    <w:rsid w:val="009E6A4D"/>
    <w:rsid w:val="009E792B"/>
    <w:rsid w:val="009F132B"/>
    <w:rsid w:val="009F3253"/>
    <w:rsid w:val="009F3EB7"/>
    <w:rsid w:val="00A031A5"/>
    <w:rsid w:val="00A07307"/>
    <w:rsid w:val="00A07D59"/>
    <w:rsid w:val="00A10B4D"/>
    <w:rsid w:val="00A23B60"/>
    <w:rsid w:val="00A329A0"/>
    <w:rsid w:val="00A33998"/>
    <w:rsid w:val="00A34797"/>
    <w:rsid w:val="00A3499D"/>
    <w:rsid w:val="00A34F68"/>
    <w:rsid w:val="00A35DED"/>
    <w:rsid w:val="00A575D2"/>
    <w:rsid w:val="00A651E8"/>
    <w:rsid w:val="00A72BBD"/>
    <w:rsid w:val="00A86B29"/>
    <w:rsid w:val="00A914FD"/>
    <w:rsid w:val="00AA3A90"/>
    <w:rsid w:val="00AA3BB4"/>
    <w:rsid w:val="00AA62CB"/>
    <w:rsid w:val="00AB1038"/>
    <w:rsid w:val="00AB5835"/>
    <w:rsid w:val="00AB7E4E"/>
    <w:rsid w:val="00AC3627"/>
    <w:rsid w:val="00AC5BB0"/>
    <w:rsid w:val="00AC680E"/>
    <w:rsid w:val="00AD01F3"/>
    <w:rsid w:val="00AD1EF7"/>
    <w:rsid w:val="00AD22BA"/>
    <w:rsid w:val="00AD44E5"/>
    <w:rsid w:val="00AD61CF"/>
    <w:rsid w:val="00AD7140"/>
    <w:rsid w:val="00AD7518"/>
    <w:rsid w:val="00AD75C8"/>
    <w:rsid w:val="00AD7860"/>
    <w:rsid w:val="00AF0BD5"/>
    <w:rsid w:val="00AF47E9"/>
    <w:rsid w:val="00B03A71"/>
    <w:rsid w:val="00B1413C"/>
    <w:rsid w:val="00B212B8"/>
    <w:rsid w:val="00B2336E"/>
    <w:rsid w:val="00B333E2"/>
    <w:rsid w:val="00B34119"/>
    <w:rsid w:val="00B354A4"/>
    <w:rsid w:val="00B43206"/>
    <w:rsid w:val="00B436E7"/>
    <w:rsid w:val="00B43968"/>
    <w:rsid w:val="00B45FE2"/>
    <w:rsid w:val="00B47BE4"/>
    <w:rsid w:val="00B507C9"/>
    <w:rsid w:val="00B50DBD"/>
    <w:rsid w:val="00B50F35"/>
    <w:rsid w:val="00B6264E"/>
    <w:rsid w:val="00B64F9F"/>
    <w:rsid w:val="00B652F9"/>
    <w:rsid w:val="00B66E4D"/>
    <w:rsid w:val="00B678A6"/>
    <w:rsid w:val="00B678AB"/>
    <w:rsid w:val="00B718D7"/>
    <w:rsid w:val="00B73CF5"/>
    <w:rsid w:val="00B773FD"/>
    <w:rsid w:val="00B957EA"/>
    <w:rsid w:val="00BA3BE8"/>
    <w:rsid w:val="00BA467D"/>
    <w:rsid w:val="00BA753C"/>
    <w:rsid w:val="00BC5FAD"/>
    <w:rsid w:val="00BD1A1B"/>
    <w:rsid w:val="00BD3B9A"/>
    <w:rsid w:val="00BE5EB8"/>
    <w:rsid w:val="00BE5FA1"/>
    <w:rsid w:val="00BE7322"/>
    <w:rsid w:val="00BF0225"/>
    <w:rsid w:val="00BF0A62"/>
    <w:rsid w:val="00BF406B"/>
    <w:rsid w:val="00BF5244"/>
    <w:rsid w:val="00C0355F"/>
    <w:rsid w:val="00C055C9"/>
    <w:rsid w:val="00C07924"/>
    <w:rsid w:val="00C15AD7"/>
    <w:rsid w:val="00C17E69"/>
    <w:rsid w:val="00C20B9C"/>
    <w:rsid w:val="00C234C8"/>
    <w:rsid w:val="00C32440"/>
    <w:rsid w:val="00C33B76"/>
    <w:rsid w:val="00C35737"/>
    <w:rsid w:val="00C46DCF"/>
    <w:rsid w:val="00C60B3A"/>
    <w:rsid w:val="00C6330E"/>
    <w:rsid w:val="00C67E5F"/>
    <w:rsid w:val="00C74B00"/>
    <w:rsid w:val="00C769DC"/>
    <w:rsid w:val="00C830BE"/>
    <w:rsid w:val="00C90E6F"/>
    <w:rsid w:val="00CA0B5A"/>
    <w:rsid w:val="00CA166D"/>
    <w:rsid w:val="00CA1C1E"/>
    <w:rsid w:val="00CA2B40"/>
    <w:rsid w:val="00CB4B88"/>
    <w:rsid w:val="00CB563A"/>
    <w:rsid w:val="00CB777F"/>
    <w:rsid w:val="00CC0C39"/>
    <w:rsid w:val="00CD1375"/>
    <w:rsid w:val="00CD25A1"/>
    <w:rsid w:val="00CD74E5"/>
    <w:rsid w:val="00CE14DE"/>
    <w:rsid w:val="00CE6CEC"/>
    <w:rsid w:val="00CF2C67"/>
    <w:rsid w:val="00CF46D9"/>
    <w:rsid w:val="00CF703D"/>
    <w:rsid w:val="00D0583B"/>
    <w:rsid w:val="00D100DC"/>
    <w:rsid w:val="00D10896"/>
    <w:rsid w:val="00D1707C"/>
    <w:rsid w:val="00D2010E"/>
    <w:rsid w:val="00D33FFB"/>
    <w:rsid w:val="00D36E84"/>
    <w:rsid w:val="00D43FCE"/>
    <w:rsid w:val="00D43FD3"/>
    <w:rsid w:val="00D45F1A"/>
    <w:rsid w:val="00D50177"/>
    <w:rsid w:val="00D51EBC"/>
    <w:rsid w:val="00D54EDF"/>
    <w:rsid w:val="00D6062C"/>
    <w:rsid w:val="00D60950"/>
    <w:rsid w:val="00D621D3"/>
    <w:rsid w:val="00D63392"/>
    <w:rsid w:val="00D65E03"/>
    <w:rsid w:val="00D667FB"/>
    <w:rsid w:val="00D67FFB"/>
    <w:rsid w:val="00D77A3A"/>
    <w:rsid w:val="00D80910"/>
    <w:rsid w:val="00D80BD8"/>
    <w:rsid w:val="00D93AF3"/>
    <w:rsid w:val="00DB343E"/>
    <w:rsid w:val="00DC0FAE"/>
    <w:rsid w:val="00DC20C4"/>
    <w:rsid w:val="00DC3B51"/>
    <w:rsid w:val="00DC5DEE"/>
    <w:rsid w:val="00DC6024"/>
    <w:rsid w:val="00DC727B"/>
    <w:rsid w:val="00DD247D"/>
    <w:rsid w:val="00DE413C"/>
    <w:rsid w:val="00DF0253"/>
    <w:rsid w:val="00DF3A1F"/>
    <w:rsid w:val="00E01E30"/>
    <w:rsid w:val="00E07436"/>
    <w:rsid w:val="00E11125"/>
    <w:rsid w:val="00E17396"/>
    <w:rsid w:val="00E252B9"/>
    <w:rsid w:val="00E50B01"/>
    <w:rsid w:val="00E64F4B"/>
    <w:rsid w:val="00E7693A"/>
    <w:rsid w:val="00E8272C"/>
    <w:rsid w:val="00E86889"/>
    <w:rsid w:val="00E93E79"/>
    <w:rsid w:val="00EA0864"/>
    <w:rsid w:val="00EA1A57"/>
    <w:rsid w:val="00EA3E0D"/>
    <w:rsid w:val="00EA4D18"/>
    <w:rsid w:val="00EC1FF2"/>
    <w:rsid w:val="00EC6E4C"/>
    <w:rsid w:val="00ED3FB4"/>
    <w:rsid w:val="00ED666E"/>
    <w:rsid w:val="00EE08AB"/>
    <w:rsid w:val="00EE1D70"/>
    <w:rsid w:val="00EE43CA"/>
    <w:rsid w:val="00EE5F5C"/>
    <w:rsid w:val="00EF00AD"/>
    <w:rsid w:val="00F00423"/>
    <w:rsid w:val="00F01D69"/>
    <w:rsid w:val="00F12DA6"/>
    <w:rsid w:val="00F12F33"/>
    <w:rsid w:val="00F24046"/>
    <w:rsid w:val="00F2694D"/>
    <w:rsid w:val="00F42463"/>
    <w:rsid w:val="00F43469"/>
    <w:rsid w:val="00F47F4B"/>
    <w:rsid w:val="00F608C2"/>
    <w:rsid w:val="00F60ED0"/>
    <w:rsid w:val="00F6205D"/>
    <w:rsid w:val="00F6222F"/>
    <w:rsid w:val="00F62CDD"/>
    <w:rsid w:val="00F64125"/>
    <w:rsid w:val="00F7530A"/>
    <w:rsid w:val="00F81CC0"/>
    <w:rsid w:val="00F902BF"/>
    <w:rsid w:val="00F90FC1"/>
    <w:rsid w:val="00F96773"/>
    <w:rsid w:val="00FA0CBC"/>
    <w:rsid w:val="00FA6002"/>
    <w:rsid w:val="00FA661A"/>
    <w:rsid w:val="00FB1DD0"/>
    <w:rsid w:val="00FB74E9"/>
    <w:rsid w:val="00FC2D22"/>
    <w:rsid w:val="00FC4CC2"/>
    <w:rsid w:val="00FC53E6"/>
    <w:rsid w:val="00FC5FF9"/>
    <w:rsid w:val="00FD0379"/>
    <w:rsid w:val="00FD0D99"/>
    <w:rsid w:val="00FD5E8B"/>
    <w:rsid w:val="00FE7096"/>
    <w:rsid w:val="00FE7AA4"/>
    <w:rsid w:val="00FF22DA"/>
    <w:rsid w:val="00FF7968"/>
    <w:rsid w:val="00FF7F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06E12"/>
    <w:rPr>
      <w:color w:val="0000FF" w:themeColor="hyperlink"/>
      <w:u w:val="single"/>
    </w:rPr>
  </w:style>
  <w:style w:type="paragraph" w:styleId="Textodenotaderodap">
    <w:name w:val="footnote text"/>
    <w:basedOn w:val="Normal"/>
    <w:link w:val="TextodenotaderodapChar"/>
    <w:semiHidden/>
    <w:rsid w:val="00C769D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769D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C769DC"/>
    <w:rPr>
      <w:vertAlign w:val="superscript"/>
    </w:rPr>
  </w:style>
  <w:style w:type="paragraph" w:styleId="NormalWeb">
    <w:name w:val="Normal (Web)"/>
    <w:basedOn w:val="Normal"/>
    <w:uiPriority w:val="99"/>
    <w:unhideWhenUsed/>
    <w:rsid w:val="00A349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CD25A1"/>
  </w:style>
  <w:style w:type="paragraph" w:styleId="PargrafodaLista">
    <w:name w:val="List Paragraph"/>
    <w:basedOn w:val="Normal"/>
    <w:uiPriority w:val="34"/>
    <w:qFormat/>
    <w:rsid w:val="000242CA"/>
    <w:pPr>
      <w:ind w:left="720"/>
      <w:contextualSpacing/>
    </w:pPr>
  </w:style>
</w:styles>
</file>

<file path=word/webSettings.xml><?xml version="1.0" encoding="utf-8"?>
<w:webSettings xmlns:r="http://schemas.openxmlformats.org/officeDocument/2006/relationships" xmlns:w="http://schemas.openxmlformats.org/wordprocessingml/2006/main">
  <w:divs>
    <w:div w:id="757869732">
      <w:bodyDiv w:val="1"/>
      <w:marLeft w:val="0"/>
      <w:marRight w:val="0"/>
      <w:marTop w:val="0"/>
      <w:marBottom w:val="0"/>
      <w:divBdr>
        <w:top w:val="none" w:sz="0" w:space="0" w:color="auto"/>
        <w:left w:val="none" w:sz="0" w:space="0" w:color="auto"/>
        <w:bottom w:val="none" w:sz="0" w:space="0" w:color="auto"/>
        <w:right w:val="none" w:sz="0" w:space="0" w:color="auto"/>
      </w:divBdr>
      <w:divsChild>
        <w:div w:id="1497845179">
          <w:marLeft w:val="0"/>
          <w:marRight w:val="0"/>
          <w:marTop w:val="0"/>
          <w:marBottom w:val="0"/>
          <w:divBdr>
            <w:top w:val="none" w:sz="0" w:space="0" w:color="auto"/>
            <w:left w:val="none" w:sz="0" w:space="0" w:color="auto"/>
            <w:bottom w:val="none" w:sz="0" w:space="0" w:color="auto"/>
            <w:right w:val="none" w:sz="0" w:space="0" w:color="auto"/>
          </w:divBdr>
          <w:divsChild>
            <w:div w:id="570774029">
              <w:marLeft w:val="0"/>
              <w:marRight w:val="0"/>
              <w:marTop w:val="0"/>
              <w:marBottom w:val="0"/>
              <w:divBdr>
                <w:top w:val="none" w:sz="0" w:space="0" w:color="auto"/>
                <w:left w:val="none" w:sz="0" w:space="0" w:color="auto"/>
                <w:bottom w:val="none" w:sz="0" w:space="0" w:color="auto"/>
                <w:right w:val="none" w:sz="0" w:space="0" w:color="auto"/>
              </w:divBdr>
              <w:divsChild>
                <w:div w:id="915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9540">
      <w:bodyDiv w:val="1"/>
      <w:marLeft w:val="0"/>
      <w:marRight w:val="0"/>
      <w:marTop w:val="0"/>
      <w:marBottom w:val="0"/>
      <w:divBdr>
        <w:top w:val="none" w:sz="0" w:space="0" w:color="auto"/>
        <w:left w:val="none" w:sz="0" w:space="0" w:color="auto"/>
        <w:bottom w:val="none" w:sz="0" w:space="0" w:color="auto"/>
        <w:right w:val="none" w:sz="0" w:space="0" w:color="auto"/>
      </w:divBdr>
      <w:divsChild>
        <w:div w:id="1303728119">
          <w:marLeft w:val="0"/>
          <w:marRight w:val="0"/>
          <w:marTop w:val="0"/>
          <w:marBottom w:val="0"/>
          <w:divBdr>
            <w:top w:val="none" w:sz="0" w:space="0" w:color="auto"/>
            <w:left w:val="none" w:sz="0" w:space="0" w:color="auto"/>
            <w:bottom w:val="none" w:sz="0" w:space="0" w:color="auto"/>
            <w:right w:val="none" w:sz="0" w:space="0" w:color="auto"/>
          </w:divBdr>
          <w:divsChild>
            <w:div w:id="1245726050">
              <w:marLeft w:val="0"/>
              <w:marRight w:val="0"/>
              <w:marTop w:val="0"/>
              <w:marBottom w:val="0"/>
              <w:divBdr>
                <w:top w:val="none" w:sz="0" w:space="0" w:color="auto"/>
                <w:left w:val="none" w:sz="0" w:space="0" w:color="auto"/>
                <w:bottom w:val="none" w:sz="0" w:space="0" w:color="auto"/>
                <w:right w:val="none" w:sz="0" w:space="0" w:color="auto"/>
              </w:divBdr>
              <w:divsChild>
                <w:div w:id="15021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138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82">
          <w:marLeft w:val="0"/>
          <w:marRight w:val="0"/>
          <w:marTop w:val="0"/>
          <w:marBottom w:val="0"/>
          <w:divBdr>
            <w:top w:val="none" w:sz="0" w:space="0" w:color="auto"/>
            <w:left w:val="none" w:sz="0" w:space="0" w:color="auto"/>
            <w:bottom w:val="none" w:sz="0" w:space="0" w:color="auto"/>
            <w:right w:val="none" w:sz="0" w:space="0" w:color="auto"/>
          </w:divBdr>
          <w:divsChild>
            <w:div w:id="551573934">
              <w:marLeft w:val="0"/>
              <w:marRight w:val="0"/>
              <w:marTop w:val="0"/>
              <w:marBottom w:val="0"/>
              <w:divBdr>
                <w:top w:val="none" w:sz="0" w:space="0" w:color="auto"/>
                <w:left w:val="none" w:sz="0" w:space="0" w:color="auto"/>
                <w:bottom w:val="none" w:sz="0" w:space="0" w:color="auto"/>
                <w:right w:val="none" w:sz="0" w:space="0" w:color="auto"/>
              </w:divBdr>
              <w:divsChild>
                <w:div w:id="17869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8585">
      <w:bodyDiv w:val="1"/>
      <w:marLeft w:val="0"/>
      <w:marRight w:val="0"/>
      <w:marTop w:val="0"/>
      <w:marBottom w:val="0"/>
      <w:divBdr>
        <w:top w:val="none" w:sz="0" w:space="0" w:color="auto"/>
        <w:left w:val="none" w:sz="0" w:space="0" w:color="auto"/>
        <w:bottom w:val="none" w:sz="0" w:space="0" w:color="auto"/>
        <w:right w:val="none" w:sz="0" w:space="0" w:color="auto"/>
      </w:divBdr>
      <w:divsChild>
        <w:div w:id="1371371090">
          <w:marLeft w:val="0"/>
          <w:marRight w:val="0"/>
          <w:marTop w:val="0"/>
          <w:marBottom w:val="0"/>
          <w:divBdr>
            <w:top w:val="none" w:sz="0" w:space="0" w:color="auto"/>
            <w:left w:val="none" w:sz="0" w:space="0" w:color="auto"/>
            <w:bottom w:val="none" w:sz="0" w:space="0" w:color="auto"/>
            <w:right w:val="none" w:sz="0" w:space="0" w:color="auto"/>
          </w:divBdr>
          <w:divsChild>
            <w:div w:id="1478767511">
              <w:marLeft w:val="0"/>
              <w:marRight w:val="0"/>
              <w:marTop w:val="0"/>
              <w:marBottom w:val="0"/>
              <w:divBdr>
                <w:top w:val="none" w:sz="0" w:space="0" w:color="auto"/>
                <w:left w:val="none" w:sz="0" w:space="0" w:color="auto"/>
                <w:bottom w:val="none" w:sz="0" w:space="0" w:color="auto"/>
                <w:right w:val="none" w:sz="0" w:space="0" w:color="auto"/>
              </w:divBdr>
              <w:divsChild>
                <w:div w:id="15910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6711">
      <w:bodyDiv w:val="1"/>
      <w:marLeft w:val="0"/>
      <w:marRight w:val="0"/>
      <w:marTop w:val="0"/>
      <w:marBottom w:val="0"/>
      <w:divBdr>
        <w:top w:val="none" w:sz="0" w:space="0" w:color="auto"/>
        <w:left w:val="none" w:sz="0" w:space="0" w:color="auto"/>
        <w:bottom w:val="none" w:sz="0" w:space="0" w:color="auto"/>
        <w:right w:val="none" w:sz="0" w:space="0" w:color="auto"/>
      </w:divBdr>
      <w:divsChild>
        <w:div w:id="2126843204">
          <w:marLeft w:val="0"/>
          <w:marRight w:val="0"/>
          <w:marTop w:val="0"/>
          <w:marBottom w:val="0"/>
          <w:divBdr>
            <w:top w:val="none" w:sz="0" w:space="0" w:color="auto"/>
            <w:left w:val="none" w:sz="0" w:space="0" w:color="auto"/>
            <w:bottom w:val="none" w:sz="0" w:space="0" w:color="auto"/>
            <w:right w:val="none" w:sz="0" w:space="0" w:color="auto"/>
          </w:divBdr>
          <w:divsChild>
            <w:div w:id="1206411921">
              <w:marLeft w:val="0"/>
              <w:marRight w:val="0"/>
              <w:marTop w:val="0"/>
              <w:marBottom w:val="0"/>
              <w:divBdr>
                <w:top w:val="none" w:sz="0" w:space="0" w:color="auto"/>
                <w:left w:val="none" w:sz="0" w:space="0" w:color="auto"/>
                <w:bottom w:val="none" w:sz="0" w:space="0" w:color="auto"/>
                <w:right w:val="none" w:sz="0" w:space="0" w:color="auto"/>
              </w:divBdr>
              <w:divsChild>
                <w:div w:id="541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Primeira_inst%C3%A2ncia" TargetMode="External"/><Relationship Id="rId13" Type="http://schemas.openxmlformats.org/officeDocument/2006/relationships/hyperlink" Target="http://pt.wikipedia.org/wiki/Brasileiro" TargetMode="External"/><Relationship Id="rId3" Type="http://schemas.openxmlformats.org/officeDocument/2006/relationships/settings" Target="settings.xml"/><Relationship Id="rId7" Type="http://schemas.openxmlformats.org/officeDocument/2006/relationships/hyperlink" Target="http://pt.wikipedia.org/wiki/Decis%C3%A3o_interlocut%C3%B3ria" TargetMode="External"/><Relationship Id="rId12" Type="http://schemas.openxmlformats.org/officeDocument/2006/relationships/hyperlink" Target="http://pt.wikipedia.org/wiki/Direit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Luiz_Guilherme_Marinoni" TargetMode="External"/><Relationship Id="rId5" Type="http://schemas.openxmlformats.org/officeDocument/2006/relationships/footnotes" Target="footnotes.xml"/><Relationship Id="rId15" Type="http://schemas.openxmlformats.org/officeDocument/2006/relationships/hyperlink" Target="http://www.jurisway.org.br/v2/dhall.asp?id_dh=4338" TargetMode="External"/><Relationship Id="rId10" Type="http://schemas.openxmlformats.org/officeDocument/2006/relationships/hyperlink" Target="http://pt.wikipedia.org/wiki/Jean_Carlos_Dias" TargetMode="External"/><Relationship Id="rId4" Type="http://schemas.openxmlformats.org/officeDocument/2006/relationships/webSettings" Target="webSettings.xml"/><Relationship Id="rId9" Type="http://schemas.openxmlformats.org/officeDocument/2006/relationships/hyperlink" Target="http://pt.wikipedia.org/wiki/C%C3%B3digo_de_Processo_Civil" TargetMode="External"/><Relationship Id="rId14" Type="http://schemas.openxmlformats.org/officeDocument/2006/relationships/hyperlink" Target="http://jus.com.br/revista/texto/2752/aspectos-polemicos-da-tutela-antecipada-contra-a-fazenda-publ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4403</Words>
  <Characters>23781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Thiciane</dc:creator>
  <cp:lastModifiedBy>Thiciane</cp:lastModifiedBy>
  <cp:revision>2</cp:revision>
  <dcterms:created xsi:type="dcterms:W3CDTF">2013-05-24T03:53:00Z</dcterms:created>
  <dcterms:modified xsi:type="dcterms:W3CDTF">2013-05-24T03:53:00Z</dcterms:modified>
</cp:coreProperties>
</file>