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ED7" w:rsidRDefault="000D4ED7" w:rsidP="0023491D">
      <w:pPr>
        <w:spacing w:after="0" w:line="360" w:lineRule="auto"/>
        <w:jc w:val="center"/>
        <w:rPr>
          <w:rFonts w:ascii="Times New Roman" w:hAnsi="Times New Roman"/>
          <w:b/>
          <w:sz w:val="24"/>
          <w:szCs w:val="24"/>
        </w:rPr>
      </w:pPr>
      <w:r w:rsidRPr="00012701">
        <w:rPr>
          <w:rFonts w:ascii="Times New Roman" w:hAnsi="Times New Roman"/>
          <w:b/>
          <w:sz w:val="24"/>
          <w:szCs w:val="24"/>
        </w:rPr>
        <w:t>ALTERAÇÕES</w:t>
      </w:r>
      <w:r w:rsidR="00AE58F1">
        <w:rPr>
          <w:rFonts w:ascii="Times New Roman" w:hAnsi="Times New Roman"/>
          <w:b/>
          <w:sz w:val="24"/>
          <w:szCs w:val="24"/>
        </w:rPr>
        <w:t xml:space="preserve"> IMPLEMENTADAS</w:t>
      </w:r>
      <w:r w:rsidR="00126C11">
        <w:rPr>
          <w:rFonts w:ascii="Times New Roman" w:hAnsi="Times New Roman"/>
          <w:b/>
          <w:sz w:val="24"/>
          <w:szCs w:val="24"/>
        </w:rPr>
        <w:t xml:space="preserve"> </w:t>
      </w:r>
      <w:r>
        <w:rPr>
          <w:rFonts w:ascii="Times New Roman" w:hAnsi="Times New Roman"/>
          <w:b/>
          <w:sz w:val="24"/>
          <w:szCs w:val="24"/>
        </w:rPr>
        <w:t>PELA LEI N° 13.104</w:t>
      </w:r>
      <w:r w:rsidRPr="00012701">
        <w:rPr>
          <w:rFonts w:ascii="Times New Roman" w:hAnsi="Times New Roman"/>
          <w:b/>
          <w:sz w:val="24"/>
          <w:szCs w:val="24"/>
        </w:rPr>
        <w:t>/2015</w:t>
      </w:r>
    </w:p>
    <w:p w:rsidR="00AE58F1" w:rsidRDefault="00AE58F1" w:rsidP="0023491D">
      <w:pPr>
        <w:spacing w:after="0" w:line="360" w:lineRule="auto"/>
        <w:jc w:val="center"/>
        <w:rPr>
          <w:rFonts w:ascii="Times New Roman" w:hAnsi="Times New Roman"/>
          <w:b/>
          <w:sz w:val="24"/>
          <w:szCs w:val="24"/>
        </w:rPr>
      </w:pPr>
      <w:r>
        <w:rPr>
          <w:rFonts w:ascii="Times New Roman" w:hAnsi="Times New Roman"/>
          <w:b/>
          <w:sz w:val="24"/>
          <w:szCs w:val="24"/>
        </w:rPr>
        <w:t xml:space="preserve">                                                                 Camilla Pires G. dos Santos</w:t>
      </w:r>
      <w:r>
        <w:rPr>
          <w:rStyle w:val="Refdenotaderodap"/>
          <w:rFonts w:ascii="Times New Roman" w:hAnsi="Times New Roman"/>
          <w:b/>
          <w:sz w:val="24"/>
          <w:szCs w:val="24"/>
        </w:rPr>
        <w:footnoteReference w:id="2"/>
      </w:r>
    </w:p>
    <w:p w:rsidR="000D4ED7" w:rsidRPr="00012701" w:rsidRDefault="000D4ED7" w:rsidP="000D4ED7">
      <w:pPr>
        <w:spacing w:after="0" w:line="360" w:lineRule="auto"/>
        <w:jc w:val="both"/>
        <w:rPr>
          <w:rFonts w:ascii="Times New Roman" w:hAnsi="Times New Roman"/>
          <w:b/>
          <w:sz w:val="24"/>
          <w:szCs w:val="24"/>
        </w:rPr>
      </w:pPr>
    </w:p>
    <w:p w:rsidR="00E6474C" w:rsidRDefault="00E6474C" w:rsidP="000D4ED7">
      <w:pPr>
        <w:spacing w:after="0" w:line="360" w:lineRule="auto"/>
        <w:jc w:val="both"/>
        <w:rPr>
          <w:rFonts w:ascii="Times New Roman" w:hAnsi="Times New Roman"/>
          <w:b/>
          <w:sz w:val="24"/>
          <w:szCs w:val="24"/>
        </w:rPr>
      </w:pPr>
    </w:p>
    <w:p w:rsidR="00E6474C" w:rsidRDefault="00E6474C" w:rsidP="000D4ED7">
      <w:pPr>
        <w:spacing w:after="0" w:line="360" w:lineRule="auto"/>
        <w:jc w:val="both"/>
        <w:rPr>
          <w:rFonts w:ascii="Times New Roman" w:hAnsi="Times New Roman"/>
          <w:b/>
          <w:sz w:val="24"/>
          <w:szCs w:val="24"/>
        </w:rPr>
      </w:pPr>
    </w:p>
    <w:p w:rsidR="00E6474C" w:rsidRDefault="00E6474C" w:rsidP="00E6474C">
      <w:pPr>
        <w:spacing w:after="0" w:line="360" w:lineRule="auto"/>
        <w:jc w:val="both"/>
        <w:rPr>
          <w:rFonts w:ascii="Times New Roman" w:hAnsi="Times New Roman"/>
          <w:b/>
          <w:sz w:val="24"/>
          <w:szCs w:val="24"/>
        </w:rPr>
      </w:pPr>
      <w:r>
        <w:rPr>
          <w:rFonts w:ascii="Times New Roman" w:hAnsi="Times New Roman"/>
          <w:b/>
          <w:sz w:val="24"/>
          <w:szCs w:val="24"/>
        </w:rPr>
        <w:t xml:space="preserve">Sumário: </w:t>
      </w:r>
      <w:r w:rsidRPr="00E6474C">
        <w:rPr>
          <w:rFonts w:ascii="Times New Roman" w:hAnsi="Times New Roman"/>
          <w:sz w:val="24"/>
          <w:szCs w:val="24"/>
        </w:rPr>
        <w:t>Introdução.</w:t>
      </w:r>
      <w:r>
        <w:rPr>
          <w:rFonts w:ascii="Times New Roman" w:hAnsi="Times New Roman"/>
          <w:b/>
          <w:sz w:val="24"/>
          <w:szCs w:val="24"/>
        </w:rPr>
        <w:t xml:space="preserve"> </w:t>
      </w:r>
      <w:r w:rsidR="00184C98" w:rsidRPr="00184C98">
        <w:rPr>
          <w:rFonts w:ascii="Times New Roman" w:hAnsi="Times New Roman"/>
          <w:sz w:val="24"/>
          <w:szCs w:val="24"/>
        </w:rPr>
        <w:t>1. Conceito. 2</w:t>
      </w:r>
      <w:r w:rsidRPr="00184C98">
        <w:rPr>
          <w:rFonts w:ascii="Times New Roman" w:hAnsi="Times New Roman"/>
          <w:sz w:val="24"/>
          <w:szCs w:val="24"/>
        </w:rPr>
        <w:t xml:space="preserve">. </w:t>
      </w:r>
      <w:r w:rsidRPr="00184C98">
        <w:rPr>
          <w:rFonts w:ascii="Times New Roman" w:hAnsi="Times New Roman"/>
          <w:bCs/>
          <w:sz w:val="24"/>
          <w:szCs w:val="24"/>
        </w:rPr>
        <w:t>Feminicídio como nova qualificadora do homicí</w:t>
      </w:r>
      <w:r w:rsidR="00184C98" w:rsidRPr="00184C98">
        <w:rPr>
          <w:rFonts w:ascii="Times New Roman" w:hAnsi="Times New Roman"/>
          <w:bCs/>
          <w:sz w:val="24"/>
          <w:szCs w:val="24"/>
        </w:rPr>
        <w:t>dio e seus requisitos típicos; 3</w:t>
      </w:r>
      <w:r w:rsidRPr="00184C98">
        <w:rPr>
          <w:rFonts w:ascii="Times New Roman" w:hAnsi="Times New Roman"/>
          <w:bCs/>
          <w:sz w:val="24"/>
          <w:szCs w:val="24"/>
        </w:rPr>
        <w:t xml:space="preserve">. </w:t>
      </w:r>
      <w:r w:rsidRPr="00184C98">
        <w:rPr>
          <w:rFonts w:ascii="Times New Roman" w:hAnsi="Times New Roman"/>
          <w:sz w:val="24"/>
          <w:szCs w:val="24"/>
        </w:rPr>
        <w:t>Hediondez do</w:t>
      </w:r>
      <w:r w:rsidR="00723079">
        <w:rPr>
          <w:rFonts w:ascii="Times New Roman" w:hAnsi="Times New Roman"/>
          <w:sz w:val="24"/>
          <w:szCs w:val="24"/>
        </w:rPr>
        <w:t xml:space="preserve"> crime de feminicídio; Considerações Finais</w:t>
      </w:r>
      <w:r w:rsidRPr="00184C98">
        <w:rPr>
          <w:rFonts w:ascii="Times New Roman" w:hAnsi="Times New Roman"/>
          <w:sz w:val="24"/>
          <w:szCs w:val="24"/>
        </w:rPr>
        <w:t>. Referências Bibliográficas</w:t>
      </w:r>
      <w:r>
        <w:rPr>
          <w:rFonts w:ascii="Times New Roman" w:hAnsi="Times New Roman"/>
          <w:sz w:val="24"/>
          <w:szCs w:val="24"/>
        </w:rPr>
        <w:t>.</w:t>
      </w:r>
    </w:p>
    <w:p w:rsidR="00E6474C" w:rsidRDefault="00E6474C" w:rsidP="00E6474C">
      <w:pPr>
        <w:spacing w:after="0" w:line="360" w:lineRule="auto"/>
        <w:jc w:val="both"/>
        <w:rPr>
          <w:rFonts w:ascii="Times New Roman" w:hAnsi="Times New Roman"/>
          <w:b/>
          <w:bCs/>
          <w:sz w:val="24"/>
          <w:szCs w:val="24"/>
        </w:rPr>
      </w:pPr>
    </w:p>
    <w:p w:rsidR="00E6474C" w:rsidRDefault="00E6474C" w:rsidP="000D4ED7">
      <w:pPr>
        <w:spacing w:after="0" w:line="360" w:lineRule="auto"/>
        <w:jc w:val="both"/>
        <w:rPr>
          <w:rFonts w:ascii="Times New Roman" w:hAnsi="Times New Roman"/>
          <w:b/>
          <w:sz w:val="24"/>
          <w:szCs w:val="24"/>
        </w:rPr>
      </w:pPr>
    </w:p>
    <w:p w:rsidR="00E6474C" w:rsidRDefault="00E6474C" w:rsidP="000D4ED7">
      <w:pPr>
        <w:spacing w:after="0" w:line="360" w:lineRule="auto"/>
        <w:jc w:val="both"/>
        <w:rPr>
          <w:rFonts w:ascii="Times New Roman" w:hAnsi="Times New Roman"/>
          <w:b/>
          <w:sz w:val="24"/>
          <w:szCs w:val="24"/>
        </w:rPr>
      </w:pPr>
      <w:r>
        <w:rPr>
          <w:rFonts w:ascii="Times New Roman" w:hAnsi="Times New Roman"/>
          <w:b/>
          <w:sz w:val="24"/>
          <w:szCs w:val="24"/>
        </w:rPr>
        <w:t>Resumo:</w:t>
      </w:r>
    </w:p>
    <w:p w:rsidR="00501581" w:rsidRDefault="00501581" w:rsidP="000D4ED7">
      <w:pPr>
        <w:spacing w:after="0" w:line="360" w:lineRule="auto"/>
        <w:jc w:val="both"/>
        <w:rPr>
          <w:rFonts w:ascii="Times New Roman" w:hAnsi="Times New Roman"/>
          <w:sz w:val="24"/>
          <w:szCs w:val="24"/>
        </w:rPr>
      </w:pPr>
    </w:p>
    <w:p w:rsidR="00E6474C" w:rsidRDefault="00CF08F8" w:rsidP="00501581">
      <w:pPr>
        <w:spacing w:after="0" w:line="240" w:lineRule="auto"/>
        <w:jc w:val="both"/>
        <w:rPr>
          <w:rFonts w:ascii="Times New Roman" w:hAnsi="Times New Roman"/>
          <w:b/>
          <w:sz w:val="24"/>
          <w:szCs w:val="24"/>
        </w:rPr>
      </w:pPr>
      <w:r>
        <w:rPr>
          <w:rFonts w:ascii="Times New Roman" w:hAnsi="Times New Roman"/>
          <w:sz w:val="24"/>
          <w:szCs w:val="24"/>
        </w:rPr>
        <w:t>A Lei nº 13.104/16 incluiu no art.121, §2º do Código Penal, uma nova qualificadora ao crime de homicídio, qual seja, o feminicídio, praticado contra a mulher por razões da condição do sexo feminino. Igualmente, acrescentou ao</w:t>
      </w:r>
      <w:r w:rsidR="00501581">
        <w:rPr>
          <w:rFonts w:ascii="Times New Roman" w:hAnsi="Times New Roman"/>
          <w:sz w:val="24"/>
          <w:szCs w:val="24"/>
        </w:rPr>
        <w:t xml:space="preserve"> inciso I da Lei 8.072/90, o feminicídio no r</w:t>
      </w:r>
      <w:r>
        <w:rPr>
          <w:rFonts w:ascii="Times New Roman" w:hAnsi="Times New Roman"/>
          <w:sz w:val="24"/>
          <w:szCs w:val="24"/>
        </w:rPr>
        <w:t>ol dos Crimes Hediondos</w:t>
      </w:r>
      <w:r w:rsidR="00501581">
        <w:rPr>
          <w:rFonts w:ascii="Times New Roman" w:hAnsi="Times New Roman"/>
          <w:sz w:val="24"/>
          <w:szCs w:val="24"/>
        </w:rPr>
        <w:t>. Dessa forma, o presente artigo científico pretende mostrar todas as modificações ocorridas com a referida lei, levando em consideração todos os entendimentos até agora elencados sobre o tema.</w:t>
      </w:r>
    </w:p>
    <w:p w:rsidR="00E6474C" w:rsidRDefault="00E6474C" w:rsidP="000D4ED7">
      <w:pPr>
        <w:spacing w:after="0" w:line="360" w:lineRule="auto"/>
        <w:jc w:val="both"/>
        <w:rPr>
          <w:rFonts w:ascii="Times New Roman" w:hAnsi="Times New Roman"/>
          <w:b/>
          <w:sz w:val="24"/>
          <w:szCs w:val="24"/>
        </w:rPr>
      </w:pPr>
    </w:p>
    <w:p w:rsidR="00501581" w:rsidRDefault="00501581" w:rsidP="000D4ED7">
      <w:pPr>
        <w:spacing w:after="0" w:line="360" w:lineRule="auto"/>
        <w:jc w:val="both"/>
        <w:rPr>
          <w:rFonts w:ascii="Times New Roman" w:hAnsi="Times New Roman"/>
          <w:sz w:val="24"/>
          <w:szCs w:val="24"/>
        </w:rPr>
      </w:pPr>
      <w:r>
        <w:rPr>
          <w:rFonts w:ascii="Times New Roman" w:hAnsi="Times New Roman"/>
          <w:b/>
          <w:sz w:val="24"/>
          <w:szCs w:val="24"/>
        </w:rPr>
        <w:t xml:space="preserve">Palavras-chaves: </w:t>
      </w:r>
      <w:r>
        <w:rPr>
          <w:rFonts w:ascii="Times New Roman" w:hAnsi="Times New Roman"/>
          <w:sz w:val="24"/>
          <w:szCs w:val="24"/>
        </w:rPr>
        <w:t>Lei 13.104/16; feminicídio, Lei dos Crimes Hediondos.</w:t>
      </w:r>
    </w:p>
    <w:p w:rsidR="00501581" w:rsidRDefault="00501581" w:rsidP="000D4ED7">
      <w:pPr>
        <w:spacing w:after="0" w:line="360" w:lineRule="auto"/>
        <w:jc w:val="both"/>
        <w:rPr>
          <w:rFonts w:ascii="Times New Roman" w:hAnsi="Times New Roman"/>
          <w:sz w:val="24"/>
          <w:szCs w:val="24"/>
        </w:rPr>
      </w:pPr>
    </w:p>
    <w:p w:rsidR="00501581" w:rsidRPr="00184C98" w:rsidRDefault="00501581" w:rsidP="00501581">
      <w:pPr>
        <w:spacing w:after="0" w:line="360" w:lineRule="auto"/>
        <w:jc w:val="both"/>
        <w:rPr>
          <w:rFonts w:ascii="Times New Roman" w:hAnsi="Times New Roman"/>
          <w:b/>
          <w:sz w:val="24"/>
          <w:szCs w:val="24"/>
        </w:rPr>
      </w:pPr>
    </w:p>
    <w:p w:rsidR="00501581" w:rsidRPr="00501581" w:rsidRDefault="00501581" w:rsidP="00501581">
      <w:pPr>
        <w:spacing w:after="0" w:line="360" w:lineRule="auto"/>
        <w:jc w:val="both"/>
        <w:rPr>
          <w:rFonts w:ascii="Times New Roman" w:hAnsi="Times New Roman"/>
          <w:b/>
          <w:sz w:val="24"/>
          <w:szCs w:val="24"/>
          <w:lang w:val="en-US"/>
        </w:rPr>
      </w:pPr>
      <w:r w:rsidRPr="00501581">
        <w:rPr>
          <w:rFonts w:ascii="Times New Roman" w:hAnsi="Times New Roman"/>
          <w:b/>
          <w:sz w:val="24"/>
          <w:szCs w:val="24"/>
          <w:lang w:val="en-US"/>
        </w:rPr>
        <w:t>Summary:</w:t>
      </w:r>
    </w:p>
    <w:p w:rsidR="00501581" w:rsidRPr="00501581" w:rsidRDefault="00501581" w:rsidP="00501581">
      <w:pPr>
        <w:spacing w:after="0" w:line="360" w:lineRule="auto"/>
        <w:jc w:val="both"/>
        <w:rPr>
          <w:rFonts w:ascii="Times New Roman" w:hAnsi="Times New Roman"/>
          <w:sz w:val="24"/>
          <w:szCs w:val="24"/>
          <w:lang w:val="en-US"/>
        </w:rPr>
      </w:pPr>
    </w:p>
    <w:p w:rsidR="00501581" w:rsidRPr="00501581" w:rsidRDefault="00501581" w:rsidP="00501581">
      <w:pPr>
        <w:spacing w:after="0" w:line="240" w:lineRule="auto"/>
        <w:jc w:val="both"/>
        <w:rPr>
          <w:rFonts w:ascii="Times New Roman" w:hAnsi="Times New Roman"/>
          <w:sz w:val="24"/>
          <w:szCs w:val="24"/>
          <w:lang w:val="en-US"/>
        </w:rPr>
      </w:pPr>
      <w:r>
        <w:rPr>
          <w:rFonts w:ascii="Times New Roman" w:hAnsi="Times New Roman"/>
          <w:sz w:val="24"/>
          <w:szCs w:val="24"/>
          <w:lang w:val="en-US"/>
        </w:rPr>
        <w:t>The Law nº. 13.</w:t>
      </w:r>
      <w:r w:rsidRPr="00501581">
        <w:rPr>
          <w:rFonts w:ascii="Times New Roman" w:hAnsi="Times New Roman"/>
          <w:sz w:val="24"/>
          <w:szCs w:val="24"/>
          <w:lang w:val="en-US"/>
        </w:rPr>
        <w:t>104 / 16 included in art.121, paragraph 2 of the Criminal Code, a new qualifying the crime of murder, namely femicide, practiced against women on the grounds of the female condition</w:t>
      </w:r>
      <w:r>
        <w:rPr>
          <w:rFonts w:ascii="Times New Roman" w:hAnsi="Times New Roman"/>
          <w:sz w:val="24"/>
          <w:szCs w:val="24"/>
          <w:lang w:val="en-US"/>
        </w:rPr>
        <w:t>. Also added to item I of Law 8.</w:t>
      </w:r>
      <w:r w:rsidRPr="00501581">
        <w:rPr>
          <w:rFonts w:ascii="Times New Roman" w:hAnsi="Times New Roman"/>
          <w:sz w:val="24"/>
          <w:szCs w:val="24"/>
          <w:lang w:val="en-US"/>
        </w:rPr>
        <w:t>072 / 90, femicide in the list of Heinous Crimes. Thus, this research paper aims to show all the changes that have occurred with such law, taking into account all the understandings so far listed on the topic.</w:t>
      </w:r>
    </w:p>
    <w:p w:rsidR="00501581" w:rsidRPr="00501581" w:rsidRDefault="00501581" w:rsidP="00501581">
      <w:pPr>
        <w:spacing w:after="0" w:line="360" w:lineRule="auto"/>
        <w:jc w:val="both"/>
        <w:rPr>
          <w:rFonts w:ascii="Times New Roman" w:hAnsi="Times New Roman"/>
          <w:sz w:val="24"/>
          <w:szCs w:val="24"/>
          <w:lang w:val="en-US"/>
        </w:rPr>
      </w:pPr>
    </w:p>
    <w:p w:rsidR="00501581" w:rsidRPr="00501581" w:rsidRDefault="00501581" w:rsidP="00501581">
      <w:pPr>
        <w:spacing w:after="0" w:line="360" w:lineRule="auto"/>
        <w:jc w:val="both"/>
        <w:rPr>
          <w:rFonts w:ascii="Times New Roman" w:hAnsi="Times New Roman"/>
          <w:sz w:val="24"/>
          <w:szCs w:val="24"/>
          <w:lang w:val="en-US"/>
        </w:rPr>
      </w:pPr>
      <w:r w:rsidRPr="00501581">
        <w:rPr>
          <w:rFonts w:ascii="Times New Roman" w:hAnsi="Times New Roman"/>
          <w:b/>
          <w:sz w:val="24"/>
          <w:szCs w:val="24"/>
          <w:lang w:val="en-US"/>
        </w:rPr>
        <w:t>Keywords:</w:t>
      </w:r>
      <w:r w:rsidRPr="00501581">
        <w:rPr>
          <w:rFonts w:ascii="Times New Roman" w:hAnsi="Times New Roman"/>
          <w:sz w:val="24"/>
          <w:szCs w:val="24"/>
          <w:lang w:val="en-US"/>
        </w:rPr>
        <w:t xml:space="preserve"> Law 13,104 / 16; femicide, Law of Heinous Crimes.</w:t>
      </w:r>
    </w:p>
    <w:p w:rsidR="00501581" w:rsidRPr="00501581" w:rsidRDefault="00501581" w:rsidP="000D4ED7">
      <w:pPr>
        <w:spacing w:after="0" w:line="360" w:lineRule="auto"/>
        <w:jc w:val="both"/>
        <w:rPr>
          <w:rFonts w:ascii="Times New Roman" w:hAnsi="Times New Roman"/>
          <w:sz w:val="24"/>
          <w:szCs w:val="24"/>
          <w:lang w:val="en-US"/>
        </w:rPr>
      </w:pPr>
    </w:p>
    <w:p w:rsidR="007A63DC" w:rsidRDefault="007A63DC" w:rsidP="000D4ED7">
      <w:pPr>
        <w:spacing w:after="0" w:line="360" w:lineRule="auto"/>
        <w:jc w:val="both"/>
        <w:rPr>
          <w:rFonts w:ascii="Times New Roman" w:hAnsi="Times New Roman"/>
          <w:b/>
          <w:sz w:val="24"/>
          <w:szCs w:val="24"/>
          <w:lang w:val="en-US"/>
        </w:rPr>
      </w:pPr>
    </w:p>
    <w:p w:rsidR="007A63DC" w:rsidRDefault="007A63DC" w:rsidP="000D4ED7">
      <w:pPr>
        <w:spacing w:after="0" w:line="360" w:lineRule="auto"/>
        <w:jc w:val="both"/>
        <w:rPr>
          <w:rFonts w:ascii="Times New Roman" w:hAnsi="Times New Roman"/>
          <w:b/>
          <w:sz w:val="24"/>
          <w:szCs w:val="24"/>
          <w:lang w:val="en-US"/>
        </w:rPr>
      </w:pPr>
    </w:p>
    <w:p w:rsidR="007A63DC" w:rsidRDefault="007A63DC" w:rsidP="000D4ED7">
      <w:pPr>
        <w:spacing w:after="0" w:line="360" w:lineRule="auto"/>
        <w:jc w:val="both"/>
        <w:rPr>
          <w:rFonts w:ascii="Times New Roman" w:hAnsi="Times New Roman"/>
          <w:b/>
          <w:sz w:val="24"/>
          <w:szCs w:val="24"/>
          <w:lang w:val="en-US"/>
        </w:rPr>
      </w:pPr>
    </w:p>
    <w:p w:rsidR="00501581" w:rsidRPr="00184C98" w:rsidRDefault="00501581" w:rsidP="000D4ED7">
      <w:pPr>
        <w:spacing w:after="0" w:line="360" w:lineRule="auto"/>
        <w:jc w:val="both"/>
        <w:rPr>
          <w:rFonts w:ascii="Times New Roman" w:hAnsi="Times New Roman"/>
          <w:b/>
          <w:sz w:val="24"/>
          <w:szCs w:val="24"/>
        </w:rPr>
      </w:pPr>
      <w:r w:rsidRPr="00184C98">
        <w:rPr>
          <w:rFonts w:ascii="Times New Roman" w:hAnsi="Times New Roman"/>
          <w:b/>
          <w:sz w:val="24"/>
          <w:szCs w:val="24"/>
        </w:rPr>
        <w:t xml:space="preserve">1. Introdução: </w:t>
      </w:r>
    </w:p>
    <w:p w:rsidR="00E6474C" w:rsidRPr="00184C98" w:rsidRDefault="00E6474C" w:rsidP="000D4ED7">
      <w:pPr>
        <w:spacing w:after="0" w:line="360" w:lineRule="auto"/>
        <w:jc w:val="both"/>
        <w:rPr>
          <w:rFonts w:ascii="Times New Roman" w:hAnsi="Times New Roman"/>
          <w:b/>
          <w:sz w:val="24"/>
          <w:szCs w:val="24"/>
        </w:rPr>
      </w:pPr>
    </w:p>
    <w:p w:rsidR="00501581" w:rsidRDefault="00501581" w:rsidP="00501581">
      <w:pPr>
        <w:spacing w:after="0" w:line="360" w:lineRule="auto"/>
        <w:ind w:firstLine="567"/>
        <w:jc w:val="both"/>
        <w:rPr>
          <w:rFonts w:ascii="Times New Roman" w:hAnsi="Times New Roman"/>
          <w:sz w:val="24"/>
          <w:szCs w:val="24"/>
        </w:rPr>
      </w:pPr>
      <w:r w:rsidRPr="00501581">
        <w:rPr>
          <w:rFonts w:ascii="Times New Roman" w:hAnsi="Times New Roman"/>
          <w:sz w:val="24"/>
          <w:szCs w:val="24"/>
        </w:rPr>
        <w:t>A violência no Brasil vem aumentando a cada dia e para que seja controlada, ao menos em tese, se torna necess</w:t>
      </w:r>
      <w:r>
        <w:rPr>
          <w:rFonts w:ascii="Times New Roman" w:hAnsi="Times New Roman"/>
          <w:sz w:val="24"/>
          <w:szCs w:val="24"/>
        </w:rPr>
        <w:t>ário o endurecimento de certas modalidades penais. Nesse sentido, foi o que ocorreu com a Lei nº 13.104/16, promulgada no dia 09 de março de 2015.</w:t>
      </w:r>
    </w:p>
    <w:p w:rsidR="00501581" w:rsidRDefault="000D2A56" w:rsidP="00501581">
      <w:pPr>
        <w:spacing w:after="0" w:line="360" w:lineRule="auto"/>
        <w:ind w:firstLine="567"/>
        <w:jc w:val="both"/>
        <w:rPr>
          <w:rFonts w:ascii="Times New Roman" w:hAnsi="Times New Roman"/>
          <w:sz w:val="24"/>
          <w:szCs w:val="24"/>
        </w:rPr>
      </w:pPr>
      <w:r>
        <w:rPr>
          <w:rFonts w:ascii="Times New Roman" w:hAnsi="Times New Roman"/>
          <w:sz w:val="24"/>
          <w:szCs w:val="24"/>
        </w:rPr>
        <w:t xml:space="preserve">A referida lei possui o condão de aumentar a punição dos crimes de homicídio praticados </w:t>
      </w:r>
      <w:r w:rsidRPr="000D2A56">
        <w:rPr>
          <w:rFonts w:ascii="Times New Roman" w:hAnsi="Times New Roman"/>
          <w:sz w:val="24"/>
          <w:szCs w:val="24"/>
        </w:rPr>
        <w:t>contra a mulher por razões da condição de sexo feminin</w:t>
      </w:r>
      <w:r>
        <w:rPr>
          <w:rFonts w:ascii="Times New Roman" w:hAnsi="Times New Roman"/>
          <w:sz w:val="24"/>
          <w:szCs w:val="24"/>
        </w:rPr>
        <w:t>o</w:t>
      </w:r>
      <w:r w:rsidR="002213CD">
        <w:rPr>
          <w:rFonts w:ascii="Times New Roman" w:hAnsi="Times New Roman"/>
          <w:sz w:val="24"/>
          <w:szCs w:val="24"/>
        </w:rPr>
        <w:t xml:space="preserve"> (feminicídio)</w:t>
      </w:r>
      <w:r>
        <w:rPr>
          <w:rFonts w:ascii="Times New Roman" w:hAnsi="Times New Roman"/>
          <w:sz w:val="24"/>
          <w:szCs w:val="24"/>
        </w:rPr>
        <w:t>, acrescentando ao</w:t>
      </w:r>
      <w:r w:rsidR="005B023B">
        <w:rPr>
          <w:rFonts w:ascii="Times New Roman" w:hAnsi="Times New Roman"/>
          <w:sz w:val="24"/>
          <w:szCs w:val="24"/>
        </w:rPr>
        <w:t xml:space="preserve"> artigo</w:t>
      </w:r>
      <w:r>
        <w:rPr>
          <w:rFonts w:ascii="Times New Roman" w:hAnsi="Times New Roman"/>
          <w:sz w:val="24"/>
          <w:szCs w:val="24"/>
        </w:rPr>
        <w:t xml:space="preserve"> 121, §§ 2º, inc. VI e  2º-A ao Código Penal.</w:t>
      </w:r>
      <w:r w:rsidR="007A63DC">
        <w:rPr>
          <w:rFonts w:ascii="Times New Roman" w:hAnsi="Times New Roman"/>
          <w:sz w:val="24"/>
          <w:szCs w:val="24"/>
        </w:rPr>
        <w:t xml:space="preserve"> Ao mesmo tempo, caracterizou esse homicídio como hediondo, uma vez que, acrescentou o inciso VI ao final do inciso I do art.1º da Lei 8.072/90.</w:t>
      </w:r>
    </w:p>
    <w:p w:rsidR="002213CD" w:rsidRDefault="00D624DC" w:rsidP="00501581">
      <w:pPr>
        <w:spacing w:after="0" w:line="360" w:lineRule="auto"/>
        <w:ind w:firstLine="567"/>
        <w:jc w:val="both"/>
        <w:rPr>
          <w:rFonts w:ascii="Times New Roman" w:hAnsi="Times New Roman"/>
          <w:sz w:val="24"/>
          <w:szCs w:val="24"/>
        </w:rPr>
      </w:pPr>
      <w:r>
        <w:rPr>
          <w:rFonts w:ascii="Times New Roman" w:hAnsi="Times New Roman"/>
          <w:sz w:val="24"/>
          <w:szCs w:val="24"/>
        </w:rPr>
        <w:t xml:space="preserve">Essa </w:t>
      </w:r>
      <w:r w:rsidR="002213CD">
        <w:rPr>
          <w:rFonts w:ascii="Times New Roman" w:hAnsi="Times New Roman"/>
          <w:sz w:val="24"/>
          <w:szCs w:val="24"/>
        </w:rPr>
        <w:t>a tipificação tem como finalidade a apuração de forma mais específica de procedimentos e rotinas de investigação e julgamento com a finalidade de coibir os assassinatos em detrimento do sexo feminino.</w:t>
      </w:r>
    </w:p>
    <w:p w:rsidR="00D624DC" w:rsidRDefault="00D624DC" w:rsidP="00501581">
      <w:pPr>
        <w:spacing w:after="0" w:line="360" w:lineRule="auto"/>
        <w:ind w:firstLine="567"/>
        <w:jc w:val="both"/>
        <w:rPr>
          <w:rFonts w:ascii="Times New Roman" w:hAnsi="Times New Roman"/>
          <w:sz w:val="24"/>
          <w:szCs w:val="24"/>
        </w:rPr>
      </w:pPr>
      <w:r>
        <w:rPr>
          <w:rFonts w:ascii="Times New Roman" w:hAnsi="Times New Roman"/>
          <w:sz w:val="24"/>
          <w:szCs w:val="24"/>
        </w:rPr>
        <w:t>É nesse sentido que, o presente artigo, pretende demonstrar todas as modificações ocorridas com a Lei 13.104/16, e a repercussão que esta terá na sociedade, levando em consideração todos os entendimentos até agora elencados pela doutrina.</w:t>
      </w:r>
    </w:p>
    <w:p w:rsidR="00D624DC" w:rsidRDefault="00D624DC" w:rsidP="00D624DC">
      <w:pPr>
        <w:spacing w:after="0" w:line="360" w:lineRule="auto"/>
        <w:jc w:val="both"/>
        <w:rPr>
          <w:rFonts w:ascii="Times New Roman" w:hAnsi="Times New Roman"/>
          <w:sz w:val="24"/>
          <w:szCs w:val="24"/>
        </w:rPr>
      </w:pPr>
    </w:p>
    <w:p w:rsidR="00D624DC" w:rsidRDefault="00D624DC" w:rsidP="00D624DC">
      <w:pPr>
        <w:spacing w:after="0" w:line="360" w:lineRule="auto"/>
        <w:jc w:val="both"/>
        <w:rPr>
          <w:rFonts w:ascii="Times New Roman" w:hAnsi="Times New Roman"/>
          <w:b/>
          <w:sz w:val="24"/>
          <w:szCs w:val="24"/>
        </w:rPr>
      </w:pPr>
      <w:r>
        <w:rPr>
          <w:rFonts w:ascii="Times New Roman" w:hAnsi="Times New Roman"/>
          <w:b/>
          <w:sz w:val="24"/>
          <w:szCs w:val="24"/>
        </w:rPr>
        <w:t>2. Conceito:</w:t>
      </w:r>
    </w:p>
    <w:p w:rsidR="00D624DC" w:rsidRDefault="00D624DC" w:rsidP="00D624DC">
      <w:pPr>
        <w:spacing w:after="0" w:line="360" w:lineRule="auto"/>
        <w:jc w:val="both"/>
        <w:rPr>
          <w:rFonts w:ascii="Times New Roman" w:hAnsi="Times New Roman"/>
          <w:b/>
          <w:sz w:val="24"/>
          <w:szCs w:val="24"/>
        </w:rPr>
      </w:pPr>
    </w:p>
    <w:p w:rsidR="00656D19" w:rsidRDefault="00656D19" w:rsidP="00656D19">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Essa inovação é fruto de um contexto histórico marcado pela discriminação à mulher.  </w:t>
      </w:r>
    </w:p>
    <w:p w:rsidR="00656D19" w:rsidRDefault="00656D19" w:rsidP="00656D19">
      <w:pPr>
        <w:spacing w:after="0" w:line="360" w:lineRule="auto"/>
        <w:ind w:firstLine="567"/>
        <w:jc w:val="both"/>
        <w:rPr>
          <w:rFonts w:ascii="Times New Roman" w:hAnsi="Times New Roman"/>
          <w:bCs/>
          <w:sz w:val="24"/>
          <w:szCs w:val="24"/>
        </w:rPr>
      </w:pPr>
      <w:r w:rsidRPr="00C40CA6">
        <w:rPr>
          <w:rFonts w:ascii="Times New Roman" w:hAnsi="Times New Roman"/>
          <w:bCs/>
          <w:sz w:val="24"/>
          <w:szCs w:val="24"/>
        </w:rPr>
        <w:t>De acordo com o Instituto Avante Brasil uma mulher morre a cada hora no Brasil. Quase metade desses homicídios são dolosos praticados em violência doméstica ou familiar através do uso de armas de fogo. 34% são por instrumentos perfuro-cortantes (facas, por exemplo), 7% por asfixia decorrente de estrangulamento, representando os meios mais comuns nesse tipo ocorrência.</w:t>
      </w:r>
      <w:r>
        <w:rPr>
          <w:rStyle w:val="Refdenotaderodap"/>
          <w:bCs/>
        </w:rPr>
        <w:footnoteReference w:id="3"/>
      </w:r>
    </w:p>
    <w:p w:rsidR="00656D19" w:rsidRDefault="00656D19" w:rsidP="00656D19">
      <w:pPr>
        <w:spacing w:after="0" w:line="360" w:lineRule="auto"/>
        <w:ind w:firstLine="567"/>
        <w:jc w:val="both"/>
        <w:rPr>
          <w:rFonts w:ascii="Times New Roman" w:hAnsi="Times New Roman"/>
          <w:bCs/>
          <w:sz w:val="24"/>
          <w:szCs w:val="24"/>
        </w:rPr>
      </w:pPr>
      <w:r w:rsidRPr="00C40CA6">
        <w:rPr>
          <w:rFonts w:ascii="Times New Roman" w:hAnsi="Times New Roman"/>
          <w:bCs/>
          <w:sz w:val="24"/>
          <w:szCs w:val="24"/>
        </w:rPr>
        <w:t>Gerardo Landrove Díaz, analisando espeficamente as situações de infrações penais praticadas no interior dos lares, nos esclarece que:</w:t>
      </w:r>
    </w:p>
    <w:p w:rsidR="00656D19" w:rsidRDefault="00656D19" w:rsidP="00656D19">
      <w:pPr>
        <w:spacing w:after="0" w:line="360" w:lineRule="auto"/>
        <w:ind w:firstLine="567"/>
        <w:jc w:val="both"/>
        <w:rPr>
          <w:rFonts w:ascii="Times New Roman" w:hAnsi="Times New Roman"/>
          <w:bCs/>
          <w:sz w:val="24"/>
          <w:szCs w:val="24"/>
        </w:rPr>
      </w:pPr>
    </w:p>
    <w:p w:rsidR="00656D19" w:rsidRPr="00C40CA6" w:rsidRDefault="00656D19" w:rsidP="00656D19">
      <w:pPr>
        <w:spacing w:after="0" w:line="240" w:lineRule="auto"/>
        <w:ind w:left="2268"/>
        <w:jc w:val="both"/>
        <w:rPr>
          <w:rFonts w:ascii="Times New Roman" w:hAnsi="Times New Roman"/>
          <w:bCs/>
          <w:szCs w:val="24"/>
        </w:rPr>
      </w:pPr>
      <w:r w:rsidRPr="00C40CA6">
        <w:rPr>
          <w:rFonts w:ascii="Times New Roman" w:hAnsi="Times New Roman"/>
          <w:bCs/>
          <w:szCs w:val="24"/>
        </w:rPr>
        <w:lastRenderedPageBreak/>
        <w:t>“Dentro das tipologias que levam em conta a relação prévia entre vítima e autor do delito (vítima conhecida ou desconhecida) temos que ressaltar a especial condição das vítimas pertencentes ao mesmo grupo familiar do infrator; tratam-se de hipóteses de vulnerabilidade convivencial ou doméstica. Os maus tratos e as agressões sexuais produzidos nesse âmbito têm, fundamentalmente, como vítimas seus membros mais débeis: as mulheres e as crianças. A impossibilidade de defesa dessas vítimas – que chegam a sofrer, ademais, graves danos psicológicos – aparece ressaltada pela existência a respeito de uma elevada cifra negra.”</w:t>
      </w:r>
      <w:r>
        <w:rPr>
          <w:rStyle w:val="Refdenotaderodap"/>
          <w:bCs/>
        </w:rPr>
        <w:footnoteReference w:id="4"/>
      </w:r>
    </w:p>
    <w:p w:rsidR="00656D19" w:rsidRDefault="00656D19" w:rsidP="00656D19">
      <w:pPr>
        <w:spacing w:after="0" w:line="360" w:lineRule="auto"/>
        <w:ind w:firstLine="567"/>
        <w:jc w:val="both"/>
        <w:rPr>
          <w:rFonts w:ascii="Times New Roman" w:hAnsi="Times New Roman"/>
          <w:bCs/>
          <w:sz w:val="24"/>
          <w:szCs w:val="24"/>
        </w:rPr>
      </w:pPr>
    </w:p>
    <w:p w:rsidR="00656D19" w:rsidRDefault="00656D19" w:rsidP="00656D19">
      <w:pPr>
        <w:spacing w:after="0" w:line="360" w:lineRule="auto"/>
        <w:ind w:firstLine="567"/>
        <w:jc w:val="both"/>
        <w:rPr>
          <w:rFonts w:ascii="Times New Roman" w:hAnsi="Times New Roman"/>
          <w:bCs/>
          <w:sz w:val="24"/>
          <w:szCs w:val="24"/>
        </w:rPr>
      </w:pPr>
      <w:r>
        <w:rPr>
          <w:rFonts w:ascii="Times New Roman" w:hAnsi="Times New Roman"/>
          <w:bCs/>
          <w:sz w:val="24"/>
          <w:szCs w:val="24"/>
        </w:rPr>
        <w:t>Além disso, de acordo com Julio Jacobo, a</w:t>
      </w:r>
      <w:r w:rsidRPr="009B0EFD">
        <w:rPr>
          <w:rFonts w:ascii="Times New Roman" w:hAnsi="Times New Roman"/>
          <w:bCs/>
          <w:sz w:val="24"/>
          <w:szCs w:val="24"/>
        </w:rPr>
        <w:t xml:space="preserve"> violência contra as mulheres tem deixado uma ferida intensa e dolorida. Segundo pesquisa realizada pelo Instituto Sangari, com base nos dados do Sistema Único de Saúde, denominada Mapa da Violência no Brasil 2012 demonstrou que entre 1997 e 2007, 41.532 mulheres foram assassinadas no Brasil; ou seja, em média 10 mulheres foram assassinadas por dia</w:t>
      </w:r>
      <w:r>
        <w:rPr>
          <w:rFonts w:ascii="Times New Roman" w:hAnsi="Times New Roman"/>
          <w:bCs/>
          <w:sz w:val="24"/>
          <w:szCs w:val="24"/>
        </w:rPr>
        <w:t>.</w:t>
      </w:r>
      <w:r>
        <w:rPr>
          <w:rStyle w:val="Refdenotaderodap"/>
          <w:bCs/>
        </w:rPr>
        <w:footnoteReference w:id="5"/>
      </w:r>
    </w:p>
    <w:p w:rsidR="00656D19" w:rsidRDefault="00656D19" w:rsidP="00656D19">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Conforme já se saber, o Decreto nº 1973 de 1996, foi o primeiro documento que dispôs sobre a violência doméstica contra a mulher, proclamando sua vulnerabilidade nas relações familiares. </w:t>
      </w:r>
      <w:r w:rsidRPr="00322955">
        <w:rPr>
          <w:rFonts w:ascii="Times New Roman" w:hAnsi="Times New Roman"/>
          <w:bCs/>
          <w:sz w:val="24"/>
          <w:szCs w:val="24"/>
        </w:rPr>
        <w:t>Dispõe o art. 1º da referida Convenção:</w:t>
      </w:r>
    </w:p>
    <w:p w:rsidR="00656D19" w:rsidRPr="00322955" w:rsidRDefault="00656D19" w:rsidP="00656D19">
      <w:pPr>
        <w:spacing w:after="0" w:line="360" w:lineRule="auto"/>
        <w:ind w:firstLine="567"/>
        <w:jc w:val="both"/>
        <w:rPr>
          <w:rFonts w:ascii="Times New Roman" w:hAnsi="Times New Roman"/>
          <w:bCs/>
          <w:sz w:val="24"/>
          <w:szCs w:val="24"/>
        </w:rPr>
      </w:pPr>
    </w:p>
    <w:p w:rsidR="00656D19" w:rsidRPr="00322955" w:rsidRDefault="00656D19" w:rsidP="00656D19">
      <w:pPr>
        <w:spacing w:after="0" w:line="240" w:lineRule="auto"/>
        <w:ind w:left="2268"/>
        <w:jc w:val="both"/>
        <w:rPr>
          <w:rFonts w:ascii="Times New Roman" w:hAnsi="Times New Roman"/>
          <w:bCs/>
          <w:szCs w:val="24"/>
        </w:rPr>
      </w:pPr>
      <w:r w:rsidRPr="00322955">
        <w:rPr>
          <w:rFonts w:ascii="Times New Roman" w:hAnsi="Times New Roman"/>
          <w:bCs/>
          <w:szCs w:val="24"/>
        </w:rPr>
        <w:t>Para os efeitos desta Convenção, entender-se-á por violência contra a mulher qualquer ato ou conduta baseada no gênero, que cause morte, dano ou sofrimento físico, sexual ou psicológico à mulher, tanto na esfera pública como na esfera privada.</w:t>
      </w:r>
    </w:p>
    <w:p w:rsidR="00656D19" w:rsidRPr="00322955" w:rsidRDefault="00656D19" w:rsidP="00656D19">
      <w:pPr>
        <w:spacing w:after="0" w:line="360" w:lineRule="auto"/>
        <w:ind w:firstLine="567"/>
        <w:jc w:val="both"/>
        <w:rPr>
          <w:rFonts w:ascii="Times New Roman" w:hAnsi="Times New Roman"/>
          <w:bCs/>
          <w:sz w:val="24"/>
          <w:szCs w:val="24"/>
        </w:rPr>
      </w:pPr>
    </w:p>
    <w:p w:rsidR="00656D19" w:rsidRDefault="00656D19" w:rsidP="00656D19">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Dez anos depois, foi publicada a Lei Maria da Penha (Lei nº 11.340/06), que criou mecanismos </w:t>
      </w:r>
      <w:r w:rsidRPr="00322955">
        <w:rPr>
          <w:rFonts w:ascii="Times New Roman" w:hAnsi="Times New Roman"/>
          <w:bCs/>
          <w:sz w:val="24"/>
          <w:szCs w:val="24"/>
        </w:rPr>
        <w:t>para coibir a violência doméstica e familiar contra a mulher, nos termos do §8º do ar</w:t>
      </w:r>
      <w:r>
        <w:rPr>
          <w:rFonts w:ascii="Times New Roman" w:hAnsi="Times New Roman"/>
          <w:bCs/>
          <w:sz w:val="24"/>
          <w:szCs w:val="24"/>
        </w:rPr>
        <w:t>t. 226 da Constituição Federal. Esta</w:t>
      </w:r>
      <w:r w:rsidRPr="00322955">
        <w:rPr>
          <w:rFonts w:ascii="Times New Roman" w:hAnsi="Times New Roman"/>
          <w:bCs/>
          <w:sz w:val="24"/>
          <w:szCs w:val="24"/>
        </w:rPr>
        <w:t xml:space="preserve"> estabeleceu medidas de assistência e proteção às mulheres em situação de </w:t>
      </w:r>
      <w:r>
        <w:rPr>
          <w:rFonts w:ascii="Times New Roman" w:hAnsi="Times New Roman"/>
          <w:bCs/>
          <w:sz w:val="24"/>
          <w:szCs w:val="24"/>
        </w:rPr>
        <w:t>violência doméstica e familiar.</w:t>
      </w:r>
    </w:p>
    <w:p w:rsidR="00656D19" w:rsidRDefault="00656D19" w:rsidP="00656D19">
      <w:pPr>
        <w:spacing w:after="0" w:line="360" w:lineRule="auto"/>
        <w:ind w:firstLine="567"/>
        <w:jc w:val="both"/>
        <w:rPr>
          <w:rFonts w:ascii="Times New Roman" w:hAnsi="Times New Roman"/>
          <w:bCs/>
          <w:sz w:val="24"/>
          <w:szCs w:val="24"/>
        </w:rPr>
      </w:pPr>
      <w:r>
        <w:rPr>
          <w:rFonts w:ascii="Times New Roman" w:hAnsi="Times New Roman"/>
          <w:bCs/>
          <w:sz w:val="24"/>
          <w:szCs w:val="24"/>
        </w:rPr>
        <w:t>Apesar de muitos acharem que a Lei Maria da Penha (Lei 11.340/06) tipificava crimes, esta não trouxe um rol de crimes em seu texto, muito pelo contrário, ela apenas trouxe regras processuais para proteger a mulher vítima de violência doméstica, mas sem tipificar novas condutas. Dessa forma, esse novo tipo penal não era previsto na Lei 11.340/06</w:t>
      </w:r>
      <w:r w:rsidRPr="00A9049E">
        <w:rPr>
          <w:rFonts w:ascii="Times New Roman" w:hAnsi="Times New Roman"/>
          <w:bCs/>
          <w:sz w:val="24"/>
          <w:szCs w:val="24"/>
        </w:rPr>
        <w:t>.</w:t>
      </w:r>
    </w:p>
    <w:p w:rsidR="00656D19" w:rsidRDefault="00656D19" w:rsidP="00656D19">
      <w:pPr>
        <w:spacing w:after="0" w:line="360" w:lineRule="auto"/>
        <w:ind w:firstLine="567"/>
        <w:jc w:val="both"/>
        <w:rPr>
          <w:rFonts w:ascii="Times New Roman" w:hAnsi="Times New Roman"/>
          <w:bCs/>
          <w:sz w:val="24"/>
          <w:szCs w:val="24"/>
        </w:rPr>
      </w:pPr>
      <w:r>
        <w:rPr>
          <w:rFonts w:ascii="Times New Roman" w:hAnsi="Times New Roman"/>
          <w:bCs/>
          <w:sz w:val="24"/>
          <w:szCs w:val="24"/>
        </w:rPr>
        <w:lastRenderedPageBreak/>
        <w:t>Assim, a</w:t>
      </w:r>
      <w:r w:rsidRPr="00917351">
        <w:rPr>
          <w:rFonts w:ascii="Times New Roman" w:hAnsi="Times New Roman"/>
          <w:bCs/>
          <w:sz w:val="24"/>
          <w:szCs w:val="24"/>
        </w:rPr>
        <w:t>ntes da Lei n.° 13.104</w:t>
      </w:r>
      <w:r>
        <w:rPr>
          <w:rFonts w:ascii="Times New Roman" w:hAnsi="Times New Roman"/>
          <w:bCs/>
          <w:sz w:val="24"/>
          <w:szCs w:val="24"/>
        </w:rPr>
        <w:t>/2015, não havia nenhuma tipificação legal pelo fato de o homicídio ser praticado contra mulher, sendo punível na forma do homicídio simples.</w:t>
      </w:r>
      <w:r w:rsidRPr="00917351">
        <w:rPr>
          <w:rFonts w:ascii="Times New Roman" w:hAnsi="Times New Roman"/>
          <w:bCs/>
          <w:sz w:val="24"/>
          <w:szCs w:val="24"/>
        </w:rPr>
        <w:t xml:space="preserve"> </w:t>
      </w:r>
    </w:p>
    <w:p w:rsidR="003A270F" w:rsidRDefault="00656D19" w:rsidP="003A270F">
      <w:pPr>
        <w:spacing w:after="0" w:line="360" w:lineRule="auto"/>
        <w:ind w:firstLine="567"/>
        <w:jc w:val="both"/>
        <w:rPr>
          <w:rFonts w:ascii="Times New Roman" w:hAnsi="Times New Roman"/>
          <w:bCs/>
          <w:i/>
          <w:sz w:val="24"/>
          <w:szCs w:val="24"/>
        </w:rPr>
      </w:pPr>
      <w:r>
        <w:rPr>
          <w:rFonts w:ascii="Times New Roman" w:hAnsi="Times New Roman"/>
          <w:sz w:val="24"/>
          <w:szCs w:val="24"/>
        </w:rPr>
        <w:t>Agora, d</w:t>
      </w:r>
      <w:r w:rsidR="00A70AD7">
        <w:rPr>
          <w:rFonts w:ascii="Times New Roman" w:hAnsi="Times New Roman"/>
          <w:sz w:val="24"/>
          <w:szCs w:val="24"/>
        </w:rPr>
        <w:t>e acordo com o art.121, inciso VI, §2º do Código Penal, feminicídio é matar mulher por “razões da condição de sexo feminino”. Somado a essa definição, o §2º do mesmo artigo afirma que</w:t>
      </w:r>
      <w:r w:rsidR="003A270F">
        <w:rPr>
          <w:rFonts w:ascii="Times New Roman" w:hAnsi="Times New Roman"/>
          <w:sz w:val="24"/>
          <w:szCs w:val="24"/>
        </w:rPr>
        <w:t xml:space="preserve">: </w:t>
      </w:r>
      <w:r w:rsidR="003A270F" w:rsidRPr="003A270F">
        <w:rPr>
          <w:rFonts w:ascii="Times New Roman" w:hAnsi="Times New Roman"/>
          <w:i/>
          <w:sz w:val="24"/>
          <w:szCs w:val="24"/>
        </w:rPr>
        <w:t>“Considera-se que há razões de condição de sexo feminino quando o crime envolve:</w:t>
      </w:r>
      <w:r w:rsidR="003A270F" w:rsidRPr="003A270F">
        <w:rPr>
          <w:rFonts w:ascii="Times New Roman" w:hAnsi="Times New Roman"/>
          <w:bCs/>
          <w:i/>
          <w:sz w:val="24"/>
          <w:szCs w:val="24"/>
        </w:rPr>
        <w:t> </w:t>
      </w:r>
      <w:r w:rsidR="003A270F" w:rsidRPr="003A270F">
        <w:rPr>
          <w:rFonts w:ascii="Times New Roman" w:hAnsi="Times New Roman"/>
          <w:i/>
          <w:sz w:val="24"/>
          <w:szCs w:val="24"/>
        </w:rPr>
        <w:t>I - violência doméstica e familiar; II - menosprezo ou discriminação à condição de mulher.</w:t>
      </w:r>
      <w:r w:rsidR="003A270F" w:rsidRPr="003A270F">
        <w:rPr>
          <w:rFonts w:ascii="Times New Roman" w:hAnsi="Times New Roman"/>
          <w:bCs/>
          <w:i/>
          <w:sz w:val="24"/>
          <w:szCs w:val="24"/>
        </w:rPr>
        <w:t>”</w:t>
      </w:r>
    </w:p>
    <w:p w:rsidR="003A270F" w:rsidRDefault="003A270F" w:rsidP="003A270F">
      <w:pPr>
        <w:spacing w:after="0" w:line="360" w:lineRule="auto"/>
        <w:ind w:firstLine="567"/>
        <w:jc w:val="both"/>
        <w:rPr>
          <w:rFonts w:ascii="Times New Roman" w:hAnsi="Times New Roman"/>
          <w:bCs/>
          <w:sz w:val="24"/>
          <w:szCs w:val="24"/>
        </w:rPr>
      </w:pPr>
      <w:r>
        <w:rPr>
          <w:rFonts w:ascii="Times New Roman" w:hAnsi="Times New Roman"/>
          <w:bCs/>
          <w:sz w:val="24"/>
          <w:szCs w:val="24"/>
        </w:rPr>
        <w:t>Nota-se que, não é qualquer assassinato que será considerado feminicídio. Deve estar presente uma das hipóteses elencada no §2º-A, art.121 do Código Penal.</w:t>
      </w:r>
      <w:r w:rsidR="00C90396">
        <w:rPr>
          <w:rFonts w:ascii="Times New Roman" w:hAnsi="Times New Roman"/>
          <w:bCs/>
          <w:sz w:val="24"/>
          <w:szCs w:val="24"/>
        </w:rPr>
        <w:t xml:space="preserve"> </w:t>
      </w:r>
    </w:p>
    <w:p w:rsidR="00C90396" w:rsidRDefault="00C90396" w:rsidP="003A270F">
      <w:pPr>
        <w:spacing w:after="0" w:line="360" w:lineRule="auto"/>
        <w:ind w:firstLine="567"/>
        <w:jc w:val="both"/>
        <w:rPr>
          <w:rFonts w:ascii="Times New Roman" w:hAnsi="Times New Roman"/>
          <w:bCs/>
          <w:sz w:val="24"/>
          <w:szCs w:val="24"/>
        </w:rPr>
      </w:pPr>
      <w:r>
        <w:rPr>
          <w:rFonts w:ascii="Times New Roman" w:hAnsi="Times New Roman"/>
          <w:bCs/>
          <w:sz w:val="24"/>
          <w:szCs w:val="24"/>
        </w:rPr>
        <w:t>A primeira hipótese diz respeito a violência doméstica e familiar, nos remetendo ao art.5º  e 7º da Lei 11.340/06, que assim nos diz:</w:t>
      </w:r>
    </w:p>
    <w:p w:rsidR="00C90396" w:rsidRDefault="00C90396" w:rsidP="003A270F">
      <w:pPr>
        <w:spacing w:after="0" w:line="360" w:lineRule="auto"/>
        <w:ind w:firstLine="567"/>
        <w:jc w:val="both"/>
        <w:rPr>
          <w:rFonts w:ascii="Times New Roman" w:hAnsi="Times New Roman"/>
          <w:bCs/>
          <w:sz w:val="24"/>
          <w:szCs w:val="24"/>
        </w:rPr>
      </w:pPr>
    </w:p>
    <w:p w:rsidR="00C90396" w:rsidRPr="00C90396" w:rsidRDefault="00C90396" w:rsidP="00C90396">
      <w:pPr>
        <w:spacing w:after="0" w:line="240" w:lineRule="auto"/>
        <w:ind w:left="2268"/>
        <w:jc w:val="both"/>
        <w:rPr>
          <w:rFonts w:ascii="Times New Roman" w:hAnsi="Times New Roman"/>
          <w:szCs w:val="24"/>
        </w:rPr>
      </w:pPr>
      <w:r w:rsidRPr="00C90396">
        <w:rPr>
          <w:rFonts w:ascii="Times New Roman" w:hAnsi="Times New Roman"/>
          <w:szCs w:val="24"/>
        </w:rPr>
        <w:t>Art. 5</w:t>
      </w:r>
      <w:r w:rsidRPr="00C90396">
        <w:rPr>
          <w:rFonts w:ascii="Times New Roman" w:hAnsi="Times New Roman"/>
          <w:szCs w:val="24"/>
          <w:u w:val="single"/>
          <w:vertAlign w:val="superscript"/>
        </w:rPr>
        <w:t>o</w:t>
      </w:r>
      <w:r w:rsidRPr="00C90396">
        <w:rPr>
          <w:rFonts w:ascii="Times New Roman" w:hAnsi="Times New Roman"/>
          <w:szCs w:val="24"/>
        </w:rPr>
        <w:t>  Para os efeitos desta Lei, configura violência doméstica e familiar contra a mulher qualquer ação ou omissão baseada no gênero que lhe cause morte, lesão, sofrimento físico, sexual ou psicológico e dano moral ou patrimonial:  I - no âmbito da unidade doméstica, compreendida como o espaço de convívio permanente de pessoas, com ou sem vínculo familiar, inclusive as esporadicamente agregadas; II - no âmbito da família, compreendida como a comunidade formada por indivíduos que são ou se consideram aparentados, unidos por laços naturais, por afinidade ou por vontade expressa; III - em qualquer relação íntima de afeto, na qual o agressor conviva ou tenha convivido com a ofendida, independentemente de coabitação. Parágrafo único.  As relações pessoais enunciadas neste artigo independem de orientação sexual.</w:t>
      </w:r>
    </w:p>
    <w:p w:rsidR="00C90396" w:rsidRPr="00C90396" w:rsidRDefault="00C90396" w:rsidP="00C90396">
      <w:pPr>
        <w:spacing w:after="0" w:line="240" w:lineRule="auto"/>
        <w:ind w:left="2268"/>
        <w:jc w:val="both"/>
        <w:rPr>
          <w:rFonts w:ascii="Times New Roman" w:hAnsi="Times New Roman"/>
          <w:szCs w:val="24"/>
        </w:rPr>
      </w:pPr>
    </w:p>
    <w:p w:rsidR="00C90396" w:rsidRPr="00C90396" w:rsidRDefault="00C90396" w:rsidP="00C90396">
      <w:pPr>
        <w:spacing w:after="0" w:line="240" w:lineRule="auto"/>
        <w:ind w:left="2268"/>
        <w:jc w:val="both"/>
        <w:rPr>
          <w:rFonts w:ascii="Times New Roman" w:hAnsi="Times New Roman"/>
          <w:szCs w:val="24"/>
        </w:rPr>
      </w:pPr>
      <w:r w:rsidRPr="00C90396">
        <w:rPr>
          <w:rFonts w:ascii="Times New Roman" w:hAnsi="Times New Roman"/>
          <w:szCs w:val="24"/>
        </w:rPr>
        <w:t>Art. 7</w:t>
      </w:r>
      <w:r w:rsidRPr="00C90396">
        <w:rPr>
          <w:rFonts w:ascii="Times New Roman" w:hAnsi="Times New Roman"/>
          <w:szCs w:val="24"/>
          <w:u w:val="single"/>
          <w:vertAlign w:val="superscript"/>
        </w:rPr>
        <w:t>o</w:t>
      </w:r>
      <w:r w:rsidRPr="00C90396">
        <w:rPr>
          <w:rFonts w:ascii="Times New Roman" w:hAnsi="Times New Roman"/>
          <w:szCs w:val="24"/>
        </w:rPr>
        <w:t xml:space="preserve">  São formas de violência doméstica e familiar contra a mulher, entre outras: I - a violência física, entendida como qualquer conduta que ofenda sua integridade ou saúde corporal; II - a violência psicológica, entendida como qualquer conduta que lhe cause dano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ridicularização, exploração e limitação do direito de ir e vir ou qualquer outro meio que lhe cause prejuízo à saúde psicológica e à autodeterminação; III - a violência sexual, entendida como qualquer conduta que a constranja a presenciar, a manter ou a participar de relação sexual não desejada, mediante intimidação, ameaça, coação ou uso da força; que a induza a comercializar ou a utilizar, de qualquer modo, a sua sexualidade, que a impeça de usar qualquer método contraceptivo ou que a force ao matrimônio, à gravidez, ao aborto ou à prostituição, mediante coação, chantagem, suborno ou manipulação; ou que limite ou anule o exercício de seus direitos sexuais e reprodutivos; IV - a violência patrimonial, entendida como qualquer conduta que configure retenção, </w:t>
      </w:r>
      <w:r w:rsidRPr="00C90396">
        <w:rPr>
          <w:rFonts w:ascii="Times New Roman" w:hAnsi="Times New Roman"/>
          <w:szCs w:val="24"/>
        </w:rPr>
        <w:lastRenderedPageBreak/>
        <w:t>subtração, destruição parcial ou total de seus objetos, instrumentos de trabalho, documentos pessoais, bens, valores e direitos ou recursos econômicos, incluindo os destinados a satisfazer suas necessidades; V - a violência moral, entendida como qualquer conduta que configure calúnia, difamação ou injúria.</w:t>
      </w:r>
    </w:p>
    <w:p w:rsidR="00C90396" w:rsidRPr="003A270F" w:rsidRDefault="00C90396" w:rsidP="003A270F">
      <w:pPr>
        <w:spacing w:after="0" w:line="360" w:lineRule="auto"/>
        <w:ind w:firstLine="567"/>
        <w:jc w:val="both"/>
        <w:rPr>
          <w:rFonts w:ascii="Times New Roman" w:hAnsi="Times New Roman"/>
          <w:sz w:val="24"/>
          <w:szCs w:val="24"/>
        </w:rPr>
      </w:pPr>
    </w:p>
    <w:p w:rsidR="00A4736B" w:rsidRDefault="00A4736B" w:rsidP="00A4736B">
      <w:pPr>
        <w:spacing w:after="0" w:line="360" w:lineRule="auto"/>
        <w:ind w:firstLine="567"/>
        <w:jc w:val="both"/>
        <w:rPr>
          <w:rFonts w:ascii="Times New Roman" w:hAnsi="Times New Roman"/>
          <w:bCs/>
          <w:sz w:val="24"/>
          <w:szCs w:val="24"/>
        </w:rPr>
      </w:pPr>
      <w:r w:rsidRPr="009A3D0A">
        <w:rPr>
          <w:rFonts w:ascii="Times New Roman" w:hAnsi="Times New Roman"/>
          <w:bCs/>
          <w:sz w:val="24"/>
          <w:szCs w:val="24"/>
        </w:rPr>
        <w:t>Da conjugação dos artigos 5º e 7º da Lei nº 11.340/2006 temos que: 1) a violência doméstica e familiar somente pode ter como vítima a mulher, independente de sua condição pessoal ou preferência sexual; 2) pode ocorrer em qualquer local em que a ofendida resida, ou mesmo fora dele, desde que praticada por pessoa que consigo conviva ou conviveu, com ou sem vínculo familiar, por familiares, por pessoas unidas por laços naturais, de afinidade ou por vontade expressa, ou, ainda, em qualquer relação íntima de afeto, na qual o agressor conviva ou tenha convivido com a ofendida, independente de coabitação e de orientação sexual; 3) as formas de agressão podem ser de índole corporal, psicológica, moral, patrimonial ou sexual, cometidas por ação ou omissão baseada no gênero.</w:t>
      </w:r>
      <w:r>
        <w:rPr>
          <w:rStyle w:val="Refdenotaderodap"/>
          <w:bCs/>
        </w:rPr>
        <w:footnoteReference w:id="6"/>
      </w:r>
    </w:p>
    <w:p w:rsidR="00D624DC" w:rsidRDefault="00C90396" w:rsidP="00D624DC">
      <w:pPr>
        <w:spacing w:after="0" w:line="360" w:lineRule="auto"/>
        <w:ind w:firstLine="567"/>
        <w:jc w:val="both"/>
        <w:rPr>
          <w:rFonts w:ascii="Times New Roman" w:hAnsi="Times New Roman"/>
          <w:sz w:val="24"/>
          <w:szCs w:val="24"/>
        </w:rPr>
      </w:pPr>
      <w:r>
        <w:rPr>
          <w:rFonts w:ascii="Times New Roman" w:hAnsi="Times New Roman"/>
          <w:sz w:val="24"/>
          <w:szCs w:val="24"/>
        </w:rPr>
        <w:t xml:space="preserve">Nesse caso, é fácil constatar que a mulher encontra-se em situação de vulnerabilidade, motivo pelo qual deve </w:t>
      </w:r>
      <w:r w:rsidR="00656D19">
        <w:rPr>
          <w:rFonts w:ascii="Times New Roman" w:hAnsi="Times New Roman"/>
          <w:sz w:val="24"/>
          <w:szCs w:val="24"/>
        </w:rPr>
        <w:t>ser amparada pela qualificadora, de natureza objetiva.</w:t>
      </w:r>
    </w:p>
    <w:p w:rsidR="00C90396" w:rsidRDefault="00C90396" w:rsidP="00D624DC">
      <w:pPr>
        <w:spacing w:after="0" w:line="360" w:lineRule="auto"/>
        <w:ind w:firstLine="567"/>
        <w:jc w:val="both"/>
        <w:rPr>
          <w:rFonts w:ascii="Times New Roman" w:hAnsi="Times New Roman"/>
          <w:i/>
          <w:sz w:val="24"/>
          <w:szCs w:val="24"/>
        </w:rPr>
      </w:pPr>
      <w:r>
        <w:rPr>
          <w:rFonts w:ascii="Times New Roman" w:hAnsi="Times New Roman"/>
          <w:sz w:val="24"/>
          <w:szCs w:val="24"/>
        </w:rPr>
        <w:t>Por outro lado, a segunda hipótese é difícil de ser caracterizada, pois trata-se de uma circunstância subjetiva. Nos dizeres de Antônio Lopes Monteiro</w:t>
      </w:r>
      <w:r>
        <w:rPr>
          <w:rStyle w:val="Refdenotaderodap"/>
          <w:rFonts w:ascii="Times New Roman" w:hAnsi="Times New Roman"/>
          <w:sz w:val="24"/>
          <w:szCs w:val="24"/>
        </w:rPr>
        <w:footnoteReference w:id="7"/>
      </w:r>
      <w:r>
        <w:rPr>
          <w:rFonts w:ascii="Times New Roman" w:hAnsi="Times New Roman"/>
          <w:sz w:val="24"/>
          <w:szCs w:val="24"/>
        </w:rPr>
        <w:t xml:space="preserve">: </w:t>
      </w:r>
      <w:r w:rsidRPr="00C90396">
        <w:rPr>
          <w:rFonts w:ascii="Times New Roman" w:hAnsi="Times New Roman"/>
          <w:i/>
          <w:sz w:val="24"/>
          <w:szCs w:val="24"/>
        </w:rPr>
        <w:t>“menosprezo é a falta de apreço por alguém, no caso em razão do gênero; é desprezar, desdenhar da mulher; é tratá-la com desdém, desconsideração, desprezo. Não fazer caso, enfim, tratar a mulher de forma desprezível, sem lhe dar a devida atenção.”</w:t>
      </w:r>
    </w:p>
    <w:p w:rsidR="00656D19" w:rsidRDefault="00656D19" w:rsidP="00D624DC">
      <w:pPr>
        <w:spacing w:after="0" w:line="360" w:lineRule="auto"/>
        <w:ind w:firstLine="567"/>
        <w:jc w:val="both"/>
        <w:rPr>
          <w:rFonts w:ascii="Times New Roman" w:hAnsi="Times New Roman"/>
          <w:sz w:val="24"/>
          <w:szCs w:val="24"/>
        </w:rPr>
      </w:pPr>
      <w:r>
        <w:rPr>
          <w:rFonts w:ascii="Times New Roman" w:hAnsi="Times New Roman"/>
          <w:sz w:val="24"/>
          <w:szCs w:val="24"/>
        </w:rPr>
        <w:t>Dessa forma, deve-se ressaltar que, somente nos casos do §2º-A, inciso I do Código Penal será permitido a figura do homicídio privilegiado-qualificado, uma vez que trata-se de qualificadora de natureza objetiva.</w:t>
      </w:r>
    </w:p>
    <w:p w:rsidR="00D624DC" w:rsidRDefault="00A4736B" w:rsidP="00A4736B">
      <w:pPr>
        <w:spacing w:after="0" w:line="360" w:lineRule="auto"/>
        <w:ind w:firstLine="567"/>
        <w:jc w:val="both"/>
        <w:rPr>
          <w:rFonts w:ascii="Times New Roman" w:hAnsi="Times New Roman"/>
          <w:bCs/>
          <w:sz w:val="24"/>
          <w:szCs w:val="24"/>
        </w:rPr>
      </w:pPr>
      <w:r>
        <w:rPr>
          <w:rFonts w:ascii="Times New Roman" w:hAnsi="Times New Roman"/>
          <w:sz w:val="24"/>
          <w:szCs w:val="24"/>
        </w:rPr>
        <w:t xml:space="preserve">Por fim, cabe dizer que, </w:t>
      </w:r>
      <w:r>
        <w:rPr>
          <w:rFonts w:ascii="Times New Roman" w:hAnsi="Times New Roman"/>
          <w:bCs/>
          <w:sz w:val="24"/>
          <w:szCs w:val="24"/>
        </w:rPr>
        <w:t xml:space="preserve">apesar de serem utilizados como sinônimos, feminicídio e femicídio possuem significados diferentes. O primeiro significa praticar homicídio contra a mulher por razões de gênero; já femicídio significa praticar homicídio contra a mulher. </w:t>
      </w:r>
      <w:r w:rsidRPr="00C40CA6">
        <w:rPr>
          <w:rFonts w:ascii="Times New Roman" w:hAnsi="Times New Roman"/>
          <w:bCs/>
          <w:sz w:val="24"/>
          <w:szCs w:val="24"/>
        </w:rPr>
        <w:t xml:space="preserve"> </w:t>
      </w:r>
    </w:p>
    <w:p w:rsidR="00A4736B" w:rsidRDefault="00A4736B" w:rsidP="00A4736B">
      <w:pPr>
        <w:spacing w:after="0" w:line="360" w:lineRule="auto"/>
        <w:ind w:firstLine="567"/>
        <w:jc w:val="both"/>
        <w:rPr>
          <w:rFonts w:ascii="Times New Roman" w:hAnsi="Times New Roman"/>
          <w:bCs/>
          <w:sz w:val="24"/>
          <w:szCs w:val="24"/>
        </w:rPr>
      </w:pPr>
    </w:p>
    <w:p w:rsidR="00A4736B" w:rsidRDefault="00A4736B" w:rsidP="00A4736B">
      <w:pPr>
        <w:spacing w:after="0" w:line="360" w:lineRule="auto"/>
        <w:ind w:firstLine="567"/>
        <w:jc w:val="both"/>
        <w:rPr>
          <w:rFonts w:ascii="Times New Roman" w:hAnsi="Times New Roman"/>
          <w:b/>
          <w:sz w:val="24"/>
          <w:szCs w:val="24"/>
        </w:rPr>
      </w:pPr>
    </w:p>
    <w:p w:rsidR="000D4ED7" w:rsidRDefault="00656D19" w:rsidP="000D4ED7">
      <w:pPr>
        <w:spacing w:after="0" w:line="360" w:lineRule="auto"/>
        <w:jc w:val="both"/>
        <w:rPr>
          <w:rFonts w:ascii="Times New Roman" w:hAnsi="Times New Roman"/>
          <w:b/>
          <w:bCs/>
          <w:sz w:val="24"/>
          <w:szCs w:val="24"/>
        </w:rPr>
      </w:pPr>
      <w:r>
        <w:rPr>
          <w:rFonts w:ascii="Times New Roman" w:hAnsi="Times New Roman"/>
          <w:b/>
          <w:sz w:val="24"/>
          <w:szCs w:val="24"/>
        </w:rPr>
        <w:t>3</w:t>
      </w:r>
      <w:r w:rsidR="000D4ED7">
        <w:rPr>
          <w:rFonts w:ascii="Times New Roman" w:hAnsi="Times New Roman"/>
          <w:b/>
          <w:sz w:val="24"/>
          <w:szCs w:val="24"/>
        </w:rPr>
        <w:t xml:space="preserve">. </w:t>
      </w:r>
      <w:r w:rsidR="00A4736B">
        <w:rPr>
          <w:rFonts w:ascii="Times New Roman" w:hAnsi="Times New Roman"/>
          <w:b/>
          <w:sz w:val="24"/>
          <w:szCs w:val="24"/>
        </w:rPr>
        <w:t>Principais modificações trazidas pela Lei 13.105/15</w:t>
      </w:r>
      <w:r>
        <w:rPr>
          <w:rFonts w:ascii="Times New Roman" w:hAnsi="Times New Roman"/>
          <w:b/>
          <w:bCs/>
          <w:sz w:val="24"/>
          <w:szCs w:val="24"/>
        </w:rPr>
        <w:t>:</w:t>
      </w:r>
    </w:p>
    <w:p w:rsidR="000D4ED7" w:rsidRDefault="000D4ED7" w:rsidP="000D4ED7">
      <w:pPr>
        <w:spacing w:after="0" w:line="360" w:lineRule="auto"/>
        <w:jc w:val="both"/>
        <w:rPr>
          <w:rFonts w:ascii="Times New Roman" w:hAnsi="Times New Roman"/>
          <w:b/>
          <w:bCs/>
          <w:sz w:val="24"/>
          <w:szCs w:val="24"/>
        </w:rPr>
      </w:pPr>
    </w:p>
    <w:p w:rsidR="000D4ED7" w:rsidRDefault="00A4736B"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Conforme já dito, a</w:t>
      </w:r>
      <w:r w:rsidR="000D4ED7">
        <w:rPr>
          <w:rFonts w:ascii="Times New Roman" w:hAnsi="Times New Roman"/>
          <w:bCs/>
          <w:sz w:val="24"/>
          <w:szCs w:val="24"/>
        </w:rPr>
        <w:t xml:space="preserve"> Lei 13.105, sancionada no dia 09 de março de 2015, inaugurou mais um tipo penal que foi o feminicídio, entendido como morte de mulher em razão da condição do sexo feminino, alterando o art.121 do Código Penal.</w:t>
      </w:r>
    </w:p>
    <w:p w:rsidR="000D4ED7" w:rsidRDefault="000D4ED7"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Essa lei </w:t>
      </w:r>
      <w:r w:rsidRPr="00FA7ED6">
        <w:rPr>
          <w:rFonts w:ascii="Times New Roman" w:hAnsi="Times New Roman"/>
          <w:bCs/>
          <w:sz w:val="24"/>
          <w:szCs w:val="24"/>
        </w:rPr>
        <w:t>é de autoria da Comissão Parlamentar Mista de Inquérito da</w:t>
      </w:r>
      <w:r>
        <w:rPr>
          <w:rFonts w:ascii="Times New Roman" w:hAnsi="Times New Roman"/>
          <w:bCs/>
          <w:sz w:val="24"/>
          <w:szCs w:val="24"/>
        </w:rPr>
        <w:t xml:space="preserve"> </w:t>
      </w:r>
      <w:r w:rsidRPr="00FA7ED6">
        <w:rPr>
          <w:rFonts w:ascii="Times New Roman" w:hAnsi="Times New Roman"/>
          <w:bCs/>
          <w:sz w:val="24"/>
          <w:szCs w:val="24"/>
        </w:rPr>
        <w:t xml:space="preserve">Investigação da situação da violência contra a mulher no Brasil. </w:t>
      </w:r>
      <w:r>
        <w:rPr>
          <w:rFonts w:ascii="Times New Roman" w:hAnsi="Times New Roman"/>
          <w:bCs/>
          <w:sz w:val="24"/>
          <w:szCs w:val="24"/>
        </w:rPr>
        <w:t>E, conforme já dito, esta se justifica, pelo fato de que</w:t>
      </w:r>
      <w:r w:rsidRPr="00FA7ED6">
        <w:rPr>
          <w:rFonts w:ascii="Times New Roman" w:hAnsi="Times New Roman"/>
          <w:bCs/>
          <w:sz w:val="24"/>
          <w:szCs w:val="24"/>
        </w:rPr>
        <w:t xml:space="preserve">, inúmeras infrações penais são praticadas no interior </w:t>
      </w:r>
      <w:r>
        <w:rPr>
          <w:rFonts w:ascii="Times New Roman" w:hAnsi="Times New Roman"/>
          <w:bCs/>
          <w:sz w:val="24"/>
          <w:szCs w:val="24"/>
        </w:rPr>
        <w:t>dos lares, no seio das famílias,</w:t>
      </w:r>
      <w:r w:rsidRPr="00FA7ED6">
        <w:rPr>
          <w:rFonts w:ascii="Times New Roman" w:hAnsi="Times New Roman"/>
          <w:bCs/>
          <w:sz w:val="24"/>
          <w:szCs w:val="24"/>
        </w:rPr>
        <w:t xml:space="preserve"> </w:t>
      </w:r>
      <w:r>
        <w:rPr>
          <w:rFonts w:ascii="Times New Roman" w:hAnsi="Times New Roman"/>
          <w:bCs/>
          <w:sz w:val="24"/>
          <w:szCs w:val="24"/>
        </w:rPr>
        <w:t>d</w:t>
      </w:r>
      <w:r w:rsidRPr="00FA7ED6">
        <w:rPr>
          <w:rFonts w:ascii="Times New Roman" w:hAnsi="Times New Roman"/>
          <w:bCs/>
          <w:sz w:val="24"/>
          <w:szCs w:val="24"/>
        </w:rPr>
        <w:t>esde agressões verbais, ofensivas às honras subjetiva e objetiva das pessoas, passando por ameaças, lesões corporais, crimes contra o patrimônio, violências sexuais, homicidios e tantos outros crimes.</w:t>
      </w:r>
      <w:r>
        <w:rPr>
          <w:rFonts w:ascii="Times New Roman" w:hAnsi="Times New Roman"/>
          <w:bCs/>
          <w:sz w:val="24"/>
          <w:szCs w:val="24"/>
        </w:rPr>
        <w:t xml:space="preserve"> </w:t>
      </w:r>
    </w:p>
    <w:p w:rsidR="00A4736B" w:rsidRDefault="000D4ED7" w:rsidP="00A4736B">
      <w:pPr>
        <w:spacing w:after="0" w:line="360" w:lineRule="auto"/>
        <w:ind w:firstLine="567"/>
        <w:jc w:val="both"/>
        <w:rPr>
          <w:rFonts w:ascii="Times New Roman" w:hAnsi="Times New Roman"/>
          <w:bCs/>
          <w:sz w:val="24"/>
          <w:szCs w:val="24"/>
        </w:rPr>
      </w:pPr>
      <w:r w:rsidRPr="00917351">
        <w:rPr>
          <w:rFonts w:ascii="Times New Roman" w:hAnsi="Times New Roman"/>
          <w:bCs/>
          <w:sz w:val="24"/>
          <w:szCs w:val="24"/>
        </w:rPr>
        <w:t xml:space="preserve">Na América Latina, vários são os países que tipificaram o feminicídio. Na Costa Rica, no Chile e no Peru as legislações punem o homicídio de mulher por alguém que com ela tenha mantido relacionamento íntimo (cônjuge, companheiro, ou até mesmo namorado, como no caso do Peru). Já em El Salvador, Guatemala e México o crime é punido porque a morte da mulher ocorreu em razão de seu gênero. Em todos esses países o crime é punido de forma autônoma, dando-lhe especial </w:t>
      </w:r>
      <w:r w:rsidRPr="00A4736B">
        <w:rPr>
          <w:rFonts w:ascii="Times New Roman" w:hAnsi="Times New Roman"/>
          <w:bCs/>
          <w:sz w:val="24"/>
          <w:szCs w:val="24"/>
        </w:rPr>
        <w:t>tratamento.</w:t>
      </w:r>
      <w:r w:rsidRPr="00A4736B">
        <w:rPr>
          <w:rStyle w:val="Refdenotaderodap"/>
          <w:rFonts w:ascii="Times New Roman" w:hAnsi="Times New Roman"/>
          <w:bCs/>
        </w:rPr>
        <w:footnoteReference w:id="8"/>
      </w:r>
    </w:p>
    <w:p w:rsidR="000D4ED7" w:rsidRDefault="000D4ED7"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Passando a análise dos aspectos principais da Lei em estudo, vamos analisar as principais modificações.</w:t>
      </w:r>
    </w:p>
    <w:p w:rsidR="000D4ED7" w:rsidRDefault="000D4ED7"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Conforme se sabe, o</w:t>
      </w:r>
      <w:r w:rsidRPr="00917351">
        <w:rPr>
          <w:rFonts w:ascii="Times New Roman" w:hAnsi="Times New Roman"/>
          <w:bCs/>
          <w:sz w:val="24"/>
          <w:szCs w:val="24"/>
        </w:rPr>
        <w:t xml:space="preserve"> rol de qualificadoras do homicídio encontra-se pre</w:t>
      </w:r>
      <w:r>
        <w:rPr>
          <w:rFonts w:ascii="Times New Roman" w:hAnsi="Times New Roman"/>
          <w:bCs/>
          <w:sz w:val="24"/>
          <w:szCs w:val="24"/>
        </w:rPr>
        <w:t>visto no § 2º do art. 121 do CP, é nele que foi inserido o inciso VI, prevendo o feminicídio, conforme se vê pelo artigo:</w:t>
      </w:r>
    </w:p>
    <w:p w:rsidR="000D4ED7" w:rsidRPr="00917351" w:rsidRDefault="000D4ED7" w:rsidP="000D4ED7">
      <w:pPr>
        <w:spacing w:after="0" w:line="240" w:lineRule="auto"/>
        <w:ind w:left="2835"/>
        <w:jc w:val="both"/>
        <w:rPr>
          <w:rFonts w:ascii="Times New Roman" w:hAnsi="Times New Roman"/>
          <w:bCs/>
          <w:szCs w:val="24"/>
        </w:rPr>
      </w:pPr>
      <w:r w:rsidRPr="00917351">
        <w:rPr>
          <w:rFonts w:ascii="Times New Roman" w:hAnsi="Times New Roman"/>
          <w:bCs/>
          <w:szCs w:val="24"/>
        </w:rPr>
        <w:t>Homicídio qualificado</w:t>
      </w:r>
    </w:p>
    <w:p w:rsidR="000D4ED7" w:rsidRPr="00917351" w:rsidRDefault="000D4ED7" w:rsidP="000D4ED7">
      <w:pPr>
        <w:spacing w:after="0" w:line="240" w:lineRule="auto"/>
        <w:ind w:left="2835"/>
        <w:jc w:val="both"/>
        <w:rPr>
          <w:rFonts w:ascii="Times New Roman" w:hAnsi="Times New Roman"/>
          <w:bCs/>
          <w:szCs w:val="24"/>
        </w:rPr>
      </w:pPr>
      <w:r w:rsidRPr="00917351">
        <w:rPr>
          <w:rFonts w:ascii="Times New Roman" w:hAnsi="Times New Roman"/>
          <w:bCs/>
          <w:szCs w:val="24"/>
        </w:rPr>
        <w:t>§ 2° Se o homicídio é cometido:</w:t>
      </w:r>
    </w:p>
    <w:p w:rsidR="000D4ED7" w:rsidRPr="00917351" w:rsidRDefault="000D4ED7" w:rsidP="000D4ED7">
      <w:pPr>
        <w:spacing w:after="0" w:line="240" w:lineRule="auto"/>
        <w:ind w:left="2835"/>
        <w:jc w:val="both"/>
        <w:rPr>
          <w:rFonts w:ascii="Times New Roman" w:hAnsi="Times New Roman"/>
          <w:bCs/>
          <w:szCs w:val="24"/>
        </w:rPr>
      </w:pPr>
      <w:r w:rsidRPr="00917351">
        <w:rPr>
          <w:rFonts w:ascii="Times New Roman" w:hAnsi="Times New Roman"/>
          <w:bCs/>
          <w:szCs w:val="24"/>
        </w:rPr>
        <w:t>(...)</w:t>
      </w:r>
    </w:p>
    <w:p w:rsidR="000D4ED7" w:rsidRPr="00917351" w:rsidRDefault="000D4ED7" w:rsidP="000D4ED7">
      <w:pPr>
        <w:spacing w:after="0" w:line="240" w:lineRule="auto"/>
        <w:ind w:left="2835"/>
        <w:jc w:val="both"/>
        <w:rPr>
          <w:rFonts w:ascii="Times New Roman" w:hAnsi="Times New Roman"/>
          <w:bCs/>
          <w:szCs w:val="24"/>
        </w:rPr>
      </w:pPr>
      <w:r w:rsidRPr="00917351">
        <w:rPr>
          <w:rFonts w:ascii="Times New Roman" w:hAnsi="Times New Roman"/>
          <w:bCs/>
          <w:szCs w:val="24"/>
        </w:rPr>
        <w:t>Feminicídio</w:t>
      </w:r>
    </w:p>
    <w:p w:rsidR="000D4ED7" w:rsidRPr="00917351" w:rsidRDefault="000D4ED7" w:rsidP="000D4ED7">
      <w:pPr>
        <w:spacing w:after="0" w:line="240" w:lineRule="auto"/>
        <w:ind w:left="2835"/>
        <w:jc w:val="both"/>
        <w:rPr>
          <w:rFonts w:ascii="Times New Roman" w:hAnsi="Times New Roman"/>
          <w:bCs/>
          <w:szCs w:val="24"/>
        </w:rPr>
      </w:pPr>
      <w:r w:rsidRPr="00917351">
        <w:rPr>
          <w:rFonts w:ascii="Times New Roman" w:hAnsi="Times New Roman"/>
          <w:bCs/>
          <w:szCs w:val="24"/>
        </w:rPr>
        <w:t>VI – contra a mulher por razões da condição de sexo feminino:</w:t>
      </w:r>
    </w:p>
    <w:p w:rsidR="000D4ED7" w:rsidRPr="00917351" w:rsidRDefault="000D4ED7" w:rsidP="000D4ED7">
      <w:pPr>
        <w:spacing w:after="0" w:line="240" w:lineRule="auto"/>
        <w:ind w:left="2835"/>
        <w:jc w:val="both"/>
        <w:rPr>
          <w:rFonts w:ascii="Times New Roman" w:hAnsi="Times New Roman"/>
          <w:bCs/>
          <w:szCs w:val="24"/>
        </w:rPr>
      </w:pPr>
      <w:r w:rsidRPr="00917351">
        <w:rPr>
          <w:rFonts w:ascii="Times New Roman" w:hAnsi="Times New Roman"/>
          <w:bCs/>
          <w:szCs w:val="24"/>
        </w:rPr>
        <w:t>Pena - reclusão, de doze a trinta anos.</w:t>
      </w:r>
    </w:p>
    <w:p w:rsidR="000D4ED7" w:rsidRDefault="000D4ED7" w:rsidP="000D4ED7">
      <w:pPr>
        <w:spacing w:after="0" w:line="360" w:lineRule="auto"/>
        <w:ind w:firstLine="567"/>
        <w:jc w:val="both"/>
        <w:rPr>
          <w:rFonts w:ascii="Times New Roman" w:hAnsi="Times New Roman"/>
          <w:bCs/>
          <w:sz w:val="24"/>
          <w:szCs w:val="24"/>
        </w:rPr>
      </w:pPr>
    </w:p>
    <w:p w:rsidR="000D4ED7" w:rsidRDefault="002B025D"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lastRenderedPageBreak/>
        <w:t xml:space="preserve">Com relação ao sujeito ativo, o crime será comum, podendo ser praticado por qualquer pessoa. </w:t>
      </w:r>
      <w:r w:rsidR="000D4ED7">
        <w:rPr>
          <w:rFonts w:ascii="Times New Roman" w:hAnsi="Times New Roman"/>
          <w:bCs/>
          <w:sz w:val="24"/>
          <w:szCs w:val="24"/>
        </w:rPr>
        <w:t xml:space="preserve">Já o sujeito passivo, </w:t>
      </w:r>
      <w:r>
        <w:rPr>
          <w:rFonts w:ascii="Times New Roman" w:hAnsi="Times New Roman"/>
          <w:bCs/>
          <w:sz w:val="24"/>
          <w:szCs w:val="24"/>
        </w:rPr>
        <w:t>por óbvio</w:t>
      </w:r>
      <w:r w:rsidR="000D4ED7">
        <w:rPr>
          <w:rFonts w:ascii="Times New Roman" w:hAnsi="Times New Roman"/>
          <w:bCs/>
          <w:sz w:val="24"/>
          <w:szCs w:val="24"/>
        </w:rPr>
        <w:t xml:space="preserve">, </w:t>
      </w:r>
      <w:r w:rsidR="000D4ED7" w:rsidRPr="00365335">
        <w:rPr>
          <w:rFonts w:ascii="Times New Roman" w:hAnsi="Times New Roman"/>
          <w:bCs/>
          <w:sz w:val="24"/>
          <w:szCs w:val="24"/>
        </w:rPr>
        <w:t>deve</w:t>
      </w:r>
      <w:r w:rsidR="000D4ED7">
        <w:rPr>
          <w:rFonts w:ascii="Times New Roman" w:hAnsi="Times New Roman"/>
          <w:bCs/>
          <w:sz w:val="24"/>
          <w:szCs w:val="24"/>
        </w:rPr>
        <w:t>rá</w:t>
      </w:r>
      <w:r w:rsidR="000D4ED7" w:rsidRPr="00365335">
        <w:rPr>
          <w:rFonts w:ascii="Times New Roman" w:hAnsi="Times New Roman"/>
          <w:bCs/>
          <w:sz w:val="24"/>
          <w:szCs w:val="24"/>
        </w:rPr>
        <w:t xml:space="preserve"> ser uma pessoa do sexo feminino.</w:t>
      </w:r>
      <w:r w:rsidR="000D4ED7">
        <w:rPr>
          <w:rFonts w:ascii="Times New Roman" w:hAnsi="Times New Roman"/>
          <w:bCs/>
          <w:sz w:val="24"/>
          <w:szCs w:val="24"/>
        </w:rPr>
        <w:t xml:space="preserve"> </w:t>
      </w:r>
      <w:r>
        <w:rPr>
          <w:rFonts w:ascii="Times New Roman" w:hAnsi="Times New Roman"/>
          <w:bCs/>
          <w:sz w:val="24"/>
          <w:szCs w:val="24"/>
        </w:rPr>
        <w:t xml:space="preserve">Nesse sentido, a doutrina diverge </w:t>
      </w:r>
      <w:r w:rsidR="000D4ED7">
        <w:rPr>
          <w:rFonts w:ascii="Times New Roman" w:hAnsi="Times New Roman"/>
          <w:bCs/>
          <w:sz w:val="24"/>
          <w:szCs w:val="24"/>
        </w:rPr>
        <w:t>em três posições com relação a identificação da mulher com a finalidade de ser aplicada</w:t>
      </w:r>
      <w:r>
        <w:rPr>
          <w:rFonts w:ascii="Times New Roman" w:hAnsi="Times New Roman"/>
          <w:bCs/>
          <w:sz w:val="24"/>
          <w:szCs w:val="24"/>
        </w:rPr>
        <w:t xml:space="preserve"> a qualificadora do feminicídio:</w:t>
      </w:r>
      <w:r w:rsidR="000D4ED7">
        <w:rPr>
          <w:rFonts w:ascii="Times New Roman" w:hAnsi="Times New Roman"/>
          <w:bCs/>
          <w:sz w:val="24"/>
          <w:szCs w:val="24"/>
        </w:rPr>
        <w:t xml:space="preserve"> </w:t>
      </w:r>
    </w:p>
    <w:p w:rsidR="002B025D" w:rsidRDefault="002B025D" w:rsidP="000D4ED7">
      <w:pPr>
        <w:spacing w:after="0" w:line="360" w:lineRule="auto"/>
        <w:ind w:firstLine="567"/>
        <w:jc w:val="both"/>
        <w:rPr>
          <w:rFonts w:ascii="Times New Roman" w:hAnsi="Times New Roman"/>
          <w:bCs/>
          <w:sz w:val="24"/>
          <w:szCs w:val="24"/>
        </w:rPr>
      </w:pPr>
    </w:p>
    <w:p w:rsidR="000D4ED7" w:rsidRDefault="000D4ED7" w:rsidP="002B025D">
      <w:pPr>
        <w:spacing w:after="0" w:line="240" w:lineRule="auto"/>
        <w:ind w:left="2268"/>
        <w:jc w:val="both"/>
        <w:rPr>
          <w:rFonts w:ascii="Times New Roman" w:hAnsi="Times New Roman"/>
          <w:bCs/>
          <w:szCs w:val="24"/>
        </w:rPr>
      </w:pPr>
      <w:r w:rsidRPr="002B025D">
        <w:rPr>
          <w:rFonts w:ascii="Times New Roman" w:hAnsi="Times New Roman"/>
          <w:bCs/>
          <w:szCs w:val="24"/>
        </w:rPr>
        <w:t>1) O critério psicológico: Existirá defesa no sentido de que se deve desconsiderar o critério biológico para identificar como mulher, toda aquela em que o psíquico ou o aspecto comportamental é feminino. Adotando-se esse critério, matar alguém que fez a cirurgia de redesignação de gênero ou que, psicologicamente, acredita ser uma mulher, será aplicado a qualificadora do feminicídio. 2) O critério jurídico cível: Deve ser considerado o sexo que consta no registro civil, ou seja, se houver decisão judicial para a alteração do registro de nascimento, alterando o sexo, teremos um novo conceito de mulher, que deixará de ser natural para ser um conceito de natureza jurídica. 3) 3) O critério biológico: Deve ser sempre considerado o critério biológico, ou seja, identifica-se a mulher em sua concepção genética ou cromossômica. Neste caso, como a cirurgia de redesignação de gênero altera a estética, mas não a concepção genética, não será possível a aplicação da qualificadora do feminicídio.</w:t>
      </w:r>
      <w:r w:rsidRPr="002B025D">
        <w:rPr>
          <w:rStyle w:val="Refdenotaderodap"/>
          <w:bCs/>
          <w:sz w:val="20"/>
        </w:rPr>
        <w:footnoteReference w:id="9"/>
      </w:r>
    </w:p>
    <w:p w:rsidR="002B025D" w:rsidRPr="002B025D" w:rsidRDefault="002B025D" w:rsidP="002B025D">
      <w:pPr>
        <w:spacing w:after="0" w:line="240" w:lineRule="auto"/>
        <w:ind w:left="2268"/>
        <w:jc w:val="both"/>
        <w:rPr>
          <w:rFonts w:ascii="Times New Roman" w:hAnsi="Times New Roman"/>
          <w:bCs/>
          <w:szCs w:val="24"/>
        </w:rPr>
      </w:pPr>
    </w:p>
    <w:p w:rsidR="000D4ED7" w:rsidRPr="008B503B" w:rsidRDefault="002B025D"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A maioria da doutrina vem entendendo que o Código Penal adotou o critério biológico para considerar o conceito de mulher. Dessa forma, a lei não pode ser aplicada a transexual, pois não </w:t>
      </w:r>
      <w:r w:rsidR="000D4ED7" w:rsidRPr="008B503B">
        <w:rPr>
          <w:rFonts w:ascii="Times New Roman" w:hAnsi="Times New Roman"/>
          <w:bCs/>
          <w:sz w:val="24"/>
          <w:szCs w:val="24"/>
        </w:rPr>
        <w:t>pode o intérprete, a pretexto de respeitar a livre expressão sexual do transexual, valer-se de analogia para punir o agente.</w:t>
      </w:r>
    </w:p>
    <w:p w:rsidR="000D4ED7" w:rsidRPr="008B503B" w:rsidRDefault="002B025D"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Assim, </w:t>
      </w:r>
      <w:r w:rsidR="000D4ED7">
        <w:rPr>
          <w:rFonts w:ascii="Times New Roman" w:hAnsi="Times New Roman"/>
          <w:bCs/>
          <w:sz w:val="24"/>
          <w:szCs w:val="24"/>
        </w:rPr>
        <w:t>a</w:t>
      </w:r>
      <w:r w:rsidR="000D4ED7" w:rsidRPr="008B503B">
        <w:rPr>
          <w:rFonts w:ascii="Times New Roman" w:hAnsi="Times New Roman"/>
          <w:bCs/>
          <w:sz w:val="24"/>
          <w:szCs w:val="24"/>
        </w:rPr>
        <w:t xml:space="preserve"> transexual, sob o ponto de vista estritamente genético, continua sendo pessoa do sexo masculino, mesmo após a cirurgia.</w:t>
      </w:r>
      <w:r w:rsidR="000D4ED7">
        <w:rPr>
          <w:rFonts w:ascii="Times New Roman" w:hAnsi="Times New Roman"/>
          <w:bCs/>
          <w:sz w:val="24"/>
          <w:szCs w:val="24"/>
        </w:rPr>
        <w:t xml:space="preserve"> </w:t>
      </w:r>
      <w:r w:rsidR="000D4ED7" w:rsidRPr="008B503B">
        <w:rPr>
          <w:rFonts w:ascii="Times New Roman" w:hAnsi="Times New Roman"/>
          <w:bCs/>
          <w:sz w:val="24"/>
          <w:szCs w:val="24"/>
        </w:rPr>
        <w:t>Enfim, a transexual que realizou a cirurgia e passou a ter identidade sexual feminina é equiparada à mulher para todos os fins de direito, menos para agravar a situação do réu. Isso porque, em direito penal, somente se admitem equiparações que sejam feitas pela lei, em obediência ao princípio da estrita legalidade.</w:t>
      </w:r>
      <w:r w:rsidR="000D4ED7">
        <w:rPr>
          <w:rStyle w:val="Refdenotaderodap"/>
          <w:bCs/>
        </w:rPr>
        <w:footnoteReference w:id="10"/>
      </w:r>
    </w:p>
    <w:p w:rsidR="000D4ED7" w:rsidRDefault="002B025D"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Ademais, partindo do mesmo caráter biológico adotado, não se pode aplicar a referida lei, </w:t>
      </w:r>
      <w:r w:rsidR="000D4ED7">
        <w:rPr>
          <w:rFonts w:ascii="Times New Roman" w:hAnsi="Times New Roman"/>
          <w:bCs/>
          <w:sz w:val="24"/>
          <w:szCs w:val="24"/>
        </w:rPr>
        <w:t xml:space="preserve">aos companheiros homoafetivos, porque a vítima deve ser do sexo feminino. </w:t>
      </w:r>
    </w:p>
    <w:p w:rsidR="000D4ED7" w:rsidRDefault="000D4ED7"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Para Márcio André Cavalcante:</w:t>
      </w:r>
    </w:p>
    <w:p w:rsidR="000D4ED7" w:rsidRDefault="000D4ED7" w:rsidP="000D4ED7">
      <w:pPr>
        <w:spacing w:after="0" w:line="360" w:lineRule="auto"/>
        <w:ind w:firstLine="567"/>
        <w:jc w:val="both"/>
        <w:rPr>
          <w:rFonts w:ascii="Times New Roman" w:hAnsi="Times New Roman"/>
          <w:bCs/>
          <w:sz w:val="24"/>
          <w:szCs w:val="24"/>
        </w:rPr>
      </w:pPr>
    </w:p>
    <w:p w:rsidR="000D4ED7" w:rsidRPr="00D806D7" w:rsidRDefault="000D4ED7" w:rsidP="000D4ED7">
      <w:pPr>
        <w:spacing w:after="0" w:line="240" w:lineRule="auto"/>
        <w:ind w:left="2268"/>
        <w:jc w:val="both"/>
        <w:rPr>
          <w:rFonts w:ascii="Times New Roman" w:hAnsi="Times New Roman"/>
          <w:bCs/>
          <w:szCs w:val="24"/>
        </w:rPr>
      </w:pPr>
      <w:r w:rsidRPr="00D806D7">
        <w:rPr>
          <w:rFonts w:ascii="Times New Roman" w:hAnsi="Times New Roman"/>
          <w:bCs/>
          <w:szCs w:val="24"/>
        </w:rPr>
        <w:lastRenderedPageBreak/>
        <w:t>“A expressão escolhida é péssima. A redação é confusa, truncada e não explica nada. No projeto de lei, a locução prevista para o tipo era: se o homicídio é praticado “contra a mulher por razões de gênero”. Ocorre que, durante os debates, a bancada de parlamentares evangélicos pressionou para que a “gênero” da proposta inicial fosse substituída por “sexo feminino”, com objetivo de afastar a possibilidade de que transexuais fossem abarcados pela lei. A bancada feminina acabou aceitando a mudança para viabilizar a aprovação do projeto. Melhor seria se tivesse sido mantida a redação original, que, aliás, é utilizada na Lei Maria da Penha: “configura violência doméstica e familiar contra a mulher qualquer ação ou omissão </w:t>
      </w:r>
      <w:r w:rsidRPr="00D806D7">
        <w:rPr>
          <w:rFonts w:ascii="Times New Roman" w:hAnsi="Times New Roman"/>
          <w:bCs/>
          <w:i/>
          <w:iCs/>
          <w:szCs w:val="24"/>
        </w:rPr>
        <w:t>baseada no gênero</w:t>
      </w:r>
      <w:r w:rsidRPr="00D806D7">
        <w:rPr>
          <w:rFonts w:ascii="Times New Roman" w:hAnsi="Times New Roman"/>
          <w:bCs/>
          <w:szCs w:val="24"/>
        </w:rPr>
        <w:t>” (art. 5º) e nas legislações internacionais.”</w:t>
      </w:r>
      <w:r>
        <w:rPr>
          <w:rStyle w:val="Refdenotaderodap"/>
          <w:bCs/>
        </w:rPr>
        <w:footnoteReference w:id="11"/>
      </w:r>
    </w:p>
    <w:p w:rsidR="000D4ED7" w:rsidRDefault="000D4ED7" w:rsidP="000D4ED7">
      <w:pPr>
        <w:spacing w:after="0" w:line="240" w:lineRule="auto"/>
        <w:ind w:firstLine="567"/>
        <w:jc w:val="both"/>
        <w:rPr>
          <w:rFonts w:ascii="Times New Roman" w:hAnsi="Times New Roman"/>
          <w:bCs/>
          <w:szCs w:val="24"/>
        </w:rPr>
      </w:pPr>
    </w:p>
    <w:p w:rsidR="000D4ED7" w:rsidRDefault="000D4ED7" w:rsidP="000D4ED7">
      <w:pPr>
        <w:spacing w:after="0" w:line="240" w:lineRule="auto"/>
        <w:ind w:left="2268"/>
        <w:jc w:val="both"/>
        <w:rPr>
          <w:rFonts w:ascii="Times New Roman" w:hAnsi="Times New Roman"/>
          <w:bCs/>
          <w:szCs w:val="24"/>
        </w:rPr>
      </w:pPr>
    </w:p>
    <w:p w:rsidR="000D4ED7" w:rsidRPr="002E6A9C" w:rsidRDefault="002B025D"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Com relação a conduta, e</w:t>
      </w:r>
      <w:r w:rsidR="000D4ED7">
        <w:rPr>
          <w:rFonts w:ascii="Times New Roman" w:hAnsi="Times New Roman"/>
          <w:bCs/>
          <w:sz w:val="24"/>
          <w:szCs w:val="24"/>
        </w:rPr>
        <w:t xml:space="preserve">sse crime admite sua forma tentada e consumada, é podendo </w:t>
      </w:r>
      <w:r w:rsidR="000D4ED7" w:rsidRPr="002E6A9C">
        <w:rPr>
          <w:rFonts w:ascii="Times New Roman" w:hAnsi="Times New Roman"/>
          <w:bCs/>
          <w:sz w:val="24"/>
          <w:szCs w:val="24"/>
        </w:rPr>
        <w:t>ser praticado com dolo direto ou eventual.</w:t>
      </w:r>
      <w:r w:rsidR="000D4ED7">
        <w:rPr>
          <w:rFonts w:ascii="Times New Roman" w:hAnsi="Times New Roman"/>
          <w:bCs/>
          <w:sz w:val="24"/>
          <w:szCs w:val="24"/>
        </w:rPr>
        <w:t xml:space="preserve"> A</w:t>
      </w:r>
      <w:r w:rsidR="000D4ED7" w:rsidRPr="002E6A9C">
        <w:rPr>
          <w:rFonts w:ascii="Times New Roman" w:hAnsi="Times New Roman"/>
          <w:bCs/>
          <w:sz w:val="24"/>
          <w:szCs w:val="24"/>
        </w:rPr>
        <w:t xml:space="preserve"> qualificadora </w:t>
      </w:r>
      <w:r w:rsidR="000D4ED7">
        <w:rPr>
          <w:rFonts w:ascii="Times New Roman" w:hAnsi="Times New Roman"/>
          <w:bCs/>
          <w:sz w:val="24"/>
          <w:szCs w:val="24"/>
        </w:rPr>
        <w:t>possui</w:t>
      </w:r>
      <w:r w:rsidR="000D4ED7" w:rsidRPr="002E6A9C">
        <w:rPr>
          <w:rFonts w:ascii="Times New Roman" w:hAnsi="Times New Roman"/>
          <w:bCs/>
          <w:sz w:val="24"/>
          <w:szCs w:val="24"/>
        </w:rPr>
        <w:t xml:space="preserve"> natureza subjetiva, relacionada</w:t>
      </w:r>
      <w:r w:rsidR="000D4ED7">
        <w:rPr>
          <w:rFonts w:ascii="Times New Roman" w:hAnsi="Times New Roman"/>
          <w:bCs/>
          <w:sz w:val="24"/>
          <w:szCs w:val="24"/>
        </w:rPr>
        <w:t xml:space="preserve"> com a esfera interna do agente, portanto, no</w:t>
      </w:r>
      <w:r w:rsidR="000D4ED7" w:rsidRPr="002E6A9C">
        <w:rPr>
          <w:rFonts w:ascii="Times New Roman" w:hAnsi="Times New Roman"/>
          <w:bCs/>
          <w:sz w:val="24"/>
          <w:szCs w:val="24"/>
        </w:rPr>
        <w:t xml:space="preserve"> caso de concurso de pessoas, essa não se comunica</w:t>
      </w:r>
      <w:r w:rsidR="000D4ED7">
        <w:rPr>
          <w:rFonts w:ascii="Times New Roman" w:hAnsi="Times New Roman"/>
          <w:bCs/>
          <w:sz w:val="24"/>
          <w:szCs w:val="24"/>
        </w:rPr>
        <w:t>rá com os</w:t>
      </w:r>
      <w:r w:rsidR="000D4ED7" w:rsidRPr="002E6A9C">
        <w:rPr>
          <w:rFonts w:ascii="Times New Roman" w:hAnsi="Times New Roman"/>
          <w:bCs/>
          <w:sz w:val="24"/>
          <w:szCs w:val="24"/>
        </w:rPr>
        <w:t xml:space="preserve"> coautores ou partícipes, salvo se eles também tiverem a mesma motivação.</w:t>
      </w:r>
      <w:r w:rsidR="000D4ED7">
        <w:rPr>
          <w:rFonts w:ascii="Times New Roman" w:hAnsi="Times New Roman"/>
          <w:bCs/>
          <w:sz w:val="24"/>
          <w:szCs w:val="24"/>
        </w:rPr>
        <w:t xml:space="preserve"> Sendo a qualificadora subjetiva, não é possível que haja o feminicídio privilegiado conforme preceitua o art.121, §1º do Código Penal.</w:t>
      </w:r>
      <w:r w:rsidR="000D4ED7">
        <w:rPr>
          <w:rStyle w:val="Refdenotaderodap"/>
          <w:bCs/>
        </w:rPr>
        <w:footnoteReference w:id="12"/>
      </w:r>
    </w:p>
    <w:p w:rsidR="000D4ED7" w:rsidRDefault="000D4ED7"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Além disso, a lei previu três causas de aumento de pena: </w:t>
      </w:r>
    </w:p>
    <w:p w:rsidR="000D4ED7" w:rsidRPr="001B5419" w:rsidRDefault="000D4ED7" w:rsidP="000D4ED7">
      <w:pPr>
        <w:spacing w:after="0" w:line="360" w:lineRule="auto"/>
        <w:ind w:firstLine="567"/>
        <w:jc w:val="both"/>
        <w:rPr>
          <w:rFonts w:ascii="Times New Roman" w:hAnsi="Times New Roman"/>
          <w:bCs/>
          <w:szCs w:val="24"/>
        </w:rPr>
      </w:pPr>
    </w:p>
    <w:p w:rsidR="000D4ED7" w:rsidRDefault="000D4ED7" w:rsidP="000D4ED7">
      <w:pPr>
        <w:spacing w:after="0" w:line="240" w:lineRule="auto"/>
        <w:ind w:left="2268"/>
        <w:jc w:val="both"/>
        <w:rPr>
          <w:rFonts w:ascii="Times New Roman" w:hAnsi="Times New Roman"/>
          <w:bCs/>
          <w:szCs w:val="24"/>
        </w:rPr>
      </w:pPr>
      <w:r w:rsidRPr="001B5419">
        <w:rPr>
          <w:rFonts w:ascii="Times New Roman" w:hAnsi="Times New Roman"/>
          <w:bCs/>
          <w:szCs w:val="24"/>
        </w:rPr>
        <w:t>Aumento de pena: § 7º A pena do feminicídio é aumentada de 1/3 (um terço) até a metade se o crime for praticado: I - durante a gestação ou nos 3 (três) meses posteriores ao parto; II - contra pessoa menor de 14 (catorze) anos, maior de 60 (sessenta) anos ou com deficiência; III - na presença de descende</w:t>
      </w:r>
      <w:r>
        <w:rPr>
          <w:rFonts w:ascii="Times New Roman" w:hAnsi="Times New Roman"/>
          <w:bCs/>
          <w:szCs w:val="24"/>
        </w:rPr>
        <w:t>nte ou de ascendente da vítima.</w:t>
      </w:r>
      <w:r w:rsidRPr="001B5419">
        <w:rPr>
          <w:rFonts w:ascii="Times New Roman" w:hAnsi="Times New Roman"/>
          <w:bCs/>
          <w:szCs w:val="24"/>
        </w:rPr>
        <w:t xml:space="preserve"> (NR)</w:t>
      </w:r>
    </w:p>
    <w:p w:rsidR="000D4ED7" w:rsidRPr="001B5419" w:rsidRDefault="000D4ED7" w:rsidP="000D4ED7">
      <w:pPr>
        <w:spacing w:after="0" w:line="240" w:lineRule="auto"/>
        <w:ind w:left="2268"/>
        <w:jc w:val="both"/>
        <w:rPr>
          <w:rFonts w:ascii="Times New Roman" w:hAnsi="Times New Roman"/>
          <w:bCs/>
          <w:szCs w:val="24"/>
        </w:rPr>
      </w:pPr>
    </w:p>
    <w:p w:rsidR="000D4ED7" w:rsidRPr="002B025D" w:rsidRDefault="000D4ED7"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O primeiro inciso afirma que a pena será aumentada de 1/3 até a metade se o crime for praticado durante </w:t>
      </w:r>
      <w:r w:rsidRPr="002B025D">
        <w:rPr>
          <w:rFonts w:ascii="Times New Roman" w:hAnsi="Times New Roman"/>
          <w:bCs/>
          <w:sz w:val="24"/>
          <w:szCs w:val="24"/>
        </w:rPr>
        <w:t xml:space="preserve">a gestação ou nos 03 meses posteriores ao parto. </w:t>
      </w:r>
    </w:p>
    <w:p w:rsidR="000D4ED7" w:rsidRPr="002B025D" w:rsidRDefault="000D4ED7" w:rsidP="000D4ED7">
      <w:pPr>
        <w:spacing w:after="0" w:line="360" w:lineRule="auto"/>
        <w:ind w:firstLine="567"/>
        <w:jc w:val="both"/>
        <w:rPr>
          <w:rFonts w:ascii="Times New Roman" w:hAnsi="Times New Roman"/>
          <w:bCs/>
          <w:sz w:val="24"/>
          <w:szCs w:val="24"/>
        </w:rPr>
      </w:pPr>
      <w:r w:rsidRPr="002B025D">
        <w:rPr>
          <w:rFonts w:ascii="Times New Roman" w:hAnsi="Times New Roman"/>
          <w:bCs/>
          <w:sz w:val="24"/>
          <w:szCs w:val="24"/>
        </w:rPr>
        <w:t>Nessa hipótese, pode ocorrer as seguintes situações: a) morte do feto e da vítima:</w:t>
      </w:r>
      <w:r w:rsidRPr="002B025D">
        <w:rPr>
          <w:rFonts w:ascii="Times New Roman" w:hAnsi="Times New Roman"/>
          <w:color w:val="333333"/>
          <w:sz w:val="24"/>
          <w:szCs w:val="24"/>
          <w:shd w:val="clear" w:color="auto" w:fill="FFFFFF"/>
        </w:rPr>
        <w:t xml:space="preserve"> </w:t>
      </w:r>
      <w:r w:rsidRPr="002B025D">
        <w:rPr>
          <w:rFonts w:ascii="Times New Roman" w:hAnsi="Times New Roman"/>
          <w:bCs/>
          <w:sz w:val="24"/>
          <w:szCs w:val="24"/>
        </w:rPr>
        <w:t xml:space="preserve">aqui, deverá responder pelo feminicídio consumado e pelo aborto consumado; b) o feto sobrevive, mas a vítima falece: nessa hipótese, teremos um feminicídio consumado, em concurso com uma tentativa de aborto; c) o feto morre e a vítima sobrevive: </w:t>
      </w:r>
      <w:r w:rsidRPr="002B025D">
        <w:rPr>
          <w:rFonts w:ascii="Times New Roman" w:hAnsi="Times New Roman"/>
          <w:bCs/>
          <w:i/>
          <w:iCs/>
          <w:sz w:val="24"/>
          <w:szCs w:val="24"/>
        </w:rPr>
        <w:t>in casu</w:t>
      </w:r>
      <w:r w:rsidRPr="002B025D">
        <w:rPr>
          <w:rFonts w:ascii="Times New Roman" w:hAnsi="Times New Roman"/>
          <w:bCs/>
          <w:sz w:val="24"/>
          <w:szCs w:val="24"/>
        </w:rPr>
        <w:t xml:space="preserve">, será responsabilizado pelo feminicídio tentado, em concurso com o aborto consumado; </w:t>
      </w:r>
      <w:r w:rsidRPr="002B025D">
        <w:rPr>
          <w:rFonts w:ascii="Times New Roman" w:hAnsi="Times New Roman"/>
          <w:bCs/>
          <w:sz w:val="24"/>
          <w:szCs w:val="24"/>
        </w:rPr>
        <w:lastRenderedPageBreak/>
        <w:t>d) tanto o feto quanto a vítima sobrevivem: nesse caso, o agente deverá responder pela tentativa de feminicídio e pela tentativa de aborto.</w:t>
      </w:r>
      <w:r w:rsidRPr="002B025D">
        <w:rPr>
          <w:rStyle w:val="Refdenotaderodap"/>
          <w:rFonts w:ascii="Times New Roman" w:hAnsi="Times New Roman"/>
          <w:bCs/>
          <w:sz w:val="24"/>
          <w:szCs w:val="24"/>
        </w:rPr>
        <w:footnoteReference w:id="13"/>
      </w:r>
    </w:p>
    <w:p w:rsidR="000D4ED7" w:rsidRDefault="000D4ED7"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A doutrina diverge com relação ao início do parto, para a caracterização do prazo de 03 meses configurado da causa de aumento.</w:t>
      </w:r>
    </w:p>
    <w:p w:rsidR="000D4ED7" w:rsidRPr="002B025D" w:rsidRDefault="000D4ED7" w:rsidP="000D4ED7">
      <w:pPr>
        <w:spacing w:after="0" w:line="360" w:lineRule="auto"/>
        <w:ind w:firstLine="567"/>
        <w:jc w:val="both"/>
        <w:rPr>
          <w:rFonts w:ascii="Times New Roman" w:hAnsi="Times New Roman"/>
          <w:bCs/>
          <w:sz w:val="24"/>
          <w:szCs w:val="24"/>
        </w:rPr>
      </w:pPr>
      <w:r w:rsidRPr="006E3110">
        <w:rPr>
          <w:rFonts w:ascii="Times New Roman" w:hAnsi="Times New Roman"/>
          <w:bCs/>
          <w:sz w:val="24"/>
          <w:szCs w:val="24"/>
        </w:rPr>
        <w:t xml:space="preserve">Alfredo Molinario entende que o nascimento é o completo e total desprendimento do feto das entranhas maternas. Para Soler, inicia-se desde as dores do parto. Para E. Magalhães Noronha, mesmo não tendo havido desprendimento das entranhas maternas, </w:t>
      </w:r>
      <w:r w:rsidRPr="002B025D">
        <w:rPr>
          <w:rFonts w:ascii="Times New Roman" w:hAnsi="Times New Roman"/>
          <w:bCs/>
          <w:sz w:val="24"/>
          <w:szCs w:val="24"/>
        </w:rPr>
        <w:t>já se pode falar em início do nascimento, com a dilatação do colo do útero.</w:t>
      </w:r>
      <w:r w:rsidRPr="002B025D">
        <w:rPr>
          <w:rStyle w:val="Refdenotaderodap"/>
          <w:rFonts w:ascii="Times New Roman" w:hAnsi="Times New Roman"/>
          <w:bCs/>
        </w:rPr>
        <w:footnoteReference w:id="14"/>
      </w:r>
    </w:p>
    <w:p w:rsidR="000D4ED7" w:rsidRPr="002B025D" w:rsidRDefault="000D4ED7" w:rsidP="000D4ED7">
      <w:pPr>
        <w:spacing w:after="0" w:line="360" w:lineRule="auto"/>
        <w:ind w:firstLine="567"/>
        <w:jc w:val="both"/>
        <w:rPr>
          <w:rFonts w:ascii="Times New Roman" w:hAnsi="Times New Roman"/>
          <w:bCs/>
          <w:sz w:val="24"/>
          <w:szCs w:val="24"/>
        </w:rPr>
      </w:pPr>
      <w:r w:rsidRPr="002B025D">
        <w:rPr>
          <w:rFonts w:ascii="Times New Roman" w:hAnsi="Times New Roman"/>
          <w:bCs/>
          <w:sz w:val="24"/>
          <w:szCs w:val="24"/>
        </w:rPr>
        <w:t xml:space="preserve">O segundo inciso prevê que a pena será aumentada se </w:t>
      </w:r>
      <w:r w:rsidR="00D252C0">
        <w:rPr>
          <w:rFonts w:ascii="Times New Roman" w:hAnsi="Times New Roman"/>
          <w:bCs/>
          <w:sz w:val="24"/>
          <w:szCs w:val="24"/>
        </w:rPr>
        <w:t xml:space="preserve">praticado </w:t>
      </w:r>
      <w:r w:rsidRPr="002B025D">
        <w:rPr>
          <w:rFonts w:ascii="Times New Roman" w:hAnsi="Times New Roman"/>
          <w:bCs/>
          <w:sz w:val="24"/>
          <w:szCs w:val="24"/>
        </w:rPr>
        <w:t>contra pe</w:t>
      </w:r>
      <w:r w:rsidR="00D252C0">
        <w:rPr>
          <w:rFonts w:ascii="Times New Roman" w:hAnsi="Times New Roman"/>
          <w:bCs/>
          <w:sz w:val="24"/>
          <w:szCs w:val="24"/>
        </w:rPr>
        <w:t>ssoa menor de 14 (catorze) anos,</w:t>
      </w:r>
      <w:r w:rsidRPr="002B025D">
        <w:rPr>
          <w:rFonts w:ascii="Times New Roman" w:hAnsi="Times New Roman"/>
          <w:bCs/>
          <w:sz w:val="24"/>
          <w:szCs w:val="24"/>
        </w:rPr>
        <w:t xml:space="preserve"> maior de 60 (sessenta) anos ou com deficiência. A vítima, nessas três hipóteses, apresenta uma vulnerabilidade maior, de forma que a conduta do agente se revela com alto grau de covardia.</w:t>
      </w:r>
    </w:p>
    <w:p w:rsidR="000D4ED7" w:rsidRPr="00D252C0" w:rsidRDefault="00D252C0" w:rsidP="000D4ED7">
      <w:pPr>
        <w:spacing w:after="0" w:line="360" w:lineRule="auto"/>
        <w:ind w:firstLine="567"/>
        <w:jc w:val="both"/>
        <w:rPr>
          <w:rFonts w:ascii="Times New Roman" w:hAnsi="Times New Roman"/>
          <w:bCs/>
          <w:color w:val="000000" w:themeColor="text1"/>
          <w:sz w:val="24"/>
          <w:szCs w:val="24"/>
        </w:rPr>
      </w:pPr>
      <w:r w:rsidRPr="00D252C0">
        <w:rPr>
          <w:rFonts w:ascii="Times New Roman" w:hAnsi="Times New Roman"/>
          <w:bCs/>
          <w:color w:val="000000" w:themeColor="text1"/>
          <w:sz w:val="24"/>
          <w:szCs w:val="24"/>
        </w:rPr>
        <w:t xml:space="preserve">O Decreto 3.298/99, traz o conceito </w:t>
      </w:r>
      <w:r w:rsidR="000D4ED7" w:rsidRPr="00D252C0">
        <w:rPr>
          <w:rFonts w:ascii="Times New Roman" w:hAnsi="Times New Roman"/>
          <w:bCs/>
          <w:color w:val="000000" w:themeColor="text1"/>
          <w:sz w:val="24"/>
          <w:szCs w:val="24"/>
        </w:rPr>
        <w:t xml:space="preserve">de pessoa portadora de deficiência </w:t>
      </w:r>
      <w:r w:rsidRPr="00D252C0">
        <w:rPr>
          <w:rFonts w:ascii="Times New Roman" w:hAnsi="Times New Roman"/>
          <w:bCs/>
          <w:color w:val="000000" w:themeColor="text1"/>
          <w:sz w:val="24"/>
          <w:szCs w:val="24"/>
        </w:rPr>
        <w:t xml:space="preserve">nos </w:t>
      </w:r>
      <w:r w:rsidR="000D4ED7" w:rsidRPr="00D252C0">
        <w:rPr>
          <w:rFonts w:ascii="Times New Roman" w:hAnsi="Times New Roman"/>
          <w:bCs/>
          <w:color w:val="000000" w:themeColor="text1"/>
          <w:sz w:val="24"/>
          <w:szCs w:val="24"/>
        </w:rPr>
        <w:t>é arts. </w:t>
      </w:r>
      <w:hyperlink r:id="rId7" w:tooltip="Artigo 3 do Decreto nº 3.298 de 20 de Dezembro de 1999" w:history="1">
        <w:r w:rsidR="000D4ED7" w:rsidRPr="00D252C0">
          <w:rPr>
            <w:rStyle w:val="Hyperlink"/>
            <w:rFonts w:ascii="Times New Roman" w:hAnsi="Times New Roman"/>
            <w:bCs/>
            <w:color w:val="000000" w:themeColor="text1"/>
            <w:szCs w:val="24"/>
            <w:u w:val="none"/>
          </w:rPr>
          <w:t>3º</w:t>
        </w:r>
      </w:hyperlink>
      <w:r w:rsidR="000D4ED7" w:rsidRPr="00D252C0">
        <w:rPr>
          <w:rFonts w:ascii="Times New Roman" w:hAnsi="Times New Roman"/>
          <w:bCs/>
          <w:color w:val="000000" w:themeColor="text1"/>
          <w:sz w:val="24"/>
          <w:szCs w:val="24"/>
        </w:rPr>
        <w:t> e </w:t>
      </w:r>
      <w:hyperlink r:id="rId8" w:tooltip="Artigo 4 do Decreto nº 3.298 de 20 de Dezembro de 1999" w:history="1">
        <w:r w:rsidR="000D4ED7" w:rsidRPr="00D252C0">
          <w:rPr>
            <w:rStyle w:val="Hyperlink"/>
            <w:rFonts w:ascii="Times New Roman" w:hAnsi="Times New Roman"/>
            <w:bCs/>
            <w:color w:val="000000" w:themeColor="text1"/>
            <w:szCs w:val="24"/>
            <w:u w:val="none"/>
          </w:rPr>
          <w:t>4º</w:t>
        </w:r>
      </w:hyperlink>
      <w:r w:rsidR="000D4ED7" w:rsidRPr="00D252C0">
        <w:rPr>
          <w:rFonts w:ascii="Times New Roman" w:hAnsi="Times New Roman"/>
          <w:bCs/>
          <w:color w:val="000000" w:themeColor="text1"/>
          <w:sz w:val="24"/>
          <w:szCs w:val="24"/>
        </w:rPr>
        <w:t> , in verbis:</w:t>
      </w:r>
    </w:p>
    <w:p w:rsidR="000D4ED7" w:rsidRPr="008937A1" w:rsidRDefault="000D4ED7" w:rsidP="000D4ED7">
      <w:pPr>
        <w:spacing w:after="0" w:line="360" w:lineRule="auto"/>
        <w:ind w:firstLine="567"/>
        <w:jc w:val="both"/>
        <w:rPr>
          <w:rFonts w:ascii="Times New Roman" w:hAnsi="Times New Roman"/>
          <w:bCs/>
          <w:color w:val="000000" w:themeColor="text1"/>
          <w:sz w:val="24"/>
          <w:szCs w:val="24"/>
        </w:rPr>
      </w:pPr>
    </w:p>
    <w:p w:rsidR="000D4ED7" w:rsidRDefault="000D4ED7" w:rsidP="000D4ED7">
      <w:pPr>
        <w:spacing w:after="0" w:line="240" w:lineRule="auto"/>
        <w:ind w:left="2268"/>
        <w:jc w:val="both"/>
        <w:rPr>
          <w:rFonts w:ascii="Times New Roman" w:hAnsi="Times New Roman"/>
          <w:bCs/>
          <w:szCs w:val="24"/>
        </w:rPr>
      </w:pPr>
      <w:r w:rsidRPr="00D2493D">
        <w:rPr>
          <w:rFonts w:ascii="Times New Roman" w:hAnsi="Times New Roman"/>
          <w:bCs/>
          <w:szCs w:val="24"/>
        </w:rPr>
        <w:t>Art. 3º Para os efeitos deste Decreto, considera-se: I – deficiência – toda perda ou anormalidade de uma estrutura ou função psicológica, fisiológica ou anatômica que gere incapacidade para o desempenho de atividade, dentro do padrão considerado normal para o ser humano; II – deficiência permanente – aquela que ocorreu ou se estabilizou durante um período de tempo suficiente para não permitir recuperação ou ter probabilidade de que se altere, apesar de novos tratamentos; e III – incapacidade – uma redução efetiva e acentuada da capacidade de integração social, com necessidade de equipamentos, adaptações, meios ou recursos especiais para que a pessoa portadora de deficiência possa receber ou transmitir informações necessárias ao seu bem-estar pessoal e ao desempenho de função ou atividade a ser exercida.</w:t>
      </w:r>
    </w:p>
    <w:p w:rsidR="000D4ED7" w:rsidRPr="00D2493D" w:rsidRDefault="000D4ED7" w:rsidP="000D4ED7">
      <w:pPr>
        <w:spacing w:after="0" w:line="240" w:lineRule="auto"/>
        <w:ind w:left="2268"/>
        <w:jc w:val="both"/>
        <w:rPr>
          <w:rFonts w:ascii="Times New Roman" w:hAnsi="Times New Roman"/>
          <w:bCs/>
          <w:szCs w:val="24"/>
        </w:rPr>
      </w:pPr>
    </w:p>
    <w:p w:rsidR="000D4ED7" w:rsidRPr="00D2493D" w:rsidRDefault="000D4ED7" w:rsidP="000D4ED7">
      <w:pPr>
        <w:spacing w:after="0" w:line="240" w:lineRule="auto"/>
        <w:ind w:left="2268"/>
        <w:jc w:val="both"/>
        <w:rPr>
          <w:rFonts w:ascii="Times New Roman" w:hAnsi="Times New Roman"/>
          <w:bCs/>
          <w:szCs w:val="24"/>
        </w:rPr>
      </w:pPr>
      <w:r w:rsidRPr="00D2493D">
        <w:rPr>
          <w:rFonts w:ascii="Times New Roman" w:hAnsi="Times New Roman"/>
          <w:bCs/>
          <w:szCs w:val="24"/>
        </w:rPr>
        <w:t xml:space="preserve">Art. 4º É considerada pessoa portadora de deficiência a que se enquadra nas seguintes categorias: I – deficiência física – 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II – deficiência auditiva – perda bilateral, parcial ou total, de quarenta e um decibéis (dB) ou mais, aferida por audiograma nas frequências de 500Hz, 1.000Hz, 2.000Hz e 3.000Hz; III – deficiência visual – cegueira, na qual a acuidade visual é igual ou </w:t>
      </w:r>
      <w:r w:rsidRPr="00D2493D">
        <w:rPr>
          <w:rFonts w:ascii="Times New Roman" w:hAnsi="Times New Roman"/>
          <w:bCs/>
          <w:szCs w:val="24"/>
        </w:rPr>
        <w:lastRenderedPageBreak/>
        <w:t>menor que 0,05 no melhor olho, com a melhor correção óptica; a baixa visão, que significa acuidade visual entre 0,3 e 0,05 no melhor olho, com a melhor correção óptica; os casos nos quais a somatória da medida do campo visual em ambos os olhos for igual ou menor que 60º; ou a ocorrência simultânea de quaisquer das condições anteriores; IV – deficiência mental – 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 f) habilidades acadêmicas; ) lazer; e h) trabalho; V – deficiência múltipla – associação de duas ou mais deficiências.</w:t>
      </w:r>
    </w:p>
    <w:p w:rsidR="000D4ED7" w:rsidRDefault="000D4ED7" w:rsidP="000D4ED7">
      <w:pPr>
        <w:spacing w:after="0" w:line="360" w:lineRule="auto"/>
        <w:ind w:firstLine="567"/>
        <w:jc w:val="both"/>
        <w:rPr>
          <w:rFonts w:ascii="Times New Roman" w:hAnsi="Times New Roman"/>
          <w:bCs/>
          <w:sz w:val="24"/>
          <w:szCs w:val="24"/>
        </w:rPr>
      </w:pPr>
    </w:p>
    <w:p w:rsidR="000D4ED7" w:rsidRDefault="00463431"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Observa-se que, deve o sujeito ativo conhecer a </w:t>
      </w:r>
      <w:r w:rsidR="000D4ED7" w:rsidRPr="00D2493D">
        <w:rPr>
          <w:rFonts w:ascii="Times New Roman" w:hAnsi="Times New Roman"/>
          <w:bCs/>
          <w:sz w:val="24"/>
          <w:szCs w:val="24"/>
        </w:rPr>
        <w:t>situação de portador de deficiência da vítima, sob pena de não inc</w:t>
      </w:r>
      <w:r w:rsidR="000D4ED7">
        <w:rPr>
          <w:rFonts w:ascii="Times New Roman" w:hAnsi="Times New Roman"/>
          <w:bCs/>
          <w:sz w:val="24"/>
          <w:szCs w:val="24"/>
        </w:rPr>
        <w:t>idir a causa de aumento de pena</w:t>
      </w:r>
      <w:r w:rsidR="000D4ED7" w:rsidRPr="00D2493D">
        <w:rPr>
          <w:rFonts w:ascii="Times New Roman" w:hAnsi="Times New Roman"/>
          <w:bCs/>
          <w:sz w:val="24"/>
          <w:szCs w:val="24"/>
        </w:rPr>
        <w:t>.</w:t>
      </w:r>
    </w:p>
    <w:p w:rsidR="000D4ED7" w:rsidRDefault="000D4ED7"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Além disso, e</w:t>
      </w:r>
      <w:r w:rsidRPr="00D2493D">
        <w:rPr>
          <w:rFonts w:ascii="Times New Roman" w:hAnsi="Times New Roman"/>
          <w:bCs/>
          <w:sz w:val="24"/>
          <w:szCs w:val="24"/>
        </w:rPr>
        <w:t>m ocorrendo a hipótese de feminicídio contra uma criança (menor de 12 anos de idade) ou uma mulher maior de 60 (sessenta), não será aplicada a circunstância agravante prevista na alínea “h”, do art. 61 do Código Penal, pois, caso contrário, estaríamos levando a efeito o chamado bis in idem, onde um mesmo fato estaria incidindo duas vezes em prejuízo do agente. Nesses casos, terá aplicação o inciso II, do §7º do art. 121 do Código Penal, também devido à sua especialidade.</w:t>
      </w:r>
      <w:r>
        <w:rPr>
          <w:rStyle w:val="Refdenotaderodap"/>
          <w:bCs/>
        </w:rPr>
        <w:footnoteReference w:id="15"/>
      </w:r>
    </w:p>
    <w:p w:rsidR="000D4ED7" w:rsidRDefault="000D4ED7"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Por fim, o último inciso, prevê que, a</w:t>
      </w:r>
      <w:r w:rsidRPr="00D2493D">
        <w:rPr>
          <w:rFonts w:ascii="Times New Roman" w:hAnsi="Times New Roman"/>
          <w:bCs/>
          <w:sz w:val="24"/>
          <w:szCs w:val="24"/>
        </w:rPr>
        <w:t xml:space="preserve"> pena imposta ao feminicídi</w:t>
      </w:r>
      <w:r w:rsidR="00463431">
        <w:rPr>
          <w:rFonts w:ascii="Times New Roman" w:hAnsi="Times New Roman"/>
          <w:bCs/>
          <w:sz w:val="24"/>
          <w:szCs w:val="24"/>
        </w:rPr>
        <w:t>o será aumentada se o delito for</w:t>
      </w:r>
      <w:r w:rsidRPr="00D2493D">
        <w:rPr>
          <w:rFonts w:ascii="Times New Roman" w:hAnsi="Times New Roman"/>
          <w:bCs/>
          <w:sz w:val="24"/>
          <w:szCs w:val="24"/>
        </w:rPr>
        <w:t xml:space="preserve"> praticado na presença de descendente ou de ascendente da vítima.</w:t>
      </w:r>
      <w:r>
        <w:rPr>
          <w:rFonts w:ascii="Times New Roman" w:hAnsi="Times New Roman"/>
          <w:bCs/>
          <w:sz w:val="24"/>
          <w:szCs w:val="24"/>
        </w:rPr>
        <w:t xml:space="preserve"> O fundamento desse inciso é o sofrimento provocado aos </w:t>
      </w:r>
      <w:r w:rsidRPr="00D2493D">
        <w:rPr>
          <w:rFonts w:ascii="Times New Roman" w:hAnsi="Times New Roman"/>
          <w:bCs/>
          <w:sz w:val="24"/>
          <w:szCs w:val="24"/>
        </w:rPr>
        <w:t>descendentes ou ascendentes.</w:t>
      </w:r>
    </w:p>
    <w:p w:rsidR="000D4ED7" w:rsidRPr="00D677B0" w:rsidRDefault="000D4ED7" w:rsidP="000D4ED7">
      <w:pPr>
        <w:spacing w:after="0" w:line="360" w:lineRule="auto"/>
        <w:ind w:firstLine="567"/>
        <w:jc w:val="both"/>
        <w:rPr>
          <w:rFonts w:ascii="Times New Roman" w:hAnsi="Times New Roman"/>
          <w:bCs/>
          <w:sz w:val="24"/>
          <w:szCs w:val="24"/>
        </w:rPr>
      </w:pPr>
      <w:r w:rsidRPr="00B76B68">
        <w:rPr>
          <w:rFonts w:ascii="Times New Roman" w:hAnsi="Times New Roman"/>
          <w:bCs/>
          <w:sz w:val="24"/>
          <w:szCs w:val="24"/>
        </w:rPr>
        <w:t>Ao exigir que o comportamento criminoso ocorra na “presença”, parece dispensável que o descendente ou o ascendente da vítima esteja no local da agressão, bastando que esse familiar esteja vendo (ex: por skype) ou ouvindo (ex: por telefone) a ação criminosa do agente.</w:t>
      </w:r>
      <w:r>
        <w:rPr>
          <w:rStyle w:val="Refdenotaderodap"/>
          <w:bCs/>
        </w:rPr>
        <w:footnoteReference w:id="16"/>
      </w:r>
    </w:p>
    <w:p w:rsidR="000D4ED7" w:rsidRPr="00A9049E" w:rsidRDefault="000D4ED7" w:rsidP="000D4ED7">
      <w:pPr>
        <w:spacing w:after="0" w:line="360" w:lineRule="auto"/>
        <w:ind w:firstLine="567"/>
        <w:jc w:val="both"/>
        <w:rPr>
          <w:rFonts w:ascii="Times New Roman" w:hAnsi="Times New Roman"/>
          <w:bCs/>
          <w:sz w:val="24"/>
          <w:szCs w:val="24"/>
        </w:rPr>
      </w:pPr>
    </w:p>
    <w:p w:rsidR="000D4ED7" w:rsidRDefault="000D4ED7" w:rsidP="000D4ED7">
      <w:pPr>
        <w:spacing w:after="0" w:line="360" w:lineRule="auto"/>
        <w:jc w:val="both"/>
        <w:rPr>
          <w:rFonts w:ascii="Times New Roman" w:hAnsi="Times New Roman"/>
          <w:b/>
          <w:sz w:val="24"/>
          <w:szCs w:val="24"/>
        </w:rPr>
      </w:pPr>
      <w:r w:rsidRPr="00012701">
        <w:rPr>
          <w:rFonts w:ascii="Times New Roman" w:hAnsi="Times New Roman"/>
          <w:b/>
          <w:sz w:val="24"/>
          <w:szCs w:val="24"/>
        </w:rPr>
        <w:t>3.2</w:t>
      </w:r>
      <w:r>
        <w:rPr>
          <w:rFonts w:ascii="Times New Roman" w:hAnsi="Times New Roman"/>
          <w:b/>
          <w:sz w:val="24"/>
          <w:szCs w:val="24"/>
        </w:rPr>
        <w:t>. Hediondez do crime de feminicídio</w:t>
      </w:r>
    </w:p>
    <w:p w:rsidR="000D4ED7" w:rsidRDefault="000D4ED7" w:rsidP="000D4ED7">
      <w:pPr>
        <w:spacing w:after="0" w:line="360" w:lineRule="auto"/>
        <w:jc w:val="both"/>
        <w:rPr>
          <w:rFonts w:ascii="Times New Roman" w:hAnsi="Times New Roman"/>
          <w:b/>
          <w:sz w:val="24"/>
          <w:szCs w:val="24"/>
        </w:rPr>
      </w:pPr>
    </w:p>
    <w:p w:rsidR="000D4ED7" w:rsidRDefault="000D4ED7" w:rsidP="000D4ED7">
      <w:pPr>
        <w:spacing w:after="0" w:line="360" w:lineRule="auto"/>
        <w:ind w:firstLine="567"/>
        <w:jc w:val="both"/>
        <w:rPr>
          <w:rFonts w:ascii="Times New Roman" w:hAnsi="Times New Roman"/>
          <w:sz w:val="24"/>
          <w:szCs w:val="24"/>
        </w:rPr>
      </w:pPr>
      <w:r w:rsidRPr="00D74E7C">
        <w:rPr>
          <w:rFonts w:ascii="Times New Roman" w:hAnsi="Times New Roman"/>
          <w:sz w:val="24"/>
          <w:szCs w:val="24"/>
        </w:rPr>
        <w:lastRenderedPageBreak/>
        <w:t>Outra alteração</w:t>
      </w:r>
      <w:r w:rsidR="00463431">
        <w:rPr>
          <w:rFonts w:ascii="Times New Roman" w:hAnsi="Times New Roman"/>
          <w:sz w:val="24"/>
          <w:szCs w:val="24"/>
        </w:rPr>
        <w:t xml:space="preserve"> implementada </w:t>
      </w:r>
      <w:r>
        <w:rPr>
          <w:rFonts w:ascii="Times New Roman" w:hAnsi="Times New Roman"/>
          <w:sz w:val="24"/>
          <w:szCs w:val="24"/>
        </w:rPr>
        <w:t>pela Lei 13.104/15, foi a inclusão do delito de feminicídio, no rol dos crimes hediondos (</w:t>
      </w:r>
      <w:r w:rsidRPr="00D74E7C">
        <w:rPr>
          <w:rFonts w:ascii="Times New Roman" w:hAnsi="Times New Roman"/>
          <w:sz w:val="24"/>
          <w:szCs w:val="24"/>
        </w:rPr>
        <w:t>1º., I, da Lei 8.072/90</w:t>
      </w:r>
      <w:r w:rsidR="00463431">
        <w:rPr>
          <w:rFonts w:ascii="Times New Roman" w:hAnsi="Times New Roman"/>
          <w:sz w:val="24"/>
          <w:szCs w:val="24"/>
        </w:rPr>
        <w:t>), conforme dispôs o art.</w:t>
      </w:r>
      <w:r>
        <w:rPr>
          <w:rFonts w:ascii="Times New Roman" w:hAnsi="Times New Roman"/>
          <w:sz w:val="24"/>
          <w:szCs w:val="24"/>
        </w:rPr>
        <w:t>2º:</w:t>
      </w:r>
    </w:p>
    <w:p w:rsidR="000D4ED7" w:rsidRPr="00463431" w:rsidRDefault="000D4ED7" w:rsidP="000D4ED7">
      <w:pPr>
        <w:spacing w:after="0" w:line="240" w:lineRule="auto"/>
        <w:ind w:left="2268"/>
        <w:jc w:val="both"/>
        <w:rPr>
          <w:rFonts w:ascii="Times New Roman" w:hAnsi="Times New Roman"/>
          <w:bCs/>
          <w:szCs w:val="24"/>
        </w:rPr>
      </w:pPr>
      <w:r w:rsidRPr="00463431">
        <w:rPr>
          <w:rFonts w:ascii="Times New Roman" w:hAnsi="Times New Roman"/>
          <w:bCs/>
          <w:szCs w:val="24"/>
        </w:rPr>
        <w:t>Art. 2º O art. 1º da Lei no </w:t>
      </w:r>
      <w:hyperlink r:id="rId9" w:tooltip="Lei nº 8.072, de 25 de julho de 1990." w:history="1">
        <w:r w:rsidRPr="00463431">
          <w:rPr>
            <w:rStyle w:val="Hyperlink"/>
            <w:rFonts w:ascii="Times New Roman" w:hAnsi="Times New Roman"/>
            <w:bCs/>
            <w:szCs w:val="24"/>
          </w:rPr>
          <w:t>8.072</w:t>
        </w:r>
      </w:hyperlink>
      <w:r w:rsidRPr="00463431">
        <w:rPr>
          <w:rFonts w:ascii="Times New Roman" w:hAnsi="Times New Roman"/>
          <w:bCs/>
          <w:szCs w:val="24"/>
        </w:rPr>
        <w:t>, de 25 de julho de 1990, passa a vigorar com a seguinte alteração:</w:t>
      </w:r>
    </w:p>
    <w:p w:rsidR="000D4ED7" w:rsidRPr="00463431" w:rsidRDefault="000D4ED7" w:rsidP="000D4ED7">
      <w:pPr>
        <w:spacing w:after="0" w:line="240" w:lineRule="auto"/>
        <w:ind w:left="2268"/>
        <w:jc w:val="both"/>
        <w:rPr>
          <w:rFonts w:ascii="Times New Roman" w:hAnsi="Times New Roman"/>
          <w:bCs/>
          <w:szCs w:val="24"/>
        </w:rPr>
      </w:pPr>
      <w:r w:rsidRPr="00463431">
        <w:rPr>
          <w:rFonts w:ascii="Times New Roman" w:hAnsi="Times New Roman"/>
          <w:bCs/>
          <w:szCs w:val="24"/>
        </w:rPr>
        <w:t>“Art. 1º (...)</w:t>
      </w:r>
    </w:p>
    <w:p w:rsidR="000D4ED7" w:rsidRPr="001B5419" w:rsidRDefault="000D4ED7" w:rsidP="000D4ED7">
      <w:pPr>
        <w:spacing w:after="0" w:line="240" w:lineRule="auto"/>
        <w:ind w:left="2268"/>
        <w:jc w:val="both"/>
        <w:rPr>
          <w:rFonts w:ascii="Times New Roman" w:hAnsi="Times New Roman"/>
          <w:bCs/>
          <w:szCs w:val="24"/>
        </w:rPr>
      </w:pPr>
      <w:r w:rsidRPr="001B5419">
        <w:rPr>
          <w:rFonts w:ascii="Times New Roman" w:hAnsi="Times New Roman"/>
          <w:bCs/>
          <w:szCs w:val="24"/>
        </w:rPr>
        <w:t>I - homicídio (art. 121), quando praticado em atividade típica de grupo de extermínio, ainda que cometido por um só agente, e homicídio qualificado (art. 121, § 2o, I, II, III, IV, V e VI);</w:t>
      </w:r>
    </w:p>
    <w:p w:rsidR="000D4ED7" w:rsidRDefault="000D4ED7" w:rsidP="000D4ED7">
      <w:pPr>
        <w:spacing w:after="0" w:line="240" w:lineRule="auto"/>
        <w:ind w:left="2268"/>
        <w:jc w:val="both"/>
        <w:rPr>
          <w:rFonts w:ascii="Times New Roman" w:hAnsi="Times New Roman"/>
          <w:bCs/>
          <w:szCs w:val="24"/>
        </w:rPr>
      </w:pPr>
      <w:r>
        <w:rPr>
          <w:rFonts w:ascii="Times New Roman" w:hAnsi="Times New Roman"/>
          <w:bCs/>
          <w:szCs w:val="24"/>
        </w:rPr>
        <w:t xml:space="preserve">(...) </w:t>
      </w:r>
      <w:r w:rsidRPr="001B5419">
        <w:rPr>
          <w:rFonts w:ascii="Times New Roman" w:hAnsi="Times New Roman"/>
          <w:bCs/>
          <w:szCs w:val="24"/>
        </w:rPr>
        <w:t xml:space="preserve"> (NR)</w:t>
      </w:r>
    </w:p>
    <w:p w:rsidR="000D4ED7" w:rsidRDefault="000D4ED7" w:rsidP="000D4ED7">
      <w:pPr>
        <w:spacing w:after="0" w:line="240" w:lineRule="auto"/>
        <w:ind w:left="2268"/>
        <w:jc w:val="both"/>
        <w:rPr>
          <w:rFonts w:ascii="Times New Roman" w:hAnsi="Times New Roman"/>
          <w:bCs/>
          <w:szCs w:val="24"/>
        </w:rPr>
      </w:pPr>
    </w:p>
    <w:p w:rsidR="000D4ED7" w:rsidRDefault="000D4ED7" w:rsidP="000D4ED7">
      <w:pPr>
        <w:spacing w:after="0" w:line="240" w:lineRule="auto"/>
        <w:ind w:left="2268"/>
        <w:jc w:val="both"/>
        <w:rPr>
          <w:rFonts w:ascii="Times New Roman" w:hAnsi="Times New Roman"/>
          <w:bCs/>
          <w:szCs w:val="24"/>
        </w:rPr>
      </w:pPr>
    </w:p>
    <w:p w:rsidR="00426D59" w:rsidRDefault="00426D59" w:rsidP="000D4ED7">
      <w:pPr>
        <w:spacing w:after="0" w:line="360" w:lineRule="auto"/>
        <w:ind w:firstLine="567"/>
        <w:jc w:val="both"/>
        <w:rPr>
          <w:rFonts w:ascii="Times New Roman" w:hAnsi="Times New Roman"/>
          <w:bCs/>
          <w:sz w:val="24"/>
          <w:szCs w:val="24"/>
        </w:rPr>
      </w:pPr>
      <w:r w:rsidRPr="00426D59">
        <w:rPr>
          <w:rFonts w:ascii="Times New Roman" w:hAnsi="Times New Roman"/>
          <w:bCs/>
          <w:sz w:val="24"/>
          <w:szCs w:val="24"/>
        </w:rPr>
        <w:t xml:space="preserve">Trata-se de crime formalmente hediondo e não equiparado como o de </w:t>
      </w:r>
      <w:r w:rsidR="000D4ED7" w:rsidRPr="00426D59">
        <w:rPr>
          <w:rFonts w:ascii="Times New Roman" w:hAnsi="Times New Roman"/>
          <w:bCs/>
          <w:sz w:val="24"/>
          <w:szCs w:val="24"/>
        </w:rPr>
        <w:t>tortura, tráfico ilícito de entorpecente</w:t>
      </w:r>
      <w:r w:rsidRPr="00426D59">
        <w:rPr>
          <w:rFonts w:ascii="Times New Roman" w:hAnsi="Times New Roman"/>
          <w:bCs/>
          <w:sz w:val="24"/>
          <w:szCs w:val="24"/>
        </w:rPr>
        <w:t>s, drogas afins e o terrorismo.</w:t>
      </w:r>
      <w:r>
        <w:rPr>
          <w:rFonts w:ascii="Times New Roman" w:hAnsi="Times New Roman"/>
          <w:bCs/>
          <w:sz w:val="24"/>
          <w:szCs w:val="24"/>
        </w:rPr>
        <w:t xml:space="preserve"> Além disso, por ser uma lei mais gravosa, não retroage, por isso aplica-se essa qualificadora somente a partir do dia 10 de março de 2015.</w:t>
      </w:r>
    </w:p>
    <w:p w:rsidR="000D4ED7" w:rsidRDefault="00426D59"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Não obstante, s</w:t>
      </w:r>
      <w:r w:rsidR="000D4ED7" w:rsidRPr="009B0C4A">
        <w:rPr>
          <w:rFonts w:ascii="Times New Roman" w:hAnsi="Times New Roman"/>
          <w:bCs/>
          <w:sz w:val="24"/>
          <w:szCs w:val="24"/>
        </w:rPr>
        <w:t xml:space="preserve">abe-se que o feminicídio já poderia </w:t>
      </w:r>
      <w:r>
        <w:rPr>
          <w:rFonts w:ascii="Times New Roman" w:hAnsi="Times New Roman"/>
          <w:bCs/>
          <w:sz w:val="24"/>
          <w:szCs w:val="24"/>
        </w:rPr>
        <w:t>ser classificado como homicídio qualificado por motivo torpe ou fútil, a</w:t>
      </w:r>
      <w:r w:rsidR="000D4ED7" w:rsidRPr="009B0C4A">
        <w:rPr>
          <w:rFonts w:ascii="Times New Roman" w:hAnsi="Times New Roman"/>
          <w:bCs/>
          <w:sz w:val="24"/>
          <w:szCs w:val="24"/>
        </w:rPr>
        <w:t>final, não há como negar torpeza na ação de matar uma mulher por discriminação de gênero. Mas esse entendimento não era uniforme. Daí a pertinência da nova lei, para dizer que todas essas situações configura</w:t>
      </w:r>
      <w:r>
        <w:rPr>
          <w:rFonts w:ascii="Times New Roman" w:hAnsi="Times New Roman"/>
          <w:bCs/>
          <w:sz w:val="24"/>
          <w:szCs w:val="24"/>
        </w:rPr>
        <w:t>m</w:t>
      </w:r>
      <w:r w:rsidR="000D4ED7" w:rsidRPr="009B0C4A">
        <w:rPr>
          <w:rFonts w:ascii="Times New Roman" w:hAnsi="Times New Roman"/>
          <w:bCs/>
          <w:sz w:val="24"/>
          <w:szCs w:val="24"/>
        </w:rPr>
        <w:t xml:space="preserve"> indiscutivelmente crime hediondo.</w:t>
      </w:r>
    </w:p>
    <w:p w:rsidR="000D4ED7" w:rsidRPr="009B0C4A" w:rsidRDefault="00813108"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A intenção do agente em matar a mulher em razão do gênero deve ficar evidentemente comprovada, pois, caso contrário haverá in dúbio pro reo, e o agente responderá apenas pelo delito de homicídio (ou outra qualificadora se devidamente comprovado). Além disso, </w:t>
      </w:r>
      <w:r w:rsidR="000D4ED7" w:rsidRPr="009B0C4A">
        <w:rPr>
          <w:rFonts w:ascii="Times New Roman" w:hAnsi="Times New Roman"/>
          <w:bCs/>
          <w:sz w:val="24"/>
          <w:szCs w:val="24"/>
        </w:rPr>
        <w:t>comprovada</w:t>
      </w:r>
      <w:r>
        <w:rPr>
          <w:rFonts w:ascii="Times New Roman" w:hAnsi="Times New Roman"/>
          <w:bCs/>
          <w:sz w:val="24"/>
          <w:szCs w:val="24"/>
        </w:rPr>
        <w:t xml:space="preserve"> a qualificadora do feminícidio,</w:t>
      </w:r>
      <w:r w:rsidR="000D4ED7" w:rsidRPr="009B0C4A">
        <w:rPr>
          <w:rFonts w:ascii="Times New Roman" w:hAnsi="Times New Roman"/>
          <w:bCs/>
          <w:sz w:val="24"/>
          <w:szCs w:val="24"/>
        </w:rPr>
        <w:t xml:space="preserve"> não se pode mais invocar o motivo torpe: uma mesma circunstância não pode ensejar duas valorações jurídicas (está proibido o bis in idem).</w:t>
      </w:r>
    </w:p>
    <w:p w:rsidR="00813108" w:rsidRPr="009B0C4A" w:rsidRDefault="00813108" w:rsidP="000D4ED7">
      <w:pPr>
        <w:spacing w:after="0" w:line="360" w:lineRule="auto"/>
        <w:ind w:firstLine="567"/>
        <w:jc w:val="both"/>
        <w:rPr>
          <w:rFonts w:ascii="Times New Roman" w:hAnsi="Times New Roman"/>
          <w:bCs/>
          <w:sz w:val="24"/>
          <w:szCs w:val="24"/>
        </w:rPr>
      </w:pPr>
      <w:r>
        <w:rPr>
          <w:rFonts w:ascii="Times New Roman" w:hAnsi="Times New Roman"/>
          <w:bCs/>
          <w:sz w:val="24"/>
          <w:szCs w:val="24"/>
        </w:rPr>
        <w:t>As conseqüências, por óbvio, serão as da Lei 8.072/90, não seja, não se admite graça, indulto ou anistia, t</w:t>
      </w:r>
      <w:r w:rsidR="000D4ED7" w:rsidRPr="009B0C4A">
        <w:rPr>
          <w:rFonts w:ascii="Times New Roman" w:hAnsi="Times New Roman"/>
          <w:bCs/>
          <w:sz w:val="24"/>
          <w:szCs w:val="24"/>
        </w:rPr>
        <w:t>ampouco</w:t>
      </w:r>
      <w:r>
        <w:rPr>
          <w:rFonts w:ascii="Times New Roman" w:hAnsi="Times New Roman"/>
          <w:bCs/>
          <w:sz w:val="24"/>
          <w:szCs w:val="24"/>
        </w:rPr>
        <w:t>,</w:t>
      </w:r>
      <w:r w:rsidR="000D4ED7" w:rsidRPr="009B0C4A">
        <w:rPr>
          <w:rFonts w:ascii="Times New Roman" w:hAnsi="Times New Roman"/>
          <w:bCs/>
          <w:sz w:val="24"/>
          <w:szCs w:val="24"/>
        </w:rPr>
        <w:t xml:space="preserve"> se admite fiança</w:t>
      </w:r>
      <w:r>
        <w:rPr>
          <w:rFonts w:ascii="Times New Roman" w:hAnsi="Times New Roman"/>
          <w:bCs/>
          <w:sz w:val="24"/>
          <w:szCs w:val="24"/>
        </w:rPr>
        <w:t>. Além disso, o</w:t>
      </w:r>
      <w:r w:rsidR="000D4ED7" w:rsidRPr="009B0C4A">
        <w:rPr>
          <w:rFonts w:ascii="Times New Roman" w:hAnsi="Times New Roman"/>
          <w:bCs/>
          <w:sz w:val="24"/>
          <w:szCs w:val="24"/>
        </w:rPr>
        <w:t xml:space="preserve"> regime inicial de cumprimento da pena </w:t>
      </w:r>
      <w:r>
        <w:rPr>
          <w:rFonts w:ascii="Times New Roman" w:hAnsi="Times New Roman"/>
          <w:bCs/>
          <w:sz w:val="24"/>
          <w:szCs w:val="24"/>
        </w:rPr>
        <w:t xml:space="preserve">será </w:t>
      </w:r>
      <w:r w:rsidR="000D4ED7" w:rsidRPr="009B0C4A">
        <w:rPr>
          <w:rFonts w:ascii="Times New Roman" w:hAnsi="Times New Roman"/>
          <w:bCs/>
          <w:sz w:val="24"/>
          <w:szCs w:val="24"/>
        </w:rPr>
        <w:t>o fechado.</w:t>
      </w:r>
    </w:p>
    <w:p w:rsidR="000D4ED7" w:rsidRDefault="000D4ED7" w:rsidP="000D4ED7">
      <w:pPr>
        <w:spacing w:after="0" w:line="360" w:lineRule="auto"/>
        <w:ind w:firstLine="567"/>
        <w:jc w:val="both"/>
        <w:rPr>
          <w:rFonts w:ascii="Times New Roman" w:hAnsi="Times New Roman"/>
          <w:bCs/>
          <w:sz w:val="24"/>
          <w:szCs w:val="24"/>
        </w:rPr>
      </w:pPr>
      <w:r w:rsidRPr="009B0C4A">
        <w:rPr>
          <w:rFonts w:ascii="Times New Roman" w:hAnsi="Times New Roman"/>
          <w:bCs/>
          <w:sz w:val="24"/>
          <w:szCs w:val="24"/>
        </w:rPr>
        <w:t>A prisão temporária</w:t>
      </w:r>
      <w:r w:rsidR="00813108">
        <w:rPr>
          <w:rFonts w:ascii="Times New Roman" w:hAnsi="Times New Roman"/>
          <w:bCs/>
          <w:sz w:val="24"/>
          <w:szCs w:val="24"/>
        </w:rPr>
        <w:t xml:space="preserve">, conforme já se sabe, </w:t>
      </w:r>
      <w:r w:rsidRPr="009B0C4A">
        <w:rPr>
          <w:rFonts w:ascii="Times New Roman" w:hAnsi="Times New Roman"/>
          <w:bCs/>
          <w:sz w:val="24"/>
          <w:szCs w:val="24"/>
        </w:rPr>
        <w:t>terá o prazo de trinta dias, prorrogável por igual período em caso de extrema e comprovada necess</w:t>
      </w:r>
      <w:r w:rsidR="00813108">
        <w:rPr>
          <w:rFonts w:ascii="Times New Roman" w:hAnsi="Times New Roman"/>
          <w:bCs/>
          <w:sz w:val="24"/>
          <w:szCs w:val="24"/>
        </w:rPr>
        <w:t>idade. O livramento condicional</w:t>
      </w:r>
      <w:r w:rsidRPr="009B0C4A">
        <w:rPr>
          <w:rFonts w:ascii="Times New Roman" w:hAnsi="Times New Roman"/>
          <w:bCs/>
          <w:sz w:val="24"/>
          <w:szCs w:val="24"/>
        </w:rPr>
        <w:t xml:space="preserve"> </w:t>
      </w:r>
      <w:r w:rsidR="00813108">
        <w:rPr>
          <w:rFonts w:ascii="Times New Roman" w:hAnsi="Times New Roman"/>
          <w:bCs/>
          <w:sz w:val="24"/>
          <w:szCs w:val="24"/>
        </w:rPr>
        <w:t xml:space="preserve">exigirá </w:t>
      </w:r>
      <w:r w:rsidRPr="009B0C4A">
        <w:rPr>
          <w:rFonts w:ascii="Times New Roman" w:hAnsi="Times New Roman"/>
          <w:bCs/>
          <w:sz w:val="24"/>
          <w:szCs w:val="24"/>
        </w:rPr>
        <w:t>o cumprimento de mais de dois terços da pena</w:t>
      </w:r>
      <w:r w:rsidR="00813108">
        <w:rPr>
          <w:rFonts w:ascii="Times New Roman" w:hAnsi="Times New Roman"/>
          <w:bCs/>
          <w:sz w:val="24"/>
          <w:szCs w:val="24"/>
        </w:rPr>
        <w:t>, conforme o dispõe o art. 83, V, do CP</w:t>
      </w:r>
      <w:r w:rsidRPr="009B0C4A">
        <w:rPr>
          <w:rFonts w:ascii="Times New Roman" w:hAnsi="Times New Roman"/>
          <w:bCs/>
          <w:sz w:val="24"/>
          <w:szCs w:val="24"/>
        </w:rPr>
        <w:t>.</w:t>
      </w:r>
    </w:p>
    <w:p w:rsidR="00D158DF" w:rsidRPr="00A40336" w:rsidRDefault="00D158DF" w:rsidP="00D158DF">
      <w:pPr>
        <w:spacing w:after="0" w:line="360" w:lineRule="auto"/>
        <w:ind w:firstLine="567"/>
        <w:jc w:val="both"/>
        <w:rPr>
          <w:rFonts w:ascii="Times New Roman" w:hAnsi="Times New Roman"/>
          <w:bCs/>
          <w:sz w:val="24"/>
          <w:szCs w:val="24"/>
        </w:rPr>
      </w:pPr>
      <w:r>
        <w:rPr>
          <w:rFonts w:ascii="Times New Roman" w:hAnsi="Times New Roman"/>
          <w:bCs/>
          <w:sz w:val="24"/>
          <w:szCs w:val="24"/>
        </w:rPr>
        <w:t>É importante ressaltar que não se trata de uma lei inconstitucional, até mesmo porque, o</w:t>
      </w:r>
      <w:r w:rsidRPr="00A40336">
        <w:rPr>
          <w:rFonts w:ascii="Times New Roman" w:hAnsi="Times New Roman"/>
          <w:bCs/>
          <w:sz w:val="24"/>
          <w:szCs w:val="24"/>
        </w:rPr>
        <w:t xml:space="preserve"> STF</w:t>
      </w:r>
      <w:r>
        <w:rPr>
          <w:rFonts w:ascii="Times New Roman" w:hAnsi="Times New Roman"/>
          <w:bCs/>
          <w:sz w:val="24"/>
          <w:szCs w:val="24"/>
        </w:rPr>
        <w:t>, em outras ocasiões, já enfrentou o tema,</w:t>
      </w:r>
      <w:r w:rsidRPr="00A40336">
        <w:rPr>
          <w:rFonts w:ascii="Times New Roman" w:hAnsi="Times New Roman"/>
          <w:bCs/>
          <w:sz w:val="24"/>
          <w:szCs w:val="24"/>
        </w:rPr>
        <w:t xml:space="preserve"> </w:t>
      </w:r>
      <w:r>
        <w:rPr>
          <w:rFonts w:ascii="Times New Roman" w:hAnsi="Times New Roman"/>
          <w:bCs/>
          <w:sz w:val="24"/>
          <w:szCs w:val="24"/>
        </w:rPr>
        <w:t>decidindo</w:t>
      </w:r>
      <w:r w:rsidRPr="00A40336">
        <w:rPr>
          <w:rFonts w:ascii="Times New Roman" w:hAnsi="Times New Roman"/>
          <w:bCs/>
          <w:sz w:val="24"/>
          <w:szCs w:val="24"/>
        </w:rPr>
        <w:t xml:space="preserve"> que é possível que haja uma proteção penal maior para o caso de crimes cometidos contra a mulher por </w:t>
      </w:r>
      <w:r w:rsidRPr="00A40336">
        <w:rPr>
          <w:rFonts w:ascii="Times New Roman" w:hAnsi="Times New Roman"/>
          <w:bCs/>
          <w:sz w:val="24"/>
          <w:szCs w:val="24"/>
        </w:rPr>
        <w:lastRenderedPageBreak/>
        <w:t>razões de gênero (STF. Plenário. ADC 19/DF, rel. Min. Marco Aurélio, 9/2/2012).</w:t>
      </w:r>
      <w:r>
        <w:rPr>
          <w:rFonts w:ascii="Times New Roman" w:hAnsi="Times New Roman"/>
          <w:bCs/>
          <w:sz w:val="24"/>
          <w:szCs w:val="24"/>
        </w:rPr>
        <w:t xml:space="preserve"> Assim, é evidente, que não haverá violação a</w:t>
      </w:r>
      <w:r w:rsidRPr="00A40336">
        <w:rPr>
          <w:rFonts w:ascii="Times New Roman" w:hAnsi="Times New Roman"/>
          <w:bCs/>
          <w:sz w:val="24"/>
          <w:szCs w:val="24"/>
        </w:rPr>
        <w:t>o princípio constitucional da igualdade.</w:t>
      </w:r>
    </w:p>
    <w:p w:rsidR="000D4ED7" w:rsidRPr="00D158DF" w:rsidRDefault="000D4ED7" w:rsidP="000D4ED7">
      <w:pPr>
        <w:spacing w:after="0" w:line="360" w:lineRule="auto"/>
        <w:ind w:firstLine="567"/>
        <w:jc w:val="both"/>
        <w:rPr>
          <w:rFonts w:ascii="Times New Roman" w:hAnsi="Times New Roman"/>
          <w:bCs/>
          <w:sz w:val="24"/>
          <w:szCs w:val="24"/>
        </w:rPr>
      </w:pPr>
      <w:r w:rsidRPr="00D158DF">
        <w:rPr>
          <w:rFonts w:ascii="Times New Roman" w:hAnsi="Times New Roman"/>
          <w:bCs/>
          <w:sz w:val="24"/>
          <w:szCs w:val="24"/>
        </w:rPr>
        <w:t>Por fim</w:t>
      </w:r>
      <w:r w:rsidR="00D158DF" w:rsidRPr="00D158DF">
        <w:rPr>
          <w:rFonts w:ascii="Times New Roman" w:hAnsi="Times New Roman"/>
          <w:bCs/>
          <w:sz w:val="24"/>
          <w:szCs w:val="24"/>
        </w:rPr>
        <w:t>, conforme já foi aqui explanado,</w:t>
      </w:r>
      <w:r w:rsidRPr="00D158DF">
        <w:rPr>
          <w:rFonts w:ascii="Verdana" w:eastAsia="Times New Roman" w:hAnsi="Verdana"/>
          <w:color w:val="333333"/>
          <w:sz w:val="24"/>
          <w:szCs w:val="24"/>
          <w:lang w:eastAsia="pt-BR"/>
        </w:rPr>
        <w:t xml:space="preserve"> </w:t>
      </w:r>
      <w:r w:rsidR="00D158DF" w:rsidRPr="00D158DF">
        <w:rPr>
          <w:rFonts w:ascii="Verdana" w:eastAsia="Times New Roman" w:hAnsi="Verdana"/>
          <w:color w:val="333333"/>
          <w:sz w:val="24"/>
          <w:szCs w:val="24"/>
          <w:lang w:eastAsia="pt-BR"/>
        </w:rPr>
        <w:t>a</w:t>
      </w:r>
      <w:r w:rsidRPr="00D158DF">
        <w:rPr>
          <w:rFonts w:ascii="Times New Roman" w:hAnsi="Times New Roman"/>
          <w:bCs/>
          <w:sz w:val="24"/>
          <w:szCs w:val="24"/>
        </w:rPr>
        <w:t xml:space="preserve"> Lei n.° 13.104/2015 en</w:t>
      </w:r>
      <w:r w:rsidR="00D158DF" w:rsidRPr="00D158DF">
        <w:rPr>
          <w:rFonts w:ascii="Times New Roman" w:hAnsi="Times New Roman"/>
          <w:bCs/>
          <w:sz w:val="24"/>
          <w:szCs w:val="24"/>
        </w:rPr>
        <w:t>trou em vigor no dia 10/03/2015. Dessa forma, tendo em vista que se trata de uma lei mais gravosa, somente a partir dessa data é o agente responderá por feminicídio</w:t>
      </w:r>
      <w:r w:rsidRPr="00D158DF">
        <w:rPr>
          <w:rFonts w:ascii="Times New Roman" w:hAnsi="Times New Roman"/>
          <w:bCs/>
          <w:sz w:val="24"/>
          <w:szCs w:val="24"/>
        </w:rPr>
        <w:t>, ou seja, homicídio qualificado, nos termos do art. 121, § 2º, VI, do CP.</w:t>
      </w:r>
      <w:r w:rsidR="00D158DF">
        <w:rPr>
          <w:rFonts w:ascii="Times New Roman" w:hAnsi="Times New Roman"/>
          <w:bCs/>
          <w:sz w:val="24"/>
          <w:szCs w:val="24"/>
        </w:rPr>
        <w:t xml:space="preserve"> Não obstante, nada impede, que antes desse período seja ao agente imputado a qualificadora do motivo torpe ou fútil</w:t>
      </w:r>
      <w:r w:rsidR="00723079">
        <w:rPr>
          <w:rFonts w:ascii="Times New Roman" w:hAnsi="Times New Roman"/>
          <w:bCs/>
          <w:sz w:val="24"/>
          <w:szCs w:val="24"/>
        </w:rPr>
        <w:t xml:space="preserve"> (art.121, §2º, inc. I e II)</w:t>
      </w:r>
      <w:r w:rsidR="00D158DF">
        <w:rPr>
          <w:rFonts w:ascii="Times New Roman" w:hAnsi="Times New Roman"/>
          <w:bCs/>
          <w:sz w:val="24"/>
          <w:szCs w:val="24"/>
        </w:rPr>
        <w:t>, por cometer o crime em razão de ser a vítima do sexo feminino.</w:t>
      </w:r>
    </w:p>
    <w:p w:rsidR="00723079" w:rsidRDefault="00723079">
      <w:pPr>
        <w:rPr>
          <w:rFonts w:ascii="Times New Roman" w:hAnsi="Times New Roman"/>
        </w:rPr>
      </w:pPr>
    </w:p>
    <w:p w:rsidR="00463431" w:rsidRPr="00723079" w:rsidRDefault="00463431">
      <w:pPr>
        <w:rPr>
          <w:rFonts w:ascii="Times New Roman" w:hAnsi="Times New Roman"/>
          <w:b/>
        </w:rPr>
      </w:pPr>
      <w:r w:rsidRPr="00723079">
        <w:rPr>
          <w:rFonts w:ascii="Times New Roman" w:hAnsi="Times New Roman"/>
          <w:b/>
        </w:rPr>
        <w:t>Considerações finais:</w:t>
      </w:r>
    </w:p>
    <w:p w:rsidR="00723079" w:rsidRDefault="00723079" w:rsidP="00D158DF">
      <w:pPr>
        <w:spacing w:after="0" w:line="360" w:lineRule="auto"/>
        <w:ind w:firstLine="567"/>
        <w:jc w:val="both"/>
        <w:rPr>
          <w:rFonts w:ascii="Times New Roman" w:hAnsi="Times New Roman"/>
          <w:b/>
          <w:sz w:val="24"/>
          <w:szCs w:val="24"/>
        </w:rPr>
      </w:pPr>
    </w:p>
    <w:p w:rsidR="00723079" w:rsidRDefault="00723079" w:rsidP="00D158DF">
      <w:pPr>
        <w:spacing w:after="0" w:line="360" w:lineRule="auto"/>
        <w:ind w:firstLine="567"/>
        <w:jc w:val="both"/>
        <w:rPr>
          <w:rFonts w:ascii="Times New Roman" w:hAnsi="Times New Roman"/>
          <w:sz w:val="24"/>
          <w:szCs w:val="24"/>
        </w:rPr>
      </w:pPr>
      <w:r>
        <w:rPr>
          <w:rFonts w:ascii="Times New Roman" w:hAnsi="Times New Roman"/>
          <w:sz w:val="24"/>
          <w:szCs w:val="24"/>
        </w:rPr>
        <w:t>Nota-se que ainda é cedo para avaliar o resultado da Lei que instituiu no ordenamento jurídico a figura do feminicídio. Sem dúvidas, como não poderia deixar de ser, ela possui inúmeras críticas e elogios.</w:t>
      </w:r>
    </w:p>
    <w:p w:rsidR="00723079" w:rsidRDefault="00723079" w:rsidP="00D158DF">
      <w:pPr>
        <w:spacing w:after="0" w:line="360" w:lineRule="auto"/>
        <w:ind w:firstLine="567"/>
        <w:jc w:val="both"/>
        <w:rPr>
          <w:rFonts w:ascii="Times New Roman" w:hAnsi="Times New Roman"/>
          <w:sz w:val="24"/>
          <w:szCs w:val="24"/>
        </w:rPr>
      </w:pPr>
      <w:r>
        <w:rPr>
          <w:rFonts w:ascii="Times New Roman" w:hAnsi="Times New Roman"/>
          <w:sz w:val="24"/>
          <w:szCs w:val="24"/>
        </w:rPr>
        <w:t>Elogios, porque dará maior proteção à figura da mulher, que no seio da sociedade ainda se encontra num processo de fragilização. Já, por outro lado, as críticas demonstram que não podemos utilizar o Direito Penal para assegurar todos os direitos humanos</w:t>
      </w:r>
      <w:r w:rsidR="00D637F3">
        <w:rPr>
          <w:rFonts w:ascii="Times New Roman" w:hAnsi="Times New Roman"/>
          <w:sz w:val="24"/>
          <w:szCs w:val="24"/>
        </w:rPr>
        <w:t>.</w:t>
      </w:r>
    </w:p>
    <w:p w:rsidR="00D637F3" w:rsidRDefault="00D637F3" w:rsidP="00D158DF">
      <w:pPr>
        <w:spacing w:after="0" w:line="360" w:lineRule="auto"/>
        <w:ind w:firstLine="567"/>
        <w:jc w:val="both"/>
        <w:rPr>
          <w:rFonts w:ascii="Times New Roman" w:hAnsi="Times New Roman"/>
          <w:sz w:val="24"/>
          <w:szCs w:val="24"/>
        </w:rPr>
      </w:pPr>
      <w:r>
        <w:rPr>
          <w:rFonts w:ascii="Times New Roman" w:hAnsi="Times New Roman"/>
          <w:sz w:val="24"/>
          <w:szCs w:val="24"/>
        </w:rPr>
        <w:t xml:space="preserve">De fato, o legislador sempre vem incidindo no mesmo erro para combater a criminalidade violenta, pois acreditam que vão diminuir a criminalidade com o endurecimento das leis. </w:t>
      </w:r>
    </w:p>
    <w:p w:rsidR="00D637F3" w:rsidRDefault="00D637F3" w:rsidP="00D158DF">
      <w:pPr>
        <w:spacing w:after="0" w:line="360" w:lineRule="auto"/>
        <w:ind w:firstLine="567"/>
        <w:jc w:val="both"/>
        <w:rPr>
          <w:rFonts w:ascii="Times New Roman" w:hAnsi="Times New Roman"/>
          <w:sz w:val="24"/>
          <w:szCs w:val="24"/>
        </w:rPr>
      </w:pPr>
      <w:r>
        <w:rPr>
          <w:rFonts w:ascii="Times New Roman" w:hAnsi="Times New Roman"/>
          <w:sz w:val="24"/>
          <w:szCs w:val="24"/>
        </w:rPr>
        <w:t>O Direito Penal de forma isolada, não é capaz de oferecer proteção integral ao cidadão. Dessa forma, o endurecimento desse crime, pouco contribuirá para diminuição da criminalidade, sem a implantação de políticas pública.</w:t>
      </w:r>
    </w:p>
    <w:p w:rsidR="00D637F3" w:rsidRDefault="00D637F3" w:rsidP="00D158DF">
      <w:pPr>
        <w:spacing w:after="0" w:line="360" w:lineRule="auto"/>
        <w:ind w:firstLine="567"/>
        <w:jc w:val="both"/>
        <w:rPr>
          <w:rFonts w:ascii="Times New Roman" w:hAnsi="Times New Roman"/>
          <w:sz w:val="24"/>
          <w:szCs w:val="24"/>
        </w:rPr>
      </w:pPr>
      <w:r>
        <w:rPr>
          <w:rFonts w:ascii="Times New Roman" w:hAnsi="Times New Roman"/>
          <w:sz w:val="24"/>
          <w:szCs w:val="24"/>
        </w:rPr>
        <w:t>Assim, para uma efetivação da lei de maneira plena, é necessário que nossos governantes trabalhe mais com a prevenção do que com a remediação, pois só assim, teremos um Direito Penal mais efetivo.</w:t>
      </w:r>
    </w:p>
    <w:p w:rsidR="00D637F3" w:rsidRDefault="00D637F3" w:rsidP="00D637F3">
      <w:pPr>
        <w:spacing w:after="0" w:line="360" w:lineRule="auto"/>
        <w:jc w:val="both"/>
        <w:rPr>
          <w:rFonts w:ascii="Times New Roman" w:hAnsi="Times New Roman"/>
          <w:sz w:val="24"/>
          <w:szCs w:val="24"/>
        </w:rPr>
      </w:pPr>
    </w:p>
    <w:p w:rsidR="00D637F3" w:rsidRDefault="00D637F3" w:rsidP="00D637F3">
      <w:pPr>
        <w:spacing w:after="0" w:line="360" w:lineRule="auto"/>
        <w:jc w:val="both"/>
        <w:rPr>
          <w:rFonts w:ascii="Times New Roman" w:hAnsi="Times New Roman"/>
          <w:b/>
          <w:sz w:val="24"/>
          <w:szCs w:val="24"/>
        </w:rPr>
      </w:pPr>
      <w:r>
        <w:rPr>
          <w:rFonts w:ascii="Times New Roman" w:hAnsi="Times New Roman"/>
          <w:b/>
          <w:sz w:val="24"/>
          <w:szCs w:val="24"/>
        </w:rPr>
        <w:t>Referências Bibliográficas:</w:t>
      </w:r>
    </w:p>
    <w:p w:rsidR="00D637F3" w:rsidRPr="0062424D" w:rsidRDefault="00D637F3" w:rsidP="0062424D">
      <w:pPr>
        <w:spacing w:after="0" w:line="360" w:lineRule="auto"/>
        <w:jc w:val="both"/>
        <w:rPr>
          <w:rFonts w:ascii="Times New Roman" w:hAnsi="Times New Roman"/>
          <w:sz w:val="24"/>
          <w:szCs w:val="24"/>
        </w:rPr>
      </w:pPr>
    </w:p>
    <w:p w:rsidR="00A22A37" w:rsidRPr="0062424D" w:rsidRDefault="00A22A37" w:rsidP="0062424D">
      <w:pPr>
        <w:spacing w:after="0" w:line="360" w:lineRule="auto"/>
        <w:jc w:val="both"/>
        <w:rPr>
          <w:rFonts w:ascii="Times New Roman" w:hAnsi="Times New Roman"/>
          <w:bCs/>
          <w:sz w:val="24"/>
          <w:szCs w:val="24"/>
        </w:rPr>
      </w:pPr>
      <w:r w:rsidRPr="0062424D">
        <w:rPr>
          <w:rFonts w:ascii="Times New Roman" w:hAnsi="Times New Roman"/>
          <w:sz w:val="24"/>
          <w:szCs w:val="24"/>
        </w:rPr>
        <w:lastRenderedPageBreak/>
        <w:t xml:space="preserve">BRITO, Auriney. </w:t>
      </w:r>
      <w:r w:rsidRPr="0062424D">
        <w:rPr>
          <w:rFonts w:ascii="Times New Roman" w:hAnsi="Times New Roman"/>
          <w:b/>
          <w:bCs/>
          <w:i/>
          <w:sz w:val="24"/>
          <w:szCs w:val="24"/>
        </w:rPr>
        <w:t>Lei do feminicídio: entenda o que mudou</w:t>
      </w:r>
      <w:r w:rsidRPr="0062424D">
        <w:rPr>
          <w:rFonts w:ascii="Times New Roman" w:hAnsi="Times New Roman"/>
          <w:bCs/>
          <w:i/>
          <w:sz w:val="24"/>
          <w:szCs w:val="24"/>
        </w:rPr>
        <w:t>.</w:t>
      </w:r>
      <w:r w:rsidRPr="0062424D">
        <w:rPr>
          <w:rFonts w:ascii="Times New Roman" w:hAnsi="Times New Roman"/>
          <w:bCs/>
          <w:sz w:val="24"/>
          <w:szCs w:val="24"/>
        </w:rPr>
        <w:t xml:space="preserve"> Disponível em: </w:t>
      </w:r>
      <w:hyperlink r:id="rId10" w:history="1">
        <w:r w:rsidRPr="0062424D">
          <w:rPr>
            <w:rStyle w:val="Hyperlink"/>
            <w:rFonts w:ascii="Times New Roman" w:hAnsi="Times New Roman"/>
            <w:bCs/>
            <w:sz w:val="24"/>
            <w:szCs w:val="24"/>
          </w:rPr>
          <w:t>http://aurineybrito.jusbrasil.com.br/artigos/172479028/lei-do-feminicidio-entenda-o-que-mudou</w:t>
        </w:r>
      </w:hyperlink>
      <w:r w:rsidRPr="0062424D">
        <w:rPr>
          <w:rFonts w:ascii="Times New Roman" w:hAnsi="Times New Roman"/>
          <w:bCs/>
          <w:sz w:val="24"/>
          <w:szCs w:val="24"/>
        </w:rPr>
        <w:t>, acesso em 30 de setembro de 2016.</w:t>
      </w:r>
    </w:p>
    <w:p w:rsidR="00A22A37" w:rsidRPr="0062424D" w:rsidRDefault="00A22A37" w:rsidP="0062424D">
      <w:pPr>
        <w:spacing w:after="0" w:line="360" w:lineRule="auto"/>
        <w:jc w:val="both"/>
        <w:rPr>
          <w:rFonts w:ascii="Times New Roman" w:hAnsi="Times New Roman"/>
          <w:sz w:val="24"/>
          <w:szCs w:val="24"/>
        </w:rPr>
      </w:pPr>
    </w:p>
    <w:p w:rsidR="00A22A37" w:rsidRPr="0062424D" w:rsidRDefault="00A22A37" w:rsidP="0062424D">
      <w:pPr>
        <w:pStyle w:val="Textodenotaderodap"/>
        <w:spacing w:after="0" w:line="240" w:lineRule="auto"/>
        <w:jc w:val="both"/>
        <w:rPr>
          <w:rFonts w:ascii="Times New Roman" w:hAnsi="Times New Roman"/>
          <w:sz w:val="24"/>
          <w:szCs w:val="24"/>
        </w:rPr>
      </w:pPr>
      <w:r w:rsidRPr="0062424D">
        <w:rPr>
          <w:rFonts w:ascii="Times New Roman" w:hAnsi="Times New Roman"/>
          <w:bCs/>
          <w:iCs/>
          <w:sz w:val="24"/>
          <w:szCs w:val="24"/>
        </w:rPr>
        <w:t xml:space="preserve">CAVALCANTE, Márcio André Lopes, </w:t>
      </w:r>
      <w:r w:rsidRPr="0062424D">
        <w:rPr>
          <w:rFonts w:ascii="Times New Roman" w:hAnsi="Times New Roman"/>
          <w:sz w:val="24"/>
          <w:szCs w:val="24"/>
        </w:rPr>
        <w:t xml:space="preserve"> </w:t>
      </w:r>
      <w:r w:rsidRPr="0062424D">
        <w:rPr>
          <w:rFonts w:ascii="Times New Roman" w:hAnsi="Times New Roman"/>
          <w:b/>
          <w:i/>
          <w:sz w:val="24"/>
          <w:szCs w:val="24"/>
        </w:rPr>
        <w:t>Comentários ao tipo penal do feminicídio (art. 121, § 2º, VI, do CP).</w:t>
      </w:r>
      <w:r w:rsidRPr="0062424D">
        <w:rPr>
          <w:rFonts w:ascii="Times New Roman" w:hAnsi="Times New Roman"/>
          <w:i/>
          <w:sz w:val="24"/>
          <w:szCs w:val="24"/>
        </w:rPr>
        <w:t xml:space="preserve"> </w:t>
      </w:r>
      <w:r w:rsidRPr="0062424D">
        <w:rPr>
          <w:rFonts w:ascii="Times New Roman" w:hAnsi="Times New Roman"/>
          <w:sz w:val="24"/>
          <w:szCs w:val="24"/>
        </w:rPr>
        <w:t xml:space="preserve">Disponível em: </w:t>
      </w:r>
      <w:hyperlink r:id="rId11" w:history="1">
        <w:r w:rsidRPr="0062424D">
          <w:rPr>
            <w:rStyle w:val="Hyperlink"/>
            <w:rFonts w:ascii="Times New Roman" w:hAnsi="Times New Roman"/>
            <w:sz w:val="24"/>
            <w:szCs w:val="24"/>
          </w:rPr>
          <w:t>http://www.dizerodireito.com.br/2015/03/comentarios-ao-tipo-penal-do.html</w:t>
        </w:r>
      </w:hyperlink>
      <w:r w:rsidRPr="0062424D">
        <w:rPr>
          <w:rFonts w:ascii="Times New Roman" w:hAnsi="Times New Roman"/>
          <w:sz w:val="24"/>
          <w:szCs w:val="24"/>
        </w:rPr>
        <w:t>, acesso em 01 de dez. de 2015.</w:t>
      </w:r>
    </w:p>
    <w:p w:rsidR="00A22A37" w:rsidRPr="0062424D" w:rsidRDefault="00A22A37" w:rsidP="0062424D">
      <w:pPr>
        <w:spacing w:after="0" w:line="360" w:lineRule="auto"/>
        <w:jc w:val="both"/>
        <w:rPr>
          <w:rFonts w:ascii="Times New Roman" w:hAnsi="Times New Roman"/>
          <w:sz w:val="24"/>
          <w:szCs w:val="24"/>
        </w:rPr>
      </w:pPr>
    </w:p>
    <w:p w:rsidR="00A22A37" w:rsidRPr="0062424D" w:rsidRDefault="00A22A37" w:rsidP="0062424D">
      <w:pPr>
        <w:spacing w:after="0" w:line="360" w:lineRule="auto"/>
        <w:jc w:val="both"/>
        <w:rPr>
          <w:rFonts w:ascii="Times New Roman" w:hAnsi="Times New Roman"/>
          <w:sz w:val="24"/>
          <w:szCs w:val="24"/>
        </w:rPr>
      </w:pPr>
      <w:r w:rsidRPr="0062424D">
        <w:rPr>
          <w:rFonts w:ascii="Times New Roman" w:hAnsi="Times New Roman"/>
          <w:sz w:val="24"/>
          <w:szCs w:val="24"/>
        </w:rPr>
        <w:t xml:space="preserve">CUNHA, </w:t>
      </w:r>
      <w:r w:rsidRPr="0062424D">
        <w:rPr>
          <w:rFonts w:ascii="Times New Roman" w:hAnsi="Times New Roman"/>
          <w:bCs/>
          <w:sz w:val="24"/>
          <w:szCs w:val="24"/>
        </w:rPr>
        <w:t>Rogério Sanches</w:t>
      </w:r>
      <w:r w:rsidRPr="0062424D">
        <w:rPr>
          <w:rFonts w:ascii="Times New Roman" w:hAnsi="Times New Roman"/>
          <w:sz w:val="24"/>
          <w:szCs w:val="24"/>
        </w:rPr>
        <w:t> Cunha</w:t>
      </w:r>
      <w:r w:rsidRPr="0062424D">
        <w:rPr>
          <w:rFonts w:ascii="Times New Roman" w:hAnsi="Times New Roman"/>
          <w:i/>
          <w:sz w:val="24"/>
          <w:szCs w:val="24"/>
        </w:rPr>
        <w:t xml:space="preserve">. </w:t>
      </w:r>
      <w:r w:rsidRPr="0062424D">
        <w:rPr>
          <w:rFonts w:ascii="Times New Roman" w:hAnsi="Times New Roman"/>
          <w:b/>
          <w:i/>
          <w:sz w:val="24"/>
          <w:szCs w:val="24"/>
        </w:rPr>
        <w:t xml:space="preserve">Direito Penal – Parte Especial </w:t>
      </w:r>
      <w:r w:rsidRPr="0062424D">
        <w:rPr>
          <w:rFonts w:ascii="Times New Roman" w:hAnsi="Times New Roman"/>
          <w:b/>
          <w:sz w:val="24"/>
          <w:szCs w:val="24"/>
        </w:rPr>
        <w:t>v. 2</w:t>
      </w:r>
      <w:r w:rsidR="0062424D">
        <w:rPr>
          <w:rFonts w:ascii="Times New Roman" w:hAnsi="Times New Roman"/>
          <w:sz w:val="24"/>
          <w:szCs w:val="24"/>
        </w:rPr>
        <w:t>, Ed. Juspodivm: 2014</w:t>
      </w:r>
      <w:r w:rsidRPr="0062424D">
        <w:rPr>
          <w:rFonts w:ascii="Times New Roman" w:hAnsi="Times New Roman"/>
          <w:sz w:val="24"/>
          <w:szCs w:val="24"/>
        </w:rPr>
        <w:t>.</w:t>
      </w:r>
    </w:p>
    <w:p w:rsidR="00A22A37" w:rsidRPr="0062424D" w:rsidRDefault="00A22A37" w:rsidP="0062424D">
      <w:pPr>
        <w:spacing w:after="0" w:line="360" w:lineRule="auto"/>
        <w:jc w:val="both"/>
        <w:rPr>
          <w:rFonts w:ascii="Times New Roman" w:hAnsi="Times New Roman"/>
          <w:sz w:val="24"/>
          <w:szCs w:val="24"/>
        </w:rPr>
      </w:pPr>
    </w:p>
    <w:p w:rsidR="00A22A37" w:rsidRPr="0062424D" w:rsidRDefault="00A22A37" w:rsidP="0062424D">
      <w:pPr>
        <w:spacing w:after="0" w:line="360" w:lineRule="auto"/>
        <w:jc w:val="both"/>
        <w:rPr>
          <w:rFonts w:ascii="Times New Roman" w:hAnsi="Times New Roman"/>
          <w:sz w:val="24"/>
          <w:szCs w:val="24"/>
        </w:rPr>
      </w:pPr>
      <w:r w:rsidRPr="0062424D">
        <w:rPr>
          <w:rFonts w:ascii="Times New Roman" w:hAnsi="Times New Roman"/>
          <w:sz w:val="24"/>
          <w:szCs w:val="24"/>
        </w:rPr>
        <w:t xml:space="preserve">DÍAZ, Gerardo Landrove. </w:t>
      </w:r>
      <w:r w:rsidRPr="0062424D">
        <w:rPr>
          <w:rFonts w:ascii="Times New Roman" w:hAnsi="Times New Roman"/>
          <w:b/>
          <w:i/>
          <w:sz w:val="24"/>
          <w:szCs w:val="24"/>
        </w:rPr>
        <w:t>La moderna victimología</w:t>
      </w:r>
      <w:r w:rsidRPr="0062424D">
        <w:rPr>
          <w:rFonts w:ascii="Times New Roman" w:hAnsi="Times New Roman"/>
          <w:sz w:val="24"/>
          <w:szCs w:val="24"/>
        </w:rPr>
        <w:t>. Valenci</w:t>
      </w:r>
      <w:r w:rsidR="0062424D">
        <w:rPr>
          <w:rFonts w:ascii="Times New Roman" w:hAnsi="Times New Roman"/>
          <w:sz w:val="24"/>
          <w:szCs w:val="24"/>
        </w:rPr>
        <w:t>a: Tirant lo Blanch, 1998.</w:t>
      </w:r>
    </w:p>
    <w:p w:rsidR="00A22A37" w:rsidRPr="0062424D" w:rsidRDefault="00A22A37" w:rsidP="0062424D">
      <w:pPr>
        <w:spacing w:after="0" w:line="360" w:lineRule="auto"/>
        <w:jc w:val="both"/>
        <w:rPr>
          <w:rFonts w:ascii="Times New Roman" w:hAnsi="Times New Roman"/>
          <w:sz w:val="24"/>
          <w:szCs w:val="24"/>
        </w:rPr>
      </w:pPr>
    </w:p>
    <w:p w:rsidR="00A22A37" w:rsidRPr="0062424D" w:rsidRDefault="00A22A37" w:rsidP="0062424D">
      <w:pPr>
        <w:pStyle w:val="Textodenotaderodap"/>
        <w:spacing w:after="0" w:line="240" w:lineRule="auto"/>
        <w:jc w:val="both"/>
        <w:rPr>
          <w:rFonts w:ascii="Times New Roman" w:hAnsi="Times New Roman"/>
          <w:sz w:val="24"/>
          <w:szCs w:val="24"/>
        </w:rPr>
      </w:pPr>
      <w:r w:rsidRPr="0062424D">
        <w:rPr>
          <w:rFonts w:ascii="Times New Roman" w:hAnsi="Times New Roman"/>
          <w:sz w:val="24"/>
          <w:szCs w:val="24"/>
        </w:rPr>
        <w:t xml:space="preserve">GRECO, Rogério. </w:t>
      </w:r>
      <w:r w:rsidRPr="0062424D">
        <w:rPr>
          <w:rFonts w:ascii="Times New Roman" w:hAnsi="Times New Roman"/>
          <w:b/>
          <w:i/>
          <w:sz w:val="24"/>
          <w:szCs w:val="24"/>
        </w:rPr>
        <w:t>Comentários sobre a Lei nº 13.104, de 09 de março de 2015.</w:t>
      </w:r>
      <w:r w:rsidRPr="0062424D">
        <w:rPr>
          <w:rFonts w:ascii="Times New Roman" w:hAnsi="Times New Roman"/>
          <w:i/>
          <w:sz w:val="24"/>
          <w:szCs w:val="24"/>
        </w:rPr>
        <w:t xml:space="preserve"> </w:t>
      </w:r>
      <w:r w:rsidRPr="0062424D">
        <w:rPr>
          <w:rFonts w:ascii="Times New Roman" w:hAnsi="Times New Roman"/>
          <w:sz w:val="24"/>
          <w:szCs w:val="24"/>
        </w:rPr>
        <w:t xml:space="preserve">Disponível em: </w:t>
      </w:r>
      <w:hyperlink r:id="rId12" w:history="1">
        <w:r w:rsidRPr="0062424D">
          <w:rPr>
            <w:rStyle w:val="Hyperlink"/>
            <w:rFonts w:ascii="Times New Roman" w:hAnsi="Times New Roman"/>
            <w:sz w:val="24"/>
            <w:szCs w:val="24"/>
          </w:rPr>
          <w:t>http://www.rogeriogreco.com.br/?p=2906</w:t>
        </w:r>
      </w:hyperlink>
      <w:r w:rsidRPr="0062424D">
        <w:rPr>
          <w:rFonts w:ascii="Times New Roman" w:hAnsi="Times New Roman"/>
          <w:sz w:val="24"/>
          <w:szCs w:val="24"/>
        </w:rPr>
        <w:t>, acesso em 01 de dez. de 2015.</w:t>
      </w:r>
    </w:p>
    <w:p w:rsidR="00A22A37" w:rsidRPr="0062424D" w:rsidRDefault="00A22A37" w:rsidP="0062424D">
      <w:pPr>
        <w:spacing w:after="0" w:line="360" w:lineRule="auto"/>
        <w:jc w:val="both"/>
        <w:rPr>
          <w:rFonts w:ascii="Times New Roman" w:hAnsi="Times New Roman"/>
          <w:sz w:val="24"/>
          <w:szCs w:val="24"/>
        </w:rPr>
      </w:pPr>
    </w:p>
    <w:p w:rsidR="0062424D" w:rsidRPr="0062424D" w:rsidRDefault="0062424D" w:rsidP="0062424D">
      <w:pPr>
        <w:pStyle w:val="Textodenotaderodap"/>
        <w:jc w:val="both"/>
        <w:rPr>
          <w:rFonts w:ascii="Times New Roman" w:hAnsi="Times New Roman"/>
          <w:sz w:val="24"/>
          <w:szCs w:val="24"/>
        </w:rPr>
      </w:pPr>
      <w:r w:rsidRPr="0062424D">
        <w:rPr>
          <w:rFonts w:ascii="Times New Roman" w:hAnsi="Times New Roman"/>
          <w:sz w:val="24"/>
          <w:szCs w:val="24"/>
        </w:rPr>
        <w:t xml:space="preserve">JACOBO, Julio. </w:t>
      </w:r>
      <w:r w:rsidRPr="0062424D">
        <w:rPr>
          <w:rFonts w:ascii="Times New Roman" w:hAnsi="Times New Roman"/>
          <w:b/>
          <w:i/>
          <w:sz w:val="24"/>
          <w:szCs w:val="24"/>
        </w:rPr>
        <w:t>Mapa</w:t>
      </w:r>
      <w:r w:rsidRPr="0062424D">
        <w:rPr>
          <w:rFonts w:ascii="Times New Roman" w:hAnsi="Times New Roman"/>
          <w:sz w:val="24"/>
          <w:szCs w:val="24"/>
        </w:rPr>
        <w:t xml:space="preserve"> </w:t>
      </w:r>
      <w:r w:rsidRPr="0062424D">
        <w:rPr>
          <w:rFonts w:ascii="Times New Roman" w:hAnsi="Times New Roman"/>
          <w:b/>
          <w:i/>
          <w:sz w:val="24"/>
          <w:szCs w:val="24"/>
        </w:rPr>
        <w:t>da violência 2012: a cor dos homicídios no Brasil</w:t>
      </w:r>
      <w:r w:rsidRPr="0062424D">
        <w:rPr>
          <w:rFonts w:ascii="Times New Roman" w:hAnsi="Times New Roman"/>
          <w:b/>
          <w:sz w:val="24"/>
          <w:szCs w:val="24"/>
        </w:rPr>
        <w:t>.</w:t>
      </w:r>
      <w:r w:rsidRPr="0062424D">
        <w:rPr>
          <w:rFonts w:ascii="Times New Roman" w:hAnsi="Times New Roman"/>
          <w:sz w:val="24"/>
          <w:szCs w:val="24"/>
        </w:rPr>
        <w:t xml:space="preserve"> Disponível em: &lt;http://www.mapadaviolencia.org.br/pdf2012/mapa2012_cor.pdf&gt;. Acesso em 01 dez. 2015</w:t>
      </w:r>
    </w:p>
    <w:p w:rsidR="0062424D" w:rsidRPr="0062424D" w:rsidRDefault="0062424D" w:rsidP="0062424D">
      <w:pPr>
        <w:pStyle w:val="Textodenotaderodap"/>
        <w:spacing w:after="0" w:line="240" w:lineRule="auto"/>
        <w:jc w:val="both"/>
        <w:rPr>
          <w:rFonts w:ascii="Times New Roman" w:hAnsi="Times New Roman"/>
          <w:sz w:val="24"/>
          <w:szCs w:val="24"/>
        </w:rPr>
      </w:pPr>
      <w:r>
        <w:rPr>
          <w:rFonts w:ascii="Times New Roman" w:hAnsi="Times New Roman"/>
          <w:sz w:val="24"/>
          <w:szCs w:val="24"/>
        </w:rPr>
        <w:t>MELLO, Adriana Ramos de</w:t>
      </w:r>
      <w:r w:rsidRPr="0062424D">
        <w:rPr>
          <w:rFonts w:ascii="Times New Roman" w:hAnsi="Times New Roman"/>
          <w:sz w:val="24"/>
          <w:szCs w:val="24"/>
        </w:rPr>
        <w:t xml:space="preserve">. </w:t>
      </w:r>
      <w:r w:rsidRPr="0062424D">
        <w:rPr>
          <w:rFonts w:ascii="Times New Roman" w:hAnsi="Times New Roman"/>
          <w:b/>
          <w:i/>
          <w:sz w:val="24"/>
          <w:szCs w:val="24"/>
        </w:rPr>
        <w:t>Feminicídio: Breves comentários à Lei 13.104/15.</w:t>
      </w:r>
      <w:r w:rsidRPr="0062424D">
        <w:rPr>
          <w:rFonts w:ascii="Times New Roman" w:hAnsi="Times New Roman"/>
          <w:i/>
          <w:sz w:val="24"/>
          <w:szCs w:val="24"/>
        </w:rPr>
        <w:t xml:space="preserve"> </w:t>
      </w:r>
      <w:r w:rsidRPr="0062424D">
        <w:rPr>
          <w:rFonts w:ascii="Times New Roman" w:hAnsi="Times New Roman"/>
          <w:sz w:val="24"/>
          <w:szCs w:val="24"/>
        </w:rPr>
        <w:t xml:space="preserve">Disponível em: </w:t>
      </w:r>
      <w:hyperlink r:id="rId13" w:history="1">
        <w:r w:rsidRPr="0062424D">
          <w:rPr>
            <w:rStyle w:val="Hyperlink"/>
            <w:rFonts w:ascii="Times New Roman" w:hAnsi="Times New Roman"/>
            <w:sz w:val="24"/>
            <w:szCs w:val="24"/>
          </w:rPr>
          <w:t>http://jota.info/feminicidio-breves-comentarios-a-lei-13-10415</w:t>
        </w:r>
      </w:hyperlink>
      <w:r w:rsidRPr="0062424D">
        <w:rPr>
          <w:rFonts w:ascii="Times New Roman" w:hAnsi="Times New Roman"/>
          <w:sz w:val="24"/>
          <w:szCs w:val="24"/>
        </w:rPr>
        <w:t>, acesso em 01 de dez. de 2015.</w:t>
      </w:r>
    </w:p>
    <w:p w:rsidR="00A22A37" w:rsidRPr="0062424D" w:rsidRDefault="00A22A37" w:rsidP="0062424D">
      <w:pPr>
        <w:spacing w:after="0" w:line="360" w:lineRule="auto"/>
        <w:jc w:val="both"/>
        <w:rPr>
          <w:rFonts w:ascii="Times New Roman" w:hAnsi="Times New Roman"/>
          <w:sz w:val="24"/>
          <w:szCs w:val="24"/>
        </w:rPr>
      </w:pPr>
    </w:p>
    <w:p w:rsidR="0062424D" w:rsidRPr="0062424D" w:rsidRDefault="0062424D" w:rsidP="0062424D">
      <w:pPr>
        <w:jc w:val="both"/>
        <w:rPr>
          <w:rFonts w:ascii="Times New Roman" w:hAnsi="Times New Roman"/>
          <w:sz w:val="24"/>
          <w:szCs w:val="24"/>
        </w:rPr>
      </w:pPr>
      <w:r w:rsidRPr="0062424D">
        <w:rPr>
          <w:rFonts w:ascii="Times New Roman" w:hAnsi="Times New Roman"/>
          <w:sz w:val="24"/>
          <w:szCs w:val="24"/>
        </w:rPr>
        <w:t xml:space="preserve">MONTEIRO, Antônio Lopes. </w:t>
      </w:r>
      <w:r w:rsidRPr="0062424D">
        <w:rPr>
          <w:rFonts w:ascii="Times New Roman" w:hAnsi="Times New Roman"/>
          <w:b/>
          <w:i/>
          <w:sz w:val="24"/>
          <w:szCs w:val="24"/>
        </w:rPr>
        <w:t>Crimes hediondos. Textos comentários e aspectos polêmicos.</w:t>
      </w:r>
      <w:r w:rsidRPr="0062424D">
        <w:rPr>
          <w:rFonts w:ascii="Times New Roman" w:hAnsi="Times New Roman"/>
          <w:i/>
          <w:sz w:val="24"/>
          <w:szCs w:val="24"/>
        </w:rPr>
        <w:t xml:space="preserve"> </w:t>
      </w:r>
      <w:r w:rsidRPr="0062424D">
        <w:rPr>
          <w:rFonts w:ascii="Times New Roman" w:hAnsi="Times New Roman"/>
          <w:sz w:val="24"/>
          <w:szCs w:val="24"/>
        </w:rPr>
        <w:t>10 ed. Saraiva: São Paulo, 2016, p.47.</w:t>
      </w:r>
    </w:p>
    <w:p w:rsidR="0062424D" w:rsidRPr="0062424D" w:rsidRDefault="0062424D" w:rsidP="0062424D">
      <w:pPr>
        <w:spacing w:after="0" w:line="360" w:lineRule="auto"/>
        <w:jc w:val="both"/>
        <w:rPr>
          <w:rFonts w:ascii="Times New Roman" w:hAnsi="Times New Roman"/>
          <w:sz w:val="24"/>
          <w:szCs w:val="24"/>
        </w:rPr>
      </w:pPr>
    </w:p>
    <w:p w:rsidR="0062424D" w:rsidRPr="0062424D" w:rsidRDefault="0062424D" w:rsidP="0062424D">
      <w:pPr>
        <w:spacing w:after="0" w:line="360" w:lineRule="auto"/>
        <w:jc w:val="both"/>
        <w:rPr>
          <w:rFonts w:ascii="Times New Roman" w:hAnsi="Times New Roman"/>
          <w:sz w:val="24"/>
          <w:szCs w:val="24"/>
        </w:rPr>
      </w:pPr>
      <w:r w:rsidRPr="0062424D">
        <w:rPr>
          <w:rFonts w:ascii="Times New Roman" w:hAnsi="Times New Roman"/>
          <w:sz w:val="24"/>
          <w:szCs w:val="24"/>
        </w:rPr>
        <w:t xml:space="preserve">SILVA, César Dario Mariano da. </w:t>
      </w:r>
      <w:r w:rsidRPr="0062424D">
        <w:rPr>
          <w:rFonts w:ascii="Times New Roman" w:hAnsi="Times New Roman"/>
          <w:i/>
          <w:sz w:val="24"/>
          <w:szCs w:val="24"/>
        </w:rPr>
        <w:t xml:space="preserve">Primeiras </w:t>
      </w:r>
      <w:r w:rsidRPr="0062424D">
        <w:rPr>
          <w:rFonts w:ascii="Times New Roman" w:hAnsi="Times New Roman"/>
          <w:b/>
          <w:i/>
          <w:sz w:val="24"/>
          <w:szCs w:val="24"/>
        </w:rPr>
        <w:t>impressões sobre o feminicídio – Lei nº 13.104/2015</w:t>
      </w:r>
      <w:r w:rsidRPr="0062424D">
        <w:rPr>
          <w:rFonts w:ascii="Times New Roman" w:hAnsi="Times New Roman"/>
          <w:b/>
          <w:sz w:val="24"/>
          <w:szCs w:val="24"/>
        </w:rPr>
        <w:t>.</w:t>
      </w:r>
      <w:r w:rsidRPr="0062424D">
        <w:rPr>
          <w:rFonts w:ascii="Times New Roman" w:hAnsi="Times New Roman"/>
          <w:sz w:val="24"/>
          <w:szCs w:val="24"/>
        </w:rPr>
        <w:t xml:space="preserve"> Disponível em: &lt;</w:t>
      </w:r>
      <w:hyperlink r:id="rId14" w:history="1">
        <w:r w:rsidRPr="0062424D">
          <w:rPr>
            <w:rStyle w:val="Hyperlink"/>
            <w:rFonts w:ascii="Times New Roman" w:hAnsi="Times New Roman"/>
            <w:sz w:val="24"/>
            <w:szCs w:val="24"/>
          </w:rPr>
          <w:t>http://www.mpsp.mp.br/portal/page/portal/cao_criminal/Artigos/Primeiras%20impress%C3%B5es%20sobre%20o%20feminic%C3%ADdio.pdf</w:t>
        </w:r>
      </w:hyperlink>
      <w:r w:rsidRPr="0062424D">
        <w:rPr>
          <w:rFonts w:ascii="Times New Roman" w:hAnsi="Times New Roman"/>
          <w:sz w:val="24"/>
          <w:szCs w:val="24"/>
        </w:rPr>
        <w:t>&gt; , acesso em 01 de dez. 2015.</w:t>
      </w:r>
    </w:p>
    <w:p w:rsidR="0062424D" w:rsidRDefault="0062424D" w:rsidP="00D637F3">
      <w:pPr>
        <w:spacing w:after="0" w:line="360" w:lineRule="auto"/>
        <w:jc w:val="both"/>
        <w:rPr>
          <w:rFonts w:ascii="Times New Roman" w:hAnsi="Times New Roman"/>
          <w:b/>
          <w:sz w:val="24"/>
          <w:szCs w:val="24"/>
        </w:rPr>
      </w:pPr>
    </w:p>
    <w:p w:rsidR="00D637F3" w:rsidRPr="00D637F3" w:rsidRDefault="00D637F3" w:rsidP="00D637F3">
      <w:pPr>
        <w:spacing w:after="0" w:line="360" w:lineRule="auto"/>
        <w:jc w:val="both"/>
        <w:rPr>
          <w:rFonts w:ascii="Times New Roman" w:hAnsi="Times New Roman"/>
          <w:b/>
          <w:sz w:val="24"/>
          <w:szCs w:val="24"/>
        </w:rPr>
      </w:pPr>
    </w:p>
    <w:p w:rsidR="00D158DF" w:rsidRDefault="00D158DF">
      <w:pPr>
        <w:rPr>
          <w:rFonts w:ascii="Times New Roman" w:hAnsi="Times New Roman"/>
        </w:rPr>
      </w:pPr>
    </w:p>
    <w:p w:rsidR="00463431" w:rsidRPr="00463431" w:rsidRDefault="00463431">
      <w:pPr>
        <w:rPr>
          <w:rFonts w:ascii="Times New Roman" w:hAnsi="Times New Roman"/>
        </w:rPr>
      </w:pPr>
    </w:p>
    <w:sectPr w:rsidR="00463431" w:rsidRPr="00463431" w:rsidSect="0024117A">
      <w:headerReference w:type="defaul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EC0" w:rsidRDefault="00855EC0" w:rsidP="000D4ED7">
      <w:pPr>
        <w:spacing w:after="0" w:line="240" w:lineRule="auto"/>
      </w:pPr>
      <w:r>
        <w:separator/>
      </w:r>
    </w:p>
  </w:endnote>
  <w:endnote w:type="continuationSeparator" w:id="1">
    <w:p w:rsidR="00855EC0" w:rsidRDefault="00855EC0" w:rsidP="000D4E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EC0" w:rsidRDefault="00855EC0" w:rsidP="000D4ED7">
      <w:pPr>
        <w:spacing w:after="0" w:line="240" w:lineRule="auto"/>
      </w:pPr>
      <w:r>
        <w:separator/>
      </w:r>
    </w:p>
  </w:footnote>
  <w:footnote w:type="continuationSeparator" w:id="1">
    <w:p w:rsidR="00855EC0" w:rsidRDefault="00855EC0" w:rsidP="000D4ED7">
      <w:pPr>
        <w:spacing w:after="0" w:line="240" w:lineRule="auto"/>
      </w:pPr>
      <w:r>
        <w:continuationSeparator/>
      </w:r>
    </w:p>
  </w:footnote>
  <w:footnote w:id="2">
    <w:p w:rsidR="00D637F3" w:rsidRPr="00E6474C" w:rsidRDefault="00D637F3" w:rsidP="00232BD7">
      <w:pPr>
        <w:pStyle w:val="Textodenotaderodap"/>
        <w:spacing w:after="0" w:line="240" w:lineRule="auto"/>
        <w:jc w:val="both"/>
        <w:rPr>
          <w:rFonts w:ascii="Times New Roman" w:hAnsi="Times New Roman"/>
        </w:rPr>
      </w:pPr>
      <w:r w:rsidRPr="00E6474C">
        <w:rPr>
          <w:rStyle w:val="Refdenotaderodap"/>
          <w:rFonts w:ascii="Times New Roman" w:hAnsi="Times New Roman"/>
        </w:rPr>
        <w:footnoteRef/>
      </w:r>
      <w:r w:rsidRPr="00E6474C">
        <w:rPr>
          <w:rFonts w:ascii="Times New Roman" w:hAnsi="Times New Roman"/>
        </w:rPr>
        <w:t xml:space="preserve"> </w:t>
      </w:r>
      <w:r w:rsidR="00232BD7">
        <w:rPr>
          <w:rFonts w:ascii="Times New Roman" w:hAnsi="Times New Roman"/>
        </w:rPr>
        <w:t xml:space="preserve">Camilla Pires Gonçalves dos Santos é pós-graduada em </w:t>
      </w:r>
      <w:r w:rsidRPr="00E6474C">
        <w:rPr>
          <w:rFonts w:ascii="Times New Roman" w:hAnsi="Times New Roman"/>
        </w:rPr>
        <w:t xml:space="preserve"> Direito Ambiental pela Universidade Candido Mendes</w:t>
      </w:r>
      <w:r w:rsidR="00232BD7">
        <w:rPr>
          <w:rFonts w:ascii="Times New Roman" w:hAnsi="Times New Roman"/>
        </w:rPr>
        <w:t xml:space="preserve"> e bacharel em Direito pela Faculdade Presidente Antonio Carlos – UNIPAC. Atualmente é advogada</w:t>
      </w:r>
      <w:r w:rsidRPr="00E6474C">
        <w:rPr>
          <w:rFonts w:ascii="Times New Roman" w:hAnsi="Times New Roman"/>
        </w:rPr>
        <w:t xml:space="preserve">. </w:t>
      </w:r>
    </w:p>
  </w:footnote>
  <w:footnote w:id="3">
    <w:p w:rsidR="00D637F3" w:rsidRPr="00A22A37" w:rsidRDefault="00D637F3" w:rsidP="00656D19">
      <w:pPr>
        <w:pStyle w:val="Textodenotaderodap"/>
        <w:spacing w:after="0" w:line="240" w:lineRule="auto"/>
        <w:jc w:val="both"/>
        <w:rPr>
          <w:rFonts w:ascii="Times New Roman" w:hAnsi="Times New Roman"/>
        </w:rPr>
      </w:pPr>
      <w:r w:rsidRPr="00E6474C">
        <w:rPr>
          <w:rStyle w:val="Refdenotaderodap"/>
          <w:rFonts w:ascii="Times New Roman" w:hAnsi="Times New Roman"/>
        </w:rPr>
        <w:footnoteRef/>
      </w:r>
      <w:r w:rsidRPr="00A22A37">
        <w:rPr>
          <w:rFonts w:ascii="Times New Roman" w:hAnsi="Times New Roman"/>
        </w:rPr>
        <w:t xml:space="preserve"> </w:t>
      </w:r>
      <w:r w:rsidR="00A22A37" w:rsidRPr="00A22A37">
        <w:rPr>
          <w:rFonts w:ascii="Times New Roman" w:hAnsi="Times New Roman"/>
        </w:rPr>
        <w:t xml:space="preserve">BRITO, Auriney. </w:t>
      </w:r>
      <w:r w:rsidR="00A22A37" w:rsidRPr="00A22A37">
        <w:rPr>
          <w:rFonts w:ascii="Times New Roman" w:hAnsi="Times New Roman"/>
          <w:b/>
          <w:bCs/>
          <w:i/>
        </w:rPr>
        <w:t>Lei do feminicídio: entenda o que mudou</w:t>
      </w:r>
      <w:r w:rsidR="00A22A37">
        <w:rPr>
          <w:rFonts w:ascii="Times New Roman" w:hAnsi="Times New Roman"/>
          <w:b/>
          <w:bCs/>
          <w:i/>
        </w:rPr>
        <w:t>.</w:t>
      </w:r>
      <w:r w:rsidR="00A22A37">
        <w:rPr>
          <w:rFonts w:ascii="Times New Roman" w:hAnsi="Times New Roman"/>
          <w:bCs/>
        </w:rPr>
        <w:t xml:space="preserve"> Disponível em: </w:t>
      </w:r>
      <w:hyperlink r:id="rId1" w:history="1">
        <w:r w:rsidR="00A22A37" w:rsidRPr="00114E4B">
          <w:rPr>
            <w:rStyle w:val="Hyperlink"/>
            <w:rFonts w:ascii="Times New Roman" w:hAnsi="Times New Roman"/>
            <w:bCs/>
          </w:rPr>
          <w:t>http://aurineybrito.jusbrasil.com.br/artigos/172479028/lei-do-feminicidio-entenda-o-que-mudou</w:t>
        </w:r>
      </w:hyperlink>
      <w:r w:rsidR="00A22A37">
        <w:rPr>
          <w:rFonts w:ascii="Times New Roman" w:hAnsi="Times New Roman"/>
          <w:bCs/>
        </w:rPr>
        <w:t>, acesso em 30 de setembro de 2016.</w:t>
      </w:r>
    </w:p>
  </w:footnote>
  <w:footnote w:id="4">
    <w:p w:rsidR="00D637F3" w:rsidRPr="009B0EFD" w:rsidRDefault="00D637F3" w:rsidP="00656D19">
      <w:pPr>
        <w:pStyle w:val="Textodenotaderodap"/>
        <w:spacing w:after="0" w:line="240" w:lineRule="auto"/>
        <w:jc w:val="both"/>
        <w:rPr>
          <w:rFonts w:ascii="Times New Roman" w:hAnsi="Times New Roman"/>
        </w:rPr>
      </w:pPr>
      <w:r w:rsidRPr="00E6474C">
        <w:rPr>
          <w:rStyle w:val="Refdenotaderodap"/>
          <w:rFonts w:ascii="Times New Roman" w:hAnsi="Times New Roman"/>
        </w:rPr>
        <w:footnoteRef/>
      </w:r>
      <w:r w:rsidRPr="00E6474C">
        <w:rPr>
          <w:rFonts w:ascii="Times New Roman" w:hAnsi="Times New Roman"/>
        </w:rPr>
        <w:t xml:space="preserve"> DÍAZ, Gerardo Landrove. </w:t>
      </w:r>
      <w:r w:rsidRPr="00E6474C">
        <w:rPr>
          <w:rFonts w:ascii="Times New Roman" w:hAnsi="Times New Roman"/>
          <w:b/>
          <w:i/>
        </w:rPr>
        <w:t>La moderna victimología</w:t>
      </w:r>
      <w:r w:rsidRPr="00E6474C">
        <w:rPr>
          <w:rFonts w:ascii="Times New Roman" w:hAnsi="Times New Roman"/>
        </w:rPr>
        <w:t>. Valencia: Tirant lo Blanch, 1998, p.54.</w:t>
      </w:r>
    </w:p>
  </w:footnote>
  <w:footnote w:id="5">
    <w:p w:rsidR="00D637F3" w:rsidRDefault="00D637F3" w:rsidP="00656D19">
      <w:pPr>
        <w:pStyle w:val="Textodenotaderodap"/>
        <w:jc w:val="both"/>
      </w:pPr>
      <w:r w:rsidRPr="009B0EFD">
        <w:rPr>
          <w:rStyle w:val="Refdenotaderodap"/>
        </w:rPr>
        <w:footnoteRef/>
      </w:r>
      <w:r w:rsidRPr="009B0EFD">
        <w:rPr>
          <w:rFonts w:ascii="Times New Roman" w:hAnsi="Times New Roman"/>
        </w:rPr>
        <w:t xml:space="preserve"> JACOBO, Julio. </w:t>
      </w:r>
      <w:r w:rsidRPr="009B0EFD">
        <w:rPr>
          <w:rFonts w:ascii="Times New Roman" w:hAnsi="Times New Roman"/>
          <w:b/>
          <w:i/>
        </w:rPr>
        <w:t>Mapa</w:t>
      </w:r>
      <w:r w:rsidRPr="009B0EFD">
        <w:rPr>
          <w:rFonts w:ascii="Times New Roman" w:hAnsi="Times New Roman"/>
        </w:rPr>
        <w:t xml:space="preserve"> </w:t>
      </w:r>
      <w:r w:rsidRPr="009B0EFD">
        <w:rPr>
          <w:rFonts w:ascii="Times New Roman" w:hAnsi="Times New Roman"/>
          <w:b/>
          <w:i/>
        </w:rPr>
        <w:t>da violência 2012: a cor dos homicídios no Brasil</w:t>
      </w:r>
      <w:r w:rsidRPr="009B0EFD">
        <w:rPr>
          <w:rFonts w:ascii="Times New Roman" w:hAnsi="Times New Roman"/>
        </w:rPr>
        <w:t>. Disponível em: &lt;http://www.mapadaviolencia.org.br/pdf2012</w:t>
      </w:r>
      <w:r>
        <w:rPr>
          <w:rFonts w:ascii="Times New Roman" w:hAnsi="Times New Roman"/>
        </w:rPr>
        <w:t>/mapa2012_cor.pdf&gt;. Acesso em 01 dez</w:t>
      </w:r>
      <w:r w:rsidRPr="009B0EFD">
        <w:rPr>
          <w:rFonts w:ascii="Times New Roman" w:hAnsi="Times New Roman"/>
        </w:rPr>
        <w:t>. 2015</w:t>
      </w:r>
    </w:p>
  </w:footnote>
  <w:footnote w:id="6">
    <w:p w:rsidR="00D637F3" w:rsidRPr="00F0453B" w:rsidRDefault="00D637F3" w:rsidP="00A4736B">
      <w:pPr>
        <w:pStyle w:val="Textodenotaderodap"/>
        <w:spacing w:after="0" w:line="240" w:lineRule="auto"/>
        <w:jc w:val="both"/>
        <w:rPr>
          <w:rFonts w:ascii="Times New Roman" w:hAnsi="Times New Roman"/>
        </w:rPr>
      </w:pPr>
      <w:r w:rsidRPr="009A3D0A">
        <w:rPr>
          <w:rStyle w:val="Refdenotaderodap"/>
        </w:rPr>
        <w:footnoteRef/>
      </w:r>
      <w:r w:rsidRPr="009A3D0A">
        <w:rPr>
          <w:rFonts w:ascii="Times New Roman" w:hAnsi="Times New Roman"/>
        </w:rPr>
        <w:t xml:space="preserve"> </w:t>
      </w:r>
      <w:r w:rsidRPr="00A22A37">
        <w:rPr>
          <w:rFonts w:ascii="Times New Roman" w:hAnsi="Times New Roman"/>
        </w:rPr>
        <w:t xml:space="preserve">SILVA, César Dario Mariano da. </w:t>
      </w:r>
      <w:r w:rsidRPr="00A22A37">
        <w:rPr>
          <w:rFonts w:ascii="Times New Roman" w:hAnsi="Times New Roman"/>
          <w:b/>
          <w:i/>
        </w:rPr>
        <w:t>Primeiras impressões sobre o feminicídio – Lei nº 13.104/2015</w:t>
      </w:r>
      <w:r w:rsidRPr="00A22A37">
        <w:rPr>
          <w:rFonts w:ascii="Times New Roman" w:hAnsi="Times New Roman"/>
        </w:rPr>
        <w:t>. Disponível em: &lt;</w:t>
      </w:r>
      <w:hyperlink r:id="rId2" w:history="1">
        <w:r w:rsidRPr="00A22A37">
          <w:rPr>
            <w:rStyle w:val="Hyperlink"/>
            <w:rFonts w:ascii="Times New Roman" w:hAnsi="Times New Roman"/>
          </w:rPr>
          <w:t>http://www.mpsp.mp.br/portal/page/portal/cao_criminal/Artigos/Primeiras%20impress%C3%B5es%20sobre%20o%20feminic%C3%ADdio.pdf</w:t>
        </w:r>
      </w:hyperlink>
      <w:r w:rsidRPr="00A22A37">
        <w:rPr>
          <w:rFonts w:ascii="Times New Roman" w:hAnsi="Times New Roman"/>
        </w:rPr>
        <w:t>&gt; , acesso em 01 de dez. 2015.</w:t>
      </w:r>
    </w:p>
  </w:footnote>
  <w:footnote w:id="7">
    <w:p w:rsidR="00D637F3" w:rsidRPr="00656D19" w:rsidRDefault="00D637F3" w:rsidP="00656D19">
      <w:pPr>
        <w:pStyle w:val="Textodenotaderodap"/>
        <w:jc w:val="both"/>
        <w:rPr>
          <w:rFonts w:ascii="Times New Roman" w:hAnsi="Times New Roman"/>
        </w:rPr>
      </w:pPr>
      <w:r w:rsidRPr="00656D19">
        <w:rPr>
          <w:rStyle w:val="Refdenotaderodap"/>
          <w:rFonts w:ascii="Times New Roman" w:hAnsi="Times New Roman"/>
        </w:rPr>
        <w:footnoteRef/>
      </w:r>
      <w:r w:rsidRPr="00656D19">
        <w:rPr>
          <w:rFonts w:ascii="Times New Roman" w:hAnsi="Times New Roman"/>
        </w:rPr>
        <w:t xml:space="preserve"> MONTEIRO, Antônio Lopes. </w:t>
      </w:r>
      <w:r w:rsidRPr="00656D19">
        <w:rPr>
          <w:rFonts w:ascii="Times New Roman" w:hAnsi="Times New Roman"/>
          <w:b/>
          <w:i/>
        </w:rPr>
        <w:t xml:space="preserve">Crimes hediondos. Textos comentários e aspectos polêmicos. </w:t>
      </w:r>
      <w:r w:rsidRPr="00656D19">
        <w:rPr>
          <w:rFonts w:ascii="Times New Roman" w:hAnsi="Times New Roman"/>
        </w:rPr>
        <w:t>10 ed. Saraiva: São Paulo, 2016, p.47.</w:t>
      </w:r>
    </w:p>
  </w:footnote>
  <w:footnote w:id="8">
    <w:p w:rsidR="00D637F3" w:rsidRPr="00A4736B" w:rsidRDefault="00D637F3" w:rsidP="000D4ED7">
      <w:pPr>
        <w:pStyle w:val="Textodenotaderodap"/>
        <w:jc w:val="both"/>
        <w:rPr>
          <w:rFonts w:ascii="Times New Roman" w:hAnsi="Times New Roman"/>
          <w:b/>
          <w:i/>
        </w:rPr>
      </w:pPr>
      <w:r w:rsidRPr="00A4736B">
        <w:rPr>
          <w:rStyle w:val="Refdenotaderodap"/>
          <w:rFonts w:ascii="Times New Roman" w:hAnsi="Times New Roman"/>
        </w:rPr>
        <w:footnoteRef/>
      </w:r>
      <w:r w:rsidRPr="00A4736B">
        <w:rPr>
          <w:rFonts w:ascii="Times New Roman" w:hAnsi="Times New Roman"/>
        </w:rPr>
        <w:t xml:space="preserve"> SILVA, César Dario Mariano da. </w:t>
      </w:r>
      <w:r w:rsidRPr="00A4736B">
        <w:rPr>
          <w:rFonts w:ascii="Times New Roman" w:hAnsi="Times New Roman"/>
          <w:b/>
          <w:i/>
        </w:rPr>
        <w:t>Primeiras impressões sobre o feminicídio – Lei nº 13.104/2015</w:t>
      </w:r>
      <w:r w:rsidRPr="00A4736B">
        <w:rPr>
          <w:rFonts w:ascii="Times New Roman" w:hAnsi="Times New Roman"/>
        </w:rPr>
        <w:t xml:space="preserve">. Disponível em: </w:t>
      </w:r>
      <w:hyperlink r:id="rId3" w:history="1">
        <w:r w:rsidRPr="00A4736B">
          <w:rPr>
            <w:rStyle w:val="Hyperlink"/>
            <w:rFonts w:ascii="Times New Roman" w:hAnsi="Times New Roman"/>
          </w:rPr>
          <w:t>http://www.mpsp.mp.br/portal/page/portal/cao_criminal/Artigos/Primeiras%20impress%C3%B5es%20sobre%20o%20feminic%C3%ADdio.pdf</w:t>
        </w:r>
      </w:hyperlink>
      <w:r w:rsidRPr="00A4736B">
        <w:rPr>
          <w:rFonts w:ascii="Times New Roman" w:hAnsi="Times New Roman"/>
        </w:rPr>
        <w:t>, acesso em 01 de dez. 2015.</w:t>
      </w:r>
    </w:p>
  </w:footnote>
  <w:footnote w:id="9">
    <w:p w:rsidR="00D637F3" w:rsidRPr="00A22A37" w:rsidRDefault="00D637F3" w:rsidP="000D4ED7">
      <w:pPr>
        <w:pStyle w:val="Textodenotaderodap"/>
        <w:spacing w:after="0" w:line="240" w:lineRule="auto"/>
        <w:jc w:val="both"/>
        <w:rPr>
          <w:rFonts w:ascii="Times New Roman" w:hAnsi="Times New Roman"/>
        </w:rPr>
      </w:pPr>
      <w:r w:rsidRPr="00A22A37">
        <w:rPr>
          <w:rStyle w:val="Refdenotaderodap"/>
          <w:rFonts w:ascii="Times New Roman" w:hAnsi="Times New Roman"/>
        </w:rPr>
        <w:footnoteRef/>
      </w:r>
      <w:r w:rsidRPr="00A22A37">
        <w:rPr>
          <w:rFonts w:ascii="Times New Roman" w:hAnsi="Times New Roman"/>
        </w:rPr>
        <w:t xml:space="preserve"> MELLO, Adriana Ramos de . </w:t>
      </w:r>
      <w:r w:rsidRPr="00A22A37">
        <w:rPr>
          <w:rFonts w:ascii="Times New Roman" w:hAnsi="Times New Roman"/>
          <w:b/>
          <w:i/>
        </w:rPr>
        <w:t xml:space="preserve">Feminicídio: Breves comentários à Lei 13.104/15. </w:t>
      </w:r>
      <w:r w:rsidRPr="00A22A37">
        <w:rPr>
          <w:rFonts w:ascii="Times New Roman" w:hAnsi="Times New Roman"/>
        </w:rPr>
        <w:t xml:space="preserve">Disponível em: </w:t>
      </w:r>
      <w:hyperlink r:id="rId4" w:history="1">
        <w:r w:rsidRPr="00A22A37">
          <w:rPr>
            <w:rStyle w:val="Hyperlink"/>
            <w:rFonts w:ascii="Times New Roman" w:hAnsi="Times New Roman"/>
          </w:rPr>
          <w:t>http://jota.info/feminicidio-breves-comentarios-a-lei-13-10415</w:t>
        </w:r>
      </w:hyperlink>
      <w:r w:rsidRPr="00A22A37">
        <w:rPr>
          <w:rFonts w:ascii="Times New Roman" w:hAnsi="Times New Roman"/>
        </w:rPr>
        <w:t>, acesso em 01 de dez. de 2015.</w:t>
      </w:r>
    </w:p>
  </w:footnote>
  <w:footnote w:id="10">
    <w:p w:rsidR="00D637F3" w:rsidRPr="00D806D7" w:rsidRDefault="00D637F3" w:rsidP="000D4ED7">
      <w:pPr>
        <w:pStyle w:val="Textodenotaderodap"/>
        <w:spacing w:after="0" w:line="240" w:lineRule="auto"/>
        <w:jc w:val="both"/>
        <w:rPr>
          <w:rFonts w:ascii="Times New Roman" w:hAnsi="Times New Roman"/>
        </w:rPr>
      </w:pPr>
      <w:r w:rsidRPr="00A22A37">
        <w:rPr>
          <w:rStyle w:val="Refdenotaderodap"/>
          <w:rFonts w:ascii="Times New Roman" w:hAnsi="Times New Roman"/>
        </w:rPr>
        <w:footnoteRef/>
      </w:r>
      <w:r w:rsidRPr="00A22A37">
        <w:rPr>
          <w:rFonts w:ascii="Times New Roman" w:hAnsi="Times New Roman"/>
          <w:bCs/>
          <w:iCs/>
        </w:rPr>
        <w:t>CAVALCANTE, Márcio André Lopes,</w:t>
      </w:r>
      <w:r w:rsidRPr="00A22A37">
        <w:rPr>
          <w:rFonts w:ascii="Times New Roman" w:hAnsi="Times New Roman"/>
          <w:b/>
          <w:bCs/>
          <w:iCs/>
        </w:rPr>
        <w:t xml:space="preserve"> </w:t>
      </w:r>
      <w:r w:rsidRPr="00A22A37">
        <w:rPr>
          <w:rFonts w:ascii="Times New Roman" w:hAnsi="Times New Roman"/>
        </w:rPr>
        <w:t xml:space="preserve"> </w:t>
      </w:r>
      <w:r w:rsidRPr="00A22A37">
        <w:rPr>
          <w:rFonts w:ascii="Times New Roman" w:hAnsi="Times New Roman"/>
          <w:b/>
          <w:i/>
        </w:rPr>
        <w:t>Comentários ao tipo penal do feminicídio (art. 121, § 2º, VI, do CP</w:t>
      </w:r>
      <w:r w:rsidRPr="00A22A37">
        <w:rPr>
          <w:rFonts w:ascii="Times New Roman" w:hAnsi="Times New Roman"/>
          <w:i/>
        </w:rPr>
        <w:t xml:space="preserve">). </w:t>
      </w:r>
      <w:r w:rsidRPr="00A22A37">
        <w:rPr>
          <w:rFonts w:ascii="Times New Roman" w:hAnsi="Times New Roman"/>
        </w:rPr>
        <w:t>Disponível em:</w:t>
      </w:r>
      <w:r w:rsidRPr="00A22A37">
        <w:rPr>
          <w:rFonts w:ascii="Times New Roman" w:hAnsi="Times New Roman"/>
          <w:b/>
        </w:rPr>
        <w:t xml:space="preserve"> </w:t>
      </w:r>
      <w:hyperlink r:id="rId5" w:history="1">
        <w:r w:rsidRPr="00A22A37">
          <w:rPr>
            <w:rStyle w:val="Hyperlink"/>
            <w:rFonts w:ascii="Times New Roman" w:hAnsi="Times New Roman"/>
          </w:rPr>
          <w:t>http://www.dizerodireito.com.br/2015/03/comentarios-ao-tipo-penal-do.html</w:t>
        </w:r>
      </w:hyperlink>
      <w:r w:rsidRPr="00A22A37">
        <w:rPr>
          <w:rFonts w:ascii="Times New Roman" w:hAnsi="Times New Roman"/>
        </w:rPr>
        <w:t>, acesso em 01 de dez. de 2015.</w:t>
      </w:r>
    </w:p>
  </w:footnote>
  <w:footnote w:id="11">
    <w:p w:rsidR="00D637F3" w:rsidRPr="00A22A37" w:rsidRDefault="00D637F3" w:rsidP="000D4ED7">
      <w:pPr>
        <w:pStyle w:val="Textodenotaderodap"/>
        <w:spacing w:after="0" w:line="240" w:lineRule="auto"/>
        <w:jc w:val="both"/>
        <w:rPr>
          <w:rFonts w:ascii="Times New Roman" w:hAnsi="Times New Roman"/>
        </w:rPr>
      </w:pPr>
      <w:r w:rsidRPr="00A22A37">
        <w:rPr>
          <w:rStyle w:val="Refdenotaderodap"/>
          <w:rFonts w:ascii="Times New Roman" w:hAnsi="Times New Roman"/>
        </w:rPr>
        <w:footnoteRef/>
      </w:r>
      <w:r w:rsidRPr="00A22A37">
        <w:rPr>
          <w:rFonts w:ascii="Times New Roman" w:hAnsi="Times New Roman"/>
        </w:rPr>
        <w:t xml:space="preserve"> </w:t>
      </w:r>
      <w:r w:rsidRPr="00A22A37">
        <w:rPr>
          <w:rFonts w:ascii="Times New Roman" w:hAnsi="Times New Roman"/>
          <w:bCs/>
          <w:iCs/>
        </w:rPr>
        <w:t>CAVALCANTE, Márcio André Lopes,</w:t>
      </w:r>
      <w:r w:rsidRPr="00A22A37">
        <w:rPr>
          <w:rFonts w:ascii="Times New Roman" w:hAnsi="Times New Roman"/>
          <w:b/>
          <w:bCs/>
          <w:iCs/>
        </w:rPr>
        <w:t xml:space="preserve"> </w:t>
      </w:r>
      <w:r w:rsidRPr="00A22A37">
        <w:rPr>
          <w:rFonts w:ascii="Times New Roman" w:hAnsi="Times New Roman"/>
        </w:rPr>
        <w:t xml:space="preserve"> </w:t>
      </w:r>
      <w:r w:rsidRPr="00A22A37">
        <w:rPr>
          <w:rFonts w:ascii="Times New Roman" w:hAnsi="Times New Roman"/>
          <w:b/>
          <w:i/>
        </w:rPr>
        <w:t>Comentários ao tipo penal do feminicídio (art. 121, § 2º, VI, do CP</w:t>
      </w:r>
      <w:r w:rsidRPr="00A22A37">
        <w:rPr>
          <w:rFonts w:ascii="Times New Roman" w:hAnsi="Times New Roman"/>
          <w:i/>
        </w:rPr>
        <w:t xml:space="preserve">). </w:t>
      </w:r>
      <w:r w:rsidRPr="00A22A37">
        <w:rPr>
          <w:rFonts w:ascii="Times New Roman" w:hAnsi="Times New Roman"/>
        </w:rPr>
        <w:t>Disponível em:</w:t>
      </w:r>
      <w:r w:rsidRPr="00A22A37">
        <w:rPr>
          <w:rFonts w:ascii="Times New Roman" w:hAnsi="Times New Roman"/>
          <w:b/>
        </w:rPr>
        <w:t xml:space="preserve"> </w:t>
      </w:r>
      <w:hyperlink r:id="rId6" w:history="1">
        <w:r w:rsidRPr="00A22A37">
          <w:rPr>
            <w:rStyle w:val="Hyperlink"/>
            <w:rFonts w:ascii="Times New Roman" w:hAnsi="Times New Roman"/>
          </w:rPr>
          <w:t>http://www.dizerodireito.com.br/2015/03/comentarios-ao-tipo-penal-do.html</w:t>
        </w:r>
      </w:hyperlink>
      <w:r w:rsidRPr="00A22A37">
        <w:rPr>
          <w:rFonts w:ascii="Times New Roman" w:hAnsi="Times New Roman"/>
        </w:rPr>
        <w:t>, acesso em 01 de dez. de 2015.</w:t>
      </w:r>
    </w:p>
  </w:footnote>
  <w:footnote w:id="12">
    <w:p w:rsidR="00D637F3" w:rsidRPr="00A22A37" w:rsidRDefault="00D637F3" w:rsidP="000D4ED7">
      <w:pPr>
        <w:pStyle w:val="Textodenotaderodap"/>
        <w:spacing w:after="0" w:line="240" w:lineRule="auto"/>
        <w:jc w:val="both"/>
        <w:rPr>
          <w:rFonts w:ascii="Times New Roman" w:hAnsi="Times New Roman"/>
        </w:rPr>
      </w:pPr>
      <w:r w:rsidRPr="00A22A37">
        <w:rPr>
          <w:rStyle w:val="Refdenotaderodap"/>
          <w:rFonts w:ascii="Times New Roman" w:hAnsi="Times New Roman"/>
        </w:rPr>
        <w:footnoteRef/>
      </w:r>
      <w:r w:rsidRPr="00A22A37">
        <w:rPr>
          <w:rFonts w:ascii="Times New Roman" w:hAnsi="Times New Roman"/>
        </w:rPr>
        <w:t xml:space="preserve"> </w:t>
      </w:r>
      <w:r w:rsidRPr="00A22A37">
        <w:rPr>
          <w:rFonts w:ascii="Times New Roman" w:hAnsi="Times New Roman"/>
          <w:bCs/>
          <w:iCs/>
        </w:rPr>
        <w:t>CAVALCANTE, Márcio André Lopes,</w:t>
      </w:r>
      <w:r w:rsidRPr="00A22A37">
        <w:rPr>
          <w:rFonts w:ascii="Times New Roman" w:hAnsi="Times New Roman"/>
          <w:b/>
          <w:bCs/>
          <w:iCs/>
        </w:rPr>
        <w:t xml:space="preserve"> </w:t>
      </w:r>
      <w:r w:rsidRPr="00A22A37">
        <w:rPr>
          <w:rFonts w:ascii="Times New Roman" w:hAnsi="Times New Roman"/>
        </w:rPr>
        <w:t xml:space="preserve"> </w:t>
      </w:r>
      <w:r w:rsidRPr="00A22A37">
        <w:rPr>
          <w:rFonts w:ascii="Times New Roman" w:hAnsi="Times New Roman"/>
          <w:b/>
          <w:i/>
        </w:rPr>
        <w:t>Comentários ao tipo penal do feminicídio (art. 121, § 2º, VI, do CP</w:t>
      </w:r>
      <w:r w:rsidRPr="00A22A37">
        <w:rPr>
          <w:rFonts w:ascii="Times New Roman" w:hAnsi="Times New Roman"/>
          <w:i/>
        </w:rPr>
        <w:t xml:space="preserve">). </w:t>
      </w:r>
      <w:r w:rsidRPr="00A22A37">
        <w:rPr>
          <w:rFonts w:ascii="Times New Roman" w:hAnsi="Times New Roman"/>
        </w:rPr>
        <w:t>Disponível em:</w:t>
      </w:r>
      <w:r w:rsidRPr="00A22A37">
        <w:rPr>
          <w:rFonts w:ascii="Times New Roman" w:hAnsi="Times New Roman"/>
          <w:b/>
        </w:rPr>
        <w:t xml:space="preserve"> </w:t>
      </w:r>
      <w:hyperlink r:id="rId7" w:history="1">
        <w:r w:rsidRPr="00A22A37">
          <w:rPr>
            <w:rStyle w:val="Hyperlink"/>
            <w:rFonts w:ascii="Times New Roman" w:hAnsi="Times New Roman"/>
          </w:rPr>
          <w:t>http://www.dizerodireito.com.br/2015/03/comentarios-ao-tipo-penal-do.html</w:t>
        </w:r>
      </w:hyperlink>
      <w:r w:rsidRPr="00A22A37">
        <w:rPr>
          <w:rFonts w:ascii="Times New Roman" w:hAnsi="Times New Roman"/>
        </w:rPr>
        <w:t>, acesso em 01 de dez. de 2015.</w:t>
      </w:r>
    </w:p>
  </w:footnote>
  <w:footnote w:id="13">
    <w:p w:rsidR="00D637F3" w:rsidRPr="0010363D" w:rsidRDefault="00D637F3" w:rsidP="000D4ED7">
      <w:pPr>
        <w:pStyle w:val="Textodenotaderodap"/>
        <w:spacing w:after="0" w:line="240" w:lineRule="auto"/>
        <w:jc w:val="both"/>
      </w:pPr>
      <w:r w:rsidRPr="00A22A37">
        <w:rPr>
          <w:rStyle w:val="Refdenotaderodap"/>
          <w:rFonts w:ascii="Times New Roman" w:hAnsi="Times New Roman"/>
        </w:rPr>
        <w:footnoteRef/>
      </w:r>
      <w:r w:rsidRPr="00A22A37">
        <w:rPr>
          <w:rFonts w:ascii="Times New Roman" w:hAnsi="Times New Roman"/>
        </w:rPr>
        <w:t xml:space="preserve"> GRECO, Rogério. </w:t>
      </w:r>
      <w:r w:rsidRPr="00A22A37">
        <w:rPr>
          <w:rFonts w:ascii="Times New Roman" w:hAnsi="Times New Roman"/>
          <w:b/>
          <w:i/>
        </w:rPr>
        <w:t xml:space="preserve">Comentários sobre a Lei nº 13.104, de 09 de março de 2015. </w:t>
      </w:r>
      <w:r w:rsidRPr="00A22A37">
        <w:rPr>
          <w:rFonts w:ascii="Times New Roman" w:hAnsi="Times New Roman"/>
        </w:rPr>
        <w:t xml:space="preserve">Disponível em: </w:t>
      </w:r>
      <w:hyperlink r:id="rId8" w:history="1">
        <w:r w:rsidRPr="00A22A37">
          <w:rPr>
            <w:rStyle w:val="Hyperlink"/>
            <w:rFonts w:ascii="Times New Roman" w:hAnsi="Times New Roman"/>
          </w:rPr>
          <w:t>http://www.rogeriogreco.com.br/?p=2906</w:t>
        </w:r>
      </w:hyperlink>
      <w:r w:rsidRPr="00A22A37">
        <w:rPr>
          <w:rFonts w:ascii="Times New Roman" w:hAnsi="Times New Roman"/>
        </w:rPr>
        <w:t>, acesso em 01 de dez. de 2015.</w:t>
      </w:r>
    </w:p>
  </w:footnote>
  <w:footnote w:id="14">
    <w:p w:rsidR="00D637F3" w:rsidRPr="008937A1" w:rsidRDefault="00D637F3" w:rsidP="000D4ED7">
      <w:pPr>
        <w:pStyle w:val="Textodenotaderodap"/>
        <w:spacing w:after="0" w:line="240" w:lineRule="auto"/>
        <w:rPr>
          <w:rFonts w:ascii="Times New Roman" w:hAnsi="Times New Roman"/>
        </w:rPr>
      </w:pPr>
      <w:r w:rsidRPr="008937A1">
        <w:rPr>
          <w:rStyle w:val="Refdenotaderodap"/>
        </w:rPr>
        <w:footnoteRef/>
      </w:r>
      <w:r w:rsidRPr="008937A1">
        <w:rPr>
          <w:rFonts w:ascii="Times New Roman" w:hAnsi="Times New Roman"/>
        </w:rPr>
        <w:t xml:space="preserve"> CUNHA, </w:t>
      </w:r>
      <w:r w:rsidRPr="008937A1">
        <w:rPr>
          <w:rFonts w:ascii="Times New Roman" w:hAnsi="Times New Roman"/>
          <w:bCs/>
        </w:rPr>
        <w:t>Rogério Sanches</w:t>
      </w:r>
      <w:r w:rsidRPr="008937A1">
        <w:rPr>
          <w:rFonts w:ascii="Times New Roman" w:hAnsi="Times New Roman"/>
        </w:rPr>
        <w:t> Cunha</w:t>
      </w:r>
      <w:r w:rsidRPr="008937A1">
        <w:rPr>
          <w:rFonts w:ascii="Times New Roman" w:hAnsi="Times New Roman"/>
          <w:b/>
          <w:i/>
        </w:rPr>
        <w:t xml:space="preserve">. Direito Penal – Parte Especial </w:t>
      </w:r>
      <w:r w:rsidRPr="008937A1">
        <w:rPr>
          <w:rFonts w:ascii="Times New Roman" w:hAnsi="Times New Roman"/>
        </w:rPr>
        <w:t>v. 2</w:t>
      </w:r>
      <w:r>
        <w:rPr>
          <w:rFonts w:ascii="Times New Roman" w:hAnsi="Times New Roman"/>
        </w:rPr>
        <w:t xml:space="preserve">, Ed. Juspodivm: 2014, </w:t>
      </w:r>
      <w:r w:rsidRPr="008937A1">
        <w:rPr>
          <w:rFonts w:ascii="Times New Roman" w:hAnsi="Times New Roman"/>
        </w:rPr>
        <w:t>p. 11-12.</w:t>
      </w:r>
    </w:p>
  </w:footnote>
  <w:footnote w:id="15">
    <w:p w:rsidR="00D637F3" w:rsidRPr="00463431" w:rsidRDefault="00D637F3" w:rsidP="000D4ED7">
      <w:pPr>
        <w:pStyle w:val="Textodenotaderodap"/>
        <w:spacing w:after="0" w:line="240" w:lineRule="auto"/>
        <w:jc w:val="both"/>
        <w:rPr>
          <w:rFonts w:ascii="Times New Roman" w:hAnsi="Times New Roman"/>
        </w:rPr>
      </w:pPr>
      <w:r w:rsidRPr="00463431">
        <w:rPr>
          <w:rStyle w:val="Refdenotaderodap"/>
          <w:rFonts w:ascii="Times New Roman" w:hAnsi="Times New Roman"/>
        </w:rPr>
        <w:footnoteRef/>
      </w:r>
      <w:r w:rsidRPr="00463431">
        <w:rPr>
          <w:rFonts w:ascii="Times New Roman" w:hAnsi="Times New Roman"/>
        </w:rPr>
        <w:t xml:space="preserve"> GOMES, Luiz Flávio. </w:t>
      </w:r>
      <w:r w:rsidRPr="00463431">
        <w:rPr>
          <w:rFonts w:ascii="Times New Roman" w:hAnsi="Times New Roman"/>
          <w:b/>
          <w:bCs/>
          <w:i/>
        </w:rPr>
        <w:t xml:space="preserve">FEMINICÍDIO - Comentários sobre a Lei nº 13.104, de 9 de março de 2015, </w:t>
      </w:r>
      <w:r w:rsidRPr="00463431">
        <w:rPr>
          <w:rFonts w:ascii="Times New Roman" w:hAnsi="Times New Roman"/>
          <w:bCs/>
        </w:rPr>
        <w:t xml:space="preserve">Disponível em: </w:t>
      </w:r>
      <w:hyperlink r:id="rId9" w:history="1">
        <w:r w:rsidRPr="00463431">
          <w:rPr>
            <w:rStyle w:val="Hyperlink"/>
            <w:rFonts w:ascii="Times New Roman" w:hAnsi="Times New Roman"/>
            <w:bCs/>
          </w:rPr>
          <w:t>http://www.impetus.com.br/artigo/866/feminicidio---comentarios-sobre-a-lei-n-13104-de-9-de-marco-de-2015</w:t>
        </w:r>
      </w:hyperlink>
      <w:r w:rsidRPr="00463431">
        <w:rPr>
          <w:rFonts w:ascii="Times New Roman" w:hAnsi="Times New Roman"/>
          <w:bCs/>
        </w:rPr>
        <w:t>, acesso em 01 de dez de 2015.</w:t>
      </w:r>
    </w:p>
  </w:footnote>
  <w:footnote w:id="16">
    <w:p w:rsidR="00D637F3" w:rsidRPr="00463431" w:rsidRDefault="00D637F3" w:rsidP="000D4ED7">
      <w:pPr>
        <w:pStyle w:val="Textodenotaderodap"/>
        <w:spacing w:after="0" w:line="240" w:lineRule="auto"/>
        <w:jc w:val="both"/>
        <w:rPr>
          <w:rFonts w:ascii="Times New Roman" w:hAnsi="Times New Roman"/>
          <w:b/>
          <w:bCs/>
        </w:rPr>
      </w:pPr>
      <w:r w:rsidRPr="00463431">
        <w:rPr>
          <w:rStyle w:val="Refdenotaderodap"/>
          <w:rFonts w:ascii="Times New Roman" w:hAnsi="Times New Roman"/>
        </w:rPr>
        <w:footnoteRef/>
      </w:r>
      <w:r w:rsidRPr="00463431">
        <w:rPr>
          <w:rFonts w:ascii="Times New Roman" w:hAnsi="Times New Roman"/>
        </w:rPr>
        <w:t xml:space="preserve"> CUNHA, </w:t>
      </w:r>
      <w:r w:rsidRPr="00463431">
        <w:rPr>
          <w:rFonts w:ascii="Times New Roman" w:hAnsi="Times New Roman"/>
          <w:b/>
          <w:bCs/>
        </w:rPr>
        <w:t xml:space="preserve">Rogério Sanches. Lei do Feminicídio: breves comentários. Disponível em: </w:t>
      </w:r>
      <w:hyperlink r:id="rId10" w:history="1">
        <w:r w:rsidRPr="00463431">
          <w:rPr>
            <w:rStyle w:val="Hyperlink"/>
            <w:rFonts w:ascii="Times New Roman" w:hAnsi="Times New Roman"/>
            <w:b/>
            <w:bCs/>
          </w:rPr>
          <w:t>http://rogeriosanches2.jusbrasil.com.br/artigos/172946388/lei-do-feminicidio-breves-comentarios</w:t>
        </w:r>
      </w:hyperlink>
      <w:r w:rsidRPr="00463431">
        <w:rPr>
          <w:rFonts w:ascii="Times New Roman" w:hAnsi="Times New Roman"/>
          <w:b/>
          <w:bCs/>
        </w:rPr>
        <w:t>, acesso em 01 de dez. de 2015.</w:t>
      </w:r>
    </w:p>
    <w:p w:rsidR="00D637F3" w:rsidRDefault="00D637F3" w:rsidP="000D4ED7">
      <w:pPr>
        <w:pStyle w:val="Textodenotaderodap"/>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29500"/>
      <w:docPartObj>
        <w:docPartGallery w:val="Page Numbers (Top of Page)"/>
        <w:docPartUnique/>
      </w:docPartObj>
    </w:sdtPr>
    <w:sdtEndPr>
      <w:rPr>
        <w:rFonts w:ascii="Times New Roman" w:hAnsi="Times New Roman"/>
        <w:sz w:val="24"/>
        <w:szCs w:val="24"/>
      </w:rPr>
    </w:sdtEndPr>
    <w:sdtContent>
      <w:p w:rsidR="00D637F3" w:rsidRPr="00C91867" w:rsidRDefault="00B008C0">
        <w:pPr>
          <w:pStyle w:val="Cabealho"/>
          <w:jc w:val="right"/>
          <w:rPr>
            <w:rFonts w:ascii="Times New Roman" w:hAnsi="Times New Roman"/>
            <w:sz w:val="24"/>
            <w:szCs w:val="24"/>
          </w:rPr>
        </w:pPr>
        <w:r w:rsidRPr="00C91867">
          <w:rPr>
            <w:rFonts w:ascii="Times New Roman" w:hAnsi="Times New Roman"/>
            <w:sz w:val="24"/>
            <w:szCs w:val="24"/>
          </w:rPr>
          <w:fldChar w:fldCharType="begin"/>
        </w:r>
        <w:r w:rsidR="00D637F3" w:rsidRPr="00C91867">
          <w:rPr>
            <w:rFonts w:ascii="Times New Roman" w:hAnsi="Times New Roman"/>
            <w:sz w:val="24"/>
            <w:szCs w:val="24"/>
          </w:rPr>
          <w:instrText xml:space="preserve"> PAGE   \* MERGEFORMAT </w:instrText>
        </w:r>
        <w:r w:rsidRPr="00C91867">
          <w:rPr>
            <w:rFonts w:ascii="Times New Roman" w:hAnsi="Times New Roman"/>
            <w:sz w:val="24"/>
            <w:szCs w:val="24"/>
          </w:rPr>
          <w:fldChar w:fldCharType="separate"/>
        </w:r>
        <w:r w:rsidR="00232BD7">
          <w:rPr>
            <w:rFonts w:ascii="Times New Roman" w:hAnsi="Times New Roman"/>
            <w:noProof/>
            <w:sz w:val="24"/>
            <w:szCs w:val="24"/>
          </w:rPr>
          <w:t>1</w:t>
        </w:r>
        <w:r w:rsidRPr="00C91867">
          <w:rPr>
            <w:rFonts w:ascii="Times New Roman" w:hAnsi="Times New Roman"/>
            <w:sz w:val="24"/>
            <w:szCs w:val="24"/>
          </w:rPr>
          <w:fldChar w:fldCharType="end"/>
        </w:r>
      </w:p>
    </w:sdtContent>
  </w:sdt>
  <w:p w:rsidR="00D637F3" w:rsidRDefault="00D637F3">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D4ED7"/>
    <w:rsid w:val="000A3C29"/>
    <w:rsid w:val="000A40B3"/>
    <w:rsid w:val="000D2A56"/>
    <w:rsid w:val="000D4ED7"/>
    <w:rsid w:val="001220E9"/>
    <w:rsid w:val="00126C11"/>
    <w:rsid w:val="00184C98"/>
    <w:rsid w:val="001B2E99"/>
    <w:rsid w:val="001D3CEB"/>
    <w:rsid w:val="002213CD"/>
    <w:rsid w:val="00232BD7"/>
    <w:rsid w:val="0023491D"/>
    <w:rsid w:val="0024117A"/>
    <w:rsid w:val="002B025D"/>
    <w:rsid w:val="002D36FC"/>
    <w:rsid w:val="00390C9B"/>
    <w:rsid w:val="003928AA"/>
    <w:rsid w:val="0039757E"/>
    <w:rsid w:val="003A270F"/>
    <w:rsid w:val="003D1E92"/>
    <w:rsid w:val="003D3391"/>
    <w:rsid w:val="00426D59"/>
    <w:rsid w:val="00463431"/>
    <w:rsid w:val="0050110B"/>
    <w:rsid w:val="00501581"/>
    <w:rsid w:val="00511B7F"/>
    <w:rsid w:val="0053215E"/>
    <w:rsid w:val="005757CC"/>
    <w:rsid w:val="005B023B"/>
    <w:rsid w:val="006160DB"/>
    <w:rsid w:val="0062424D"/>
    <w:rsid w:val="00656D19"/>
    <w:rsid w:val="00703FBD"/>
    <w:rsid w:val="00723079"/>
    <w:rsid w:val="00782C92"/>
    <w:rsid w:val="007A63DC"/>
    <w:rsid w:val="007C0A8F"/>
    <w:rsid w:val="00813108"/>
    <w:rsid w:val="00852994"/>
    <w:rsid w:val="00855EC0"/>
    <w:rsid w:val="008A3CE5"/>
    <w:rsid w:val="00906963"/>
    <w:rsid w:val="009F0B0F"/>
    <w:rsid w:val="00A00E08"/>
    <w:rsid w:val="00A22A37"/>
    <w:rsid w:val="00A357A4"/>
    <w:rsid w:val="00A454F4"/>
    <w:rsid w:val="00A4736B"/>
    <w:rsid w:val="00A70AD7"/>
    <w:rsid w:val="00A8086F"/>
    <w:rsid w:val="00AA4C35"/>
    <w:rsid w:val="00AE58F1"/>
    <w:rsid w:val="00B008C0"/>
    <w:rsid w:val="00C90396"/>
    <w:rsid w:val="00C91867"/>
    <w:rsid w:val="00CB493A"/>
    <w:rsid w:val="00CF08F8"/>
    <w:rsid w:val="00D158DF"/>
    <w:rsid w:val="00D252C0"/>
    <w:rsid w:val="00D624DC"/>
    <w:rsid w:val="00D637F3"/>
    <w:rsid w:val="00D7451C"/>
    <w:rsid w:val="00E6474C"/>
    <w:rsid w:val="00E9410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ED7"/>
    <w:rPr>
      <w:rFonts w:ascii="Calibri" w:eastAsia="Calibri" w:hAnsi="Calibri" w:cs="Times New Roman"/>
    </w:rPr>
  </w:style>
  <w:style w:type="paragraph" w:styleId="Ttulo1">
    <w:name w:val="heading 1"/>
    <w:basedOn w:val="Normal"/>
    <w:next w:val="Normal"/>
    <w:link w:val="Ttulo1Char"/>
    <w:uiPriority w:val="9"/>
    <w:qFormat/>
    <w:rsid w:val="00852994"/>
    <w:pPr>
      <w:keepNext/>
      <w:keepLines/>
      <w:spacing w:after="0" w:line="360" w:lineRule="auto"/>
      <w:outlineLvl w:val="0"/>
    </w:pPr>
    <w:rPr>
      <w:rFonts w:ascii="Times New Roman" w:eastAsiaTheme="majorEastAsia" w:hAnsi="Times New Roman" w:cstheme="majorBidi"/>
      <w:b/>
      <w:bCs/>
      <w:color w:val="000000" w:themeColor="text1"/>
      <w:sz w:val="24"/>
      <w:szCs w:val="28"/>
    </w:rPr>
  </w:style>
  <w:style w:type="paragraph" w:styleId="Ttulo2">
    <w:name w:val="heading 2"/>
    <w:basedOn w:val="Normal"/>
    <w:next w:val="Normal"/>
    <w:link w:val="Ttulo2Char"/>
    <w:uiPriority w:val="9"/>
    <w:unhideWhenUsed/>
    <w:qFormat/>
    <w:rsid w:val="00A357A4"/>
    <w:pPr>
      <w:keepNext/>
      <w:keepLines/>
      <w:spacing w:after="0" w:line="360" w:lineRule="auto"/>
      <w:jc w:val="both"/>
      <w:outlineLvl w:val="1"/>
    </w:pPr>
    <w:rPr>
      <w:rFonts w:ascii="Times New Roman" w:eastAsiaTheme="majorEastAsia" w:hAnsi="Times New Roman" w:cstheme="majorBidi"/>
      <w:b/>
      <w:bCs/>
      <w:color w:val="000000" w:themeColor="text1"/>
      <w:sz w:val="24"/>
      <w:szCs w:val="26"/>
      <w:lang w:eastAsia="pt-BR"/>
    </w:rPr>
  </w:style>
  <w:style w:type="paragraph" w:styleId="Ttulo3">
    <w:name w:val="heading 3"/>
    <w:basedOn w:val="Normal"/>
    <w:next w:val="Normal"/>
    <w:link w:val="Ttulo3Char"/>
    <w:uiPriority w:val="9"/>
    <w:semiHidden/>
    <w:unhideWhenUsed/>
    <w:qFormat/>
    <w:rsid w:val="00511B7F"/>
    <w:pPr>
      <w:keepNext/>
      <w:keepLines/>
      <w:spacing w:after="0" w:line="360" w:lineRule="auto"/>
      <w:jc w:val="both"/>
      <w:outlineLvl w:val="2"/>
    </w:pPr>
    <w:rPr>
      <w:rFonts w:ascii="Times New Roman" w:eastAsiaTheme="majorEastAsia" w:hAnsi="Times New Roman" w:cstheme="majorBidi"/>
      <w:b/>
      <w:bCs/>
      <w:color w:val="000000" w:themeColor="text1"/>
      <w:sz w:val="24"/>
      <w:szCs w:val="24"/>
      <w:lang w:eastAsia="pt-BR"/>
    </w:rPr>
  </w:style>
  <w:style w:type="paragraph" w:styleId="Ttulo4">
    <w:name w:val="heading 4"/>
    <w:basedOn w:val="Normal"/>
    <w:next w:val="Normal"/>
    <w:link w:val="Ttulo4Char"/>
    <w:uiPriority w:val="9"/>
    <w:semiHidden/>
    <w:unhideWhenUsed/>
    <w:qFormat/>
    <w:rsid w:val="00A357A4"/>
    <w:pPr>
      <w:keepNext/>
      <w:keepLines/>
      <w:spacing w:after="0" w:line="360" w:lineRule="auto"/>
      <w:jc w:val="both"/>
      <w:outlineLvl w:val="3"/>
    </w:pPr>
    <w:rPr>
      <w:rFonts w:ascii="Times New Roman" w:eastAsiaTheme="majorEastAsia" w:hAnsi="Times New Roman" w:cstheme="majorBidi"/>
      <w:b/>
      <w:bCs/>
      <w:iCs/>
      <w:color w:val="000000" w:themeColor="tex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2994"/>
    <w:rPr>
      <w:rFonts w:ascii="Times New Roman" w:eastAsiaTheme="majorEastAsia" w:hAnsi="Times New Roman" w:cstheme="majorBidi"/>
      <w:b/>
      <w:bCs/>
      <w:color w:val="000000" w:themeColor="text1"/>
      <w:sz w:val="24"/>
      <w:szCs w:val="28"/>
    </w:rPr>
  </w:style>
  <w:style w:type="character" w:customStyle="1" w:styleId="Ttulo2Char">
    <w:name w:val="Título 2 Char"/>
    <w:basedOn w:val="Fontepargpadro"/>
    <w:link w:val="Ttulo2"/>
    <w:uiPriority w:val="9"/>
    <w:rsid w:val="00A357A4"/>
    <w:rPr>
      <w:rFonts w:ascii="Times New Roman" w:eastAsiaTheme="majorEastAsia" w:hAnsi="Times New Roman" w:cstheme="majorBidi"/>
      <w:b/>
      <w:bCs/>
      <w:color w:val="000000" w:themeColor="text1"/>
      <w:sz w:val="24"/>
      <w:szCs w:val="26"/>
      <w:lang w:eastAsia="pt-BR"/>
    </w:rPr>
  </w:style>
  <w:style w:type="character" w:customStyle="1" w:styleId="Ttulo3Char">
    <w:name w:val="Título 3 Char"/>
    <w:basedOn w:val="Fontepargpadro"/>
    <w:link w:val="Ttulo3"/>
    <w:uiPriority w:val="9"/>
    <w:semiHidden/>
    <w:rsid w:val="00511B7F"/>
    <w:rPr>
      <w:rFonts w:ascii="Times New Roman" w:eastAsiaTheme="majorEastAsia" w:hAnsi="Times New Roman" w:cstheme="majorBidi"/>
      <w:b/>
      <w:bCs/>
      <w:color w:val="000000" w:themeColor="text1"/>
      <w:sz w:val="24"/>
      <w:szCs w:val="24"/>
      <w:lang w:eastAsia="pt-BR"/>
    </w:rPr>
  </w:style>
  <w:style w:type="character" w:customStyle="1" w:styleId="Ttulo4Char">
    <w:name w:val="Título 4 Char"/>
    <w:basedOn w:val="Fontepargpadro"/>
    <w:link w:val="Ttulo4"/>
    <w:uiPriority w:val="9"/>
    <w:semiHidden/>
    <w:rsid w:val="00A357A4"/>
    <w:rPr>
      <w:rFonts w:ascii="Times New Roman" w:eastAsiaTheme="majorEastAsia" w:hAnsi="Times New Roman" w:cstheme="majorBidi"/>
      <w:b/>
      <w:bCs/>
      <w:iCs/>
      <w:color w:val="000000" w:themeColor="text1"/>
      <w:sz w:val="24"/>
    </w:rPr>
  </w:style>
  <w:style w:type="paragraph" w:styleId="Textodenotaderodap">
    <w:name w:val="footnote text"/>
    <w:basedOn w:val="Normal"/>
    <w:link w:val="TextodenotaderodapChar"/>
    <w:uiPriority w:val="99"/>
    <w:unhideWhenUsed/>
    <w:rsid w:val="000D4ED7"/>
    <w:rPr>
      <w:sz w:val="20"/>
      <w:szCs w:val="20"/>
    </w:rPr>
  </w:style>
  <w:style w:type="character" w:customStyle="1" w:styleId="TextodenotaderodapChar">
    <w:name w:val="Texto de nota de rodapé Char"/>
    <w:basedOn w:val="Fontepargpadro"/>
    <w:link w:val="Textodenotaderodap"/>
    <w:uiPriority w:val="99"/>
    <w:rsid w:val="000D4ED7"/>
    <w:rPr>
      <w:rFonts w:ascii="Calibri" w:eastAsia="Calibri" w:hAnsi="Calibri" w:cs="Times New Roman"/>
      <w:sz w:val="20"/>
      <w:szCs w:val="20"/>
    </w:rPr>
  </w:style>
  <w:style w:type="character" w:styleId="Refdenotaderodap">
    <w:name w:val="footnote reference"/>
    <w:basedOn w:val="Fontepargpadro"/>
    <w:uiPriority w:val="99"/>
    <w:semiHidden/>
    <w:unhideWhenUsed/>
    <w:rsid w:val="000D4ED7"/>
    <w:rPr>
      <w:vertAlign w:val="superscript"/>
    </w:rPr>
  </w:style>
  <w:style w:type="character" w:styleId="Hyperlink">
    <w:name w:val="Hyperlink"/>
    <w:basedOn w:val="Fontepargpadro"/>
    <w:uiPriority w:val="99"/>
    <w:unhideWhenUsed/>
    <w:rsid w:val="000D4ED7"/>
    <w:rPr>
      <w:color w:val="0000FF" w:themeColor="hyperlink"/>
      <w:u w:val="single"/>
    </w:rPr>
  </w:style>
  <w:style w:type="paragraph" w:styleId="Cabealho">
    <w:name w:val="header"/>
    <w:basedOn w:val="Normal"/>
    <w:link w:val="CabealhoChar"/>
    <w:uiPriority w:val="99"/>
    <w:unhideWhenUsed/>
    <w:rsid w:val="00C918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1867"/>
    <w:rPr>
      <w:rFonts w:ascii="Calibri" w:eastAsia="Calibri" w:hAnsi="Calibri" w:cs="Times New Roman"/>
    </w:rPr>
  </w:style>
  <w:style w:type="paragraph" w:styleId="Rodap">
    <w:name w:val="footer"/>
    <w:basedOn w:val="Normal"/>
    <w:link w:val="RodapChar"/>
    <w:uiPriority w:val="99"/>
    <w:semiHidden/>
    <w:unhideWhenUsed/>
    <w:rsid w:val="00C9186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C9186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56057056">
      <w:bodyDiv w:val="1"/>
      <w:marLeft w:val="0"/>
      <w:marRight w:val="0"/>
      <w:marTop w:val="0"/>
      <w:marBottom w:val="0"/>
      <w:divBdr>
        <w:top w:val="none" w:sz="0" w:space="0" w:color="auto"/>
        <w:left w:val="none" w:sz="0" w:space="0" w:color="auto"/>
        <w:bottom w:val="none" w:sz="0" w:space="0" w:color="auto"/>
        <w:right w:val="none" w:sz="0" w:space="0" w:color="auto"/>
      </w:divBdr>
    </w:div>
    <w:div w:id="545794691">
      <w:bodyDiv w:val="1"/>
      <w:marLeft w:val="0"/>
      <w:marRight w:val="0"/>
      <w:marTop w:val="0"/>
      <w:marBottom w:val="0"/>
      <w:divBdr>
        <w:top w:val="none" w:sz="0" w:space="0" w:color="auto"/>
        <w:left w:val="none" w:sz="0" w:space="0" w:color="auto"/>
        <w:bottom w:val="none" w:sz="0" w:space="0" w:color="auto"/>
        <w:right w:val="none" w:sz="0" w:space="0" w:color="auto"/>
      </w:divBdr>
    </w:div>
    <w:div w:id="722296787">
      <w:bodyDiv w:val="1"/>
      <w:marLeft w:val="0"/>
      <w:marRight w:val="0"/>
      <w:marTop w:val="0"/>
      <w:marBottom w:val="0"/>
      <w:divBdr>
        <w:top w:val="none" w:sz="0" w:space="0" w:color="auto"/>
        <w:left w:val="none" w:sz="0" w:space="0" w:color="auto"/>
        <w:bottom w:val="none" w:sz="0" w:space="0" w:color="auto"/>
        <w:right w:val="none" w:sz="0" w:space="0" w:color="auto"/>
      </w:divBdr>
    </w:div>
    <w:div w:id="1019241243">
      <w:bodyDiv w:val="1"/>
      <w:marLeft w:val="0"/>
      <w:marRight w:val="0"/>
      <w:marTop w:val="0"/>
      <w:marBottom w:val="0"/>
      <w:divBdr>
        <w:top w:val="none" w:sz="0" w:space="0" w:color="auto"/>
        <w:left w:val="none" w:sz="0" w:space="0" w:color="auto"/>
        <w:bottom w:val="none" w:sz="0" w:space="0" w:color="auto"/>
        <w:right w:val="none" w:sz="0" w:space="0" w:color="auto"/>
      </w:divBdr>
    </w:div>
    <w:div w:id="1070081536">
      <w:bodyDiv w:val="1"/>
      <w:marLeft w:val="0"/>
      <w:marRight w:val="0"/>
      <w:marTop w:val="0"/>
      <w:marBottom w:val="0"/>
      <w:divBdr>
        <w:top w:val="none" w:sz="0" w:space="0" w:color="auto"/>
        <w:left w:val="none" w:sz="0" w:space="0" w:color="auto"/>
        <w:bottom w:val="none" w:sz="0" w:space="0" w:color="auto"/>
        <w:right w:val="none" w:sz="0" w:space="0" w:color="auto"/>
      </w:divBdr>
    </w:div>
    <w:div w:id="1426800226">
      <w:bodyDiv w:val="1"/>
      <w:marLeft w:val="0"/>
      <w:marRight w:val="0"/>
      <w:marTop w:val="0"/>
      <w:marBottom w:val="0"/>
      <w:divBdr>
        <w:top w:val="none" w:sz="0" w:space="0" w:color="auto"/>
        <w:left w:val="none" w:sz="0" w:space="0" w:color="auto"/>
        <w:bottom w:val="none" w:sz="0" w:space="0" w:color="auto"/>
        <w:right w:val="none" w:sz="0" w:space="0" w:color="auto"/>
      </w:divBdr>
    </w:div>
    <w:div w:id="1597132595">
      <w:bodyDiv w:val="1"/>
      <w:marLeft w:val="0"/>
      <w:marRight w:val="0"/>
      <w:marTop w:val="0"/>
      <w:marBottom w:val="0"/>
      <w:divBdr>
        <w:top w:val="none" w:sz="0" w:space="0" w:color="auto"/>
        <w:left w:val="none" w:sz="0" w:space="0" w:color="auto"/>
        <w:bottom w:val="none" w:sz="0" w:space="0" w:color="auto"/>
        <w:right w:val="none" w:sz="0" w:space="0" w:color="auto"/>
      </w:divBdr>
    </w:div>
    <w:div w:id="208915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1719113/artigo-4-do-decreto-n-3298-de-20-de-dezembro-de-1999" TargetMode="External"/><Relationship Id="rId13" Type="http://schemas.openxmlformats.org/officeDocument/2006/relationships/hyperlink" Target="http://jota.info/feminicidio-breves-comentarios-a-lei-13-10415" TargetMode="External"/><Relationship Id="rId3" Type="http://schemas.openxmlformats.org/officeDocument/2006/relationships/settings" Target="settings.xml"/><Relationship Id="rId7" Type="http://schemas.openxmlformats.org/officeDocument/2006/relationships/hyperlink" Target="http://www.jusbrasil.com.br/topicos/11719242/artigo-3-do-decreto-n-3298-de-20-de-dezembro-de-1999" TargetMode="External"/><Relationship Id="rId12" Type="http://schemas.openxmlformats.org/officeDocument/2006/relationships/hyperlink" Target="http://www.rogeriogreco.com.br/?p=29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dizerodireito.com.br/2015/03/comentarios-ao-tipo-penal-do.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aurineybrito.jusbrasil.com.br/artigos/172479028/lei-do-feminicidio-entenda-o-que-mudou" TargetMode="External"/><Relationship Id="rId4" Type="http://schemas.openxmlformats.org/officeDocument/2006/relationships/webSettings" Target="webSettings.xml"/><Relationship Id="rId9" Type="http://schemas.openxmlformats.org/officeDocument/2006/relationships/hyperlink" Target="http://www.jusbrasil.com.br/legislacao/1033841/lei-dos-crimes-hediondos-lei-8072-90" TargetMode="External"/><Relationship Id="rId14" Type="http://schemas.openxmlformats.org/officeDocument/2006/relationships/hyperlink" Target="http://www.mpsp.mp.br/portal/page/portal/cao_criminal/Artigos/Primeiras%20impress%C3%B5es%20sobre%20o%20feminic%C3%ADdio.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rogeriogreco.com.br/?p=2906" TargetMode="External"/><Relationship Id="rId3" Type="http://schemas.openxmlformats.org/officeDocument/2006/relationships/hyperlink" Target="http://www.mpsp.mp.br/portal/page/portal/cao_criminal/Artigos/Primeiras%20impress%C3%B5es%20sobre%20o%20feminic%C3%ADdio.pdf" TargetMode="External"/><Relationship Id="rId7" Type="http://schemas.openxmlformats.org/officeDocument/2006/relationships/hyperlink" Target="http://www.dizerodireito.com.br/2015/03/comentarios-ao-tipo-penal-do.html" TargetMode="External"/><Relationship Id="rId2" Type="http://schemas.openxmlformats.org/officeDocument/2006/relationships/hyperlink" Target="http://www.mpsp.mp.br/portal/page/portal/cao_criminal/Artigos/Primeiras%20impress%C3%B5es%20sobre%20o%20feminic%C3%ADdio.pdf" TargetMode="External"/><Relationship Id="rId1" Type="http://schemas.openxmlformats.org/officeDocument/2006/relationships/hyperlink" Target="http://aurineybrito.jusbrasil.com.br/artigos/172479028/lei-do-feminicidio-entenda-o-que-mudou" TargetMode="External"/><Relationship Id="rId6" Type="http://schemas.openxmlformats.org/officeDocument/2006/relationships/hyperlink" Target="http://www.dizerodireito.com.br/2015/03/comentarios-ao-tipo-penal-do.html" TargetMode="External"/><Relationship Id="rId5" Type="http://schemas.openxmlformats.org/officeDocument/2006/relationships/hyperlink" Target="http://www.dizerodireito.com.br/2015/03/comentarios-ao-tipo-penal-do.html" TargetMode="External"/><Relationship Id="rId10" Type="http://schemas.openxmlformats.org/officeDocument/2006/relationships/hyperlink" Target="http://rogeriosanches2.jusbrasil.com.br/artigos/172946388/lei-do-feminicidio-breves-comentarios" TargetMode="External"/><Relationship Id="rId4" Type="http://schemas.openxmlformats.org/officeDocument/2006/relationships/hyperlink" Target="http://jota.info/feminicidio-breves-comentarios-a-lei-13-10415" TargetMode="External"/><Relationship Id="rId9" Type="http://schemas.openxmlformats.org/officeDocument/2006/relationships/hyperlink" Target="http://www.impetus.com.br/artigo/866/feminicidio---comentarios-sobre-a-lei-n-13104-de-9-de-marco-de-2015"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67DB-A75D-4FBB-A4BE-19E0EEEBD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13</Pages>
  <Words>4354</Words>
  <Characters>23516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dc:creator>
  <cp:lastModifiedBy>Camila</cp:lastModifiedBy>
  <cp:revision>12</cp:revision>
  <dcterms:created xsi:type="dcterms:W3CDTF">2015-12-02T01:12:00Z</dcterms:created>
  <dcterms:modified xsi:type="dcterms:W3CDTF">2016-07-08T18:08:00Z</dcterms:modified>
</cp:coreProperties>
</file>