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72" w:rsidRDefault="00B7194D" w:rsidP="00B71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F64939C" wp14:editId="207F8723">
            <wp:extent cx="2381250" cy="381000"/>
            <wp:effectExtent l="0" t="0" r="0" b="0"/>
            <wp:docPr id="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94D" w:rsidRDefault="00B7194D" w:rsidP="00B71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4D" w:rsidRDefault="00B7194D" w:rsidP="00B719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SINOPSE DO CASE: </w:t>
      </w:r>
      <w:r>
        <w:rPr>
          <w:rFonts w:ascii="Times New Roman" w:hAnsi="Times New Roman" w:cs="Times New Roman"/>
          <w:sz w:val="28"/>
          <w:szCs w:val="28"/>
        </w:rPr>
        <w:t>CONTROLE JUDICIAL DO VETO DO PRESIDENTE DA REPÚBLICA</w:t>
      </w:r>
      <w:r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B7194D" w:rsidRDefault="00B7194D" w:rsidP="00B719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94D" w:rsidRDefault="00B7194D" w:rsidP="00B71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Letícia Prazeres Falcão²</w:t>
      </w:r>
    </w:p>
    <w:p w:rsidR="00B7194D" w:rsidRDefault="00B7194D" w:rsidP="00B71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Cruz³</w:t>
      </w:r>
    </w:p>
    <w:p w:rsidR="00B7194D" w:rsidRDefault="00B7194D" w:rsidP="00B71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94D" w:rsidRDefault="00B7194D" w:rsidP="00B71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94D" w:rsidRDefault="00B7194D" w:rsidP="00B71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DESCRIÇÃO DO CASO</w:t>
      </w:r>
    </w:p>
    <w:p w:rsidR="00B7194D" w:rsidRDefault="00B7194D" w:rsidP="00B71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94D" w:rsidRDefault="00236C57" w:rsidP="00B71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presente caso envolve</w:t>
      </w:r>
      <w:r w:rsidR="00080365">
        <w:rPr>
          <w:rFonts w:ascii="Times New Roman" w:hAnsi="Times New Roman" w:cs="Times New Roman"/>
          <w:sz w:val="24"/>
          <w:szCs w:val="24"/>
        </w:rPr>
        <w:t xml:space="preserve"> a descoberta da região do </w:t>
      </w:r>
      <w:proofErr w:type="spellStart"/>
      <w:r w:rsidR="00080365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080365">
        <w:rPr>
          <w:rFonts w:ascii="Times New Roman" w:hAnsi="Times New Roman" w:cs="Times New Roman"/>
          <w:sz w:val="24"/>
          <w:szCs w:val="24"/>
        </w:rPr>
        <w:t>-sal pela Petrobrás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FFA">
        <w:rPr>
          <w:rFonts w:ascii="Times New Roman" w:hAnsi="Times New Roman" w:cs="Times New Roman"/>
          <w:sz w:val="24"/>
          <w:szCs w:val="24"/>
        </w:rPr>
        <w:t>a conduta da Presidente Dilma em vetar o pro</w:t>
      </w:r>
      <w:r w:rsidR="00080365">
        <w:rPr>
          <w:rFonts w:ascii="Times New Roman" w:hAnsi="Times New Roman" w:cs="Times New Roman"/>
          <w:sz w:val="24"/>
          <w:szCs w:val="24"/>
        </w:rPr>
        <w:t>jeto de lei ordinária nº 123/12. O</w:t>
      </w:r>
      <w:proofErr w:type="gramStart"/>
      <w:r w:rsidR="00080365">
        <w:rPr>
          <w:rFonts w:ascii="Times New Roman" w:hAnsi="Times New Roman" w:cs="Times New Roman"/>
          <w:sz w:val="24"/>
          <w:szCs w:val="24"/>
        </w:rPr>
        <w:t xml:space="preserve"> </w:t>
      </w:r>
      <w:r w:rsidR="00202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02FFA">
        <w:rPr>
          <w:rFonts w:ascii="Times New Roman" w:hAnsi="Times New Roman" w:cs="Times New Roman"/>
          <w:sz w:val="24"/>
          <w:szCs w:val="24"/>
        </w:rPr>
        <w:t xml:space="preserve">Deputado do PSDB </w:t>
      </w:r>
      <w:proofErr w:type="spellStart"/>
      <w:r w:rsidR="00202FFA">
        <w:rPr>
          <w:rFonts w:ascii="Times New Roman" w:hAnsi="Times New Roman" w:cs="Times New Roman"/>
          <w:sz w:val="24"/>
          <w:szCs w:val="24"/>
        </w:rPr>
        <w:t>Tício</w:t>
      </w:r>
      <w:proofErr w:type="spellEnd"/>
      <w:r w:rsidR="00080365">
        <w:rPr>
          <w:rFonts w:ascii="Times New Roman" w:hAnsi="Times New Roman" w:cs="Times New Roman"/>
          <w:sz w:val="24"/>
          <w:szCs w:val="24"/>
        </w:rPr>
        <w:t xml:space="preserve"> sugeriu por meio do projeto a mudança na repartição dos royalties, que seria uma </w:t>
      </w:r>
      <w:proofErr w:type="gramStart"/>
      <w:r w:rsidR="00080365">
        <w:rPr>
          <w:rFonts w:ascii="Times New Roman" w:hAnsi="Times New Roman" w:cs="Times New Roman"/>
          <w:sz w:val="24"/>
          <w:szCs w:val="24"/>
        </w:rPr>
        <w:t>espécie</w:t>
      </w:r>
      <w:proofErr w:type="gramEnd"/>
      <w:r w:rsidR="00080365">
        <w:rPr>
          <w:rFonts w:ascii="Times New Roman" w:hAnsi="Times New Roman" w:cs="Times New Roman"/>
          <w:sz w:val="24"/>
          <w:szCs w:val="24"/>
        </w:rPr>
        <w:t xml:space="preserve"> de contraprestação econômica com a qual os Estados pagam a União pelo direito de explorar os recursos minerais que são por lei do órgão federal. No projeto o deputado que grande parte da quantia referente à extração iria para os estados e municípios que lidam diretamente com este tipo de atividade </w:t>
      </w:r>
      <w:proofErr w:type="gramStart"/>
      <w:r w:rsidR="000803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80365">
        <w:rPr>
          <w:rFonts w:ascii="Times New Roman" w:hAnsi="Times New Roman" w:cs="Times New Roman"/>
          <w:sz w:val="24"/>
          <w:szCs w:val="24"/>
        </w:rPr>
        <w:t>os entes que exploram e fazem parte da extração), os demais entes ficariam com pequena parcela do valor dos royalties, uma vez que não lidam ou não possuem participação direta na exploração e extração do petróleo, seus derivados, e do recém descoberto “</w:t>
      </w:r>
      <w:proofErr w:type="spellStart"/>
      <w:r w:rsidR="00080365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080365">
        <w:rPr>
          <w:rFonts w:ascii="Times New Roman" w:hAnsi="Times New Roman" w:cs="Times New Roman"/>
          <w:sz w:val="24"/>
          <w:szCs w:val="24"/>
        </w:rPr>
        <w:t xml:space="preserve">-sal”. Os estados que não se envolvem deveriam ainda aplicar metade da verba na área da educação. </w:t>
      </w:r>
    </w:p>
    <w:p w:rsidR="00080365" w:rsidRDefault="00080365" w:rsidP="00B71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intenção do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clara: era preciso levar em conta os benefícios e malefícios que os estados produtores possuem dentro do ramo petrolífero, não podendo comparar assim com os demais entes da federação. Entretanto, ao chegar </w:t>
      </w:r>
      <w:proofErr w:type="gramStart"/>
      <w:r>
        <w:rPr>
          <w:rFonts w:ascii="Times New Roman" w:hAnsi="Times New Roman" w:cs="Times New Roman"/>
          <w:sz w:val="24"/>
          <w:szCs w:val="24"/>
        </w:rPr>
        <w:t>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mãos da Presidente Dilma, e esta levando em consideração que a Petrobrás é uma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marjoritariamente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perfil público</w:t>
      </w:r>
      <w:r w:rsidR="000D7CCC">
        <w:rPr>
          <w:rFonts w:ascii="Times New Roman" w:hAnsi="Times New Roman" w:cs="Times New Roman"/>
          <w:sz w:val="24"/>
          <w:szCs w:val="24"/>
        </w:rPr>
        <w:t xml:space="preserve">, a chefe do executivo afirma que a sociedade mesmo que de forma indireta participa do desenvolvimento da empresa e desta forma aceitar tal proposta legislativa seria de acordo com o art. 19,III, CF “ criar preferências entre os estados”, o que </w:t>
      </w:r>
      <w:r w:rsidR="000D7CCC">
        <w:rPr>
          <w:rFonts w:ascii="Times New Roman" w:hAnsi="Times New Roman" w:cs="Times New Roman"/>
          <w:sz w:val="24"/>
          <w:szCs w:val="24"/>
        </w:rPr>
        <w:lastRenderedPageBreak/>
        <w:t>vai de encontro com o princípio da isonomia. Ao vetar tal projeto de lei a presidente ainda acrescentou que a mesma era inconstitucional e feria o interesse público.</w:t>
      </w:r>
    </w:p>
    <w:p w:rsidR="00B12748" w:rsidRDefault="00B12748" w:rsidP="00B71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decorrência dos acontecimentos, o Governador do Rio de Janeiro considerando os prejuízos decorrente de tal 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da chefe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executivo, entrou em contato com o Procurador Geral da República para saber quais e se seriam possíveis medidas judiciais para reverter o veto da Presidente. O caso exposto aborda algumas questões importantes como: </w:t>
      </w:r>
      <w:r w:rsidR="00D65706">
        <w:rPr>
          <w:rFonts w:ascii="Times New Roman" w:hAnsi="Times New Roman" w:cs="Times New Roman"/>
          <w:sz w:val="24"/>
          <w:szCs w:val="24"/>
        </w:rPr>
        <w:t>a repartição de poderes (incluindo suas funções típicas e atípicas) e a própria relação de direito e política, afinal de contas falar de uma possível transcendência na atuação do Poder Judiciário é também analisar quais seriam os freios e contrapesos necessários para regulamentar tal atuação frente aos demais poderes da federação brasileira.</w:t>
      </w:r>
    </w:p>
    <w:p w:rsidR="00D65706" w:rsidRDefault="00D65706" w:rsidP="00B71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AD" w:rsidRDefault="00C54DAD" w:rsidP="00B719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IDENTIFICAÇÃO E ANÁLISE DO CASO</w:t>
      </w:r>
    </w:p>
    <w:p w:rsidR="00C54DAD" w:rsidRDefault="00C54DAD" w:rsidP="00B719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DAD" w:rsidRDefault="00C54DAD" w:rsidP="00C54DA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 POSSÍVEL O CONTROLE JUDICIAL DO VETO DA PRESIDENTE DA REPÚBLICA</w:t>
      </w:r>
    </w:p>
    <w:p w:rsidR="00C54DAD" w:rsidRDefault="00C54DAD" w:rsidP="00C54DA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DAD" w:rsidRDefault="00A4118C" w:rsidP="002C234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sabi</w:t>
      </w:r>
      <w:r w:rsidR="008363D4">
        <w:rPr>
          <w:rFonts w:ascii="Times New Roman" w:hAnsi="Times New Roman" w:cs="Times New Roman"/>
          <w:sz w:val="24"/>
          <w:szCs w:val="24"/>
        </w:rPr>
        <w:t>do</w:t>
      </w:r>
      <w:r w:rsidR="00B57310">
        <w:rPr>
          <w:rFonts w:ascii="Times New Roman" w:hAnsi="Times New Roman" w:cs="Times New Roman"/>
          <w:sz w:val="24"/>
          <w:szCs w:val="24"/>
        </w:rPr>
        <w:t xml:space="preserve"> que</w:t>
      </w:r>
      <w:r w:rsidR="008363D4">
        <w:rPr>
          <w:rFonts w:ascii="Times New Roman" w:hAnsi="Times New Roman" w:cs="Times New Roman"/>
          <w:sz w:val="24"/>
          <w:szCs w:val="24"/>
        </w:rPr>
        <w:t xml:space="preserve"> </w:t>
      </w:r>
      <w:r w:rsidR="00D210EC">
        <w:rPr>
          <w:rFonts w:ascii="Times New Roman" w:hAnsi="Times New Roman" w:cs="Times New Roman"/>
          <w:sz w:val="24"/>
          <w:szCs w:val="24"/>
        </w:rPr>
        <w:t>o</w:t>
      </w:r>
      <w:r w:rsidR="002C2345">
        <w:rPr>
          <w:rFonts w:ascii="Times New Roman" w:hAnsi="Times New Roman" w:cs="Times New Roman"/>
          <w:sz w:val="24"/>
          <w:szCs w:val="24"/>
        </w:rPr>
        <w:t xml:space="preserve"> princípio da Separação de Poderes, defendido por Montesquieu</w:t>
      </w:r>
      <w:r w:rsidR="00D210EC">
        <w:rPr>
          <w:rFonts w:ascii="Times New Roman" w:hAnsi="Times New Roman" w:cs="Times New Roman"/>
          <w:sz w:val="24"/>
          <w:szCs w:val="24"/>
        </w:rPr>
        <w:t>,</w:t>
      </w:r>
      <w:r w:rsidR="002C2345">
        <w:rPr>
          <w:rFonts w:ascii="Times New Roman" w:hAnsi="Times New Roman" w:cs="Times New Roman"/>
          <w:sz w:val="24"/>
          <w:szCs w:val="24"/>
        </w:rPr>
        <w:t xml:space="preserve"> visa </w:t>
      </w:r>
      <w:proofErr w:type="gramStart"/>
      <w:r w:rsidR="002C23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2345">
        <w:rPr>
          <w:rFonts w:ascii="Times New Roman" w:hAnsi="Times New Roman" w:cs="Times New Roman"/>
          <w:sz w:val="24"/>
          <w:szCs w:val="24"/>
        </w:rPr>
        <w:t xml:space="preserve"> repar</w:t>
      </w:r>
      <w:r w:rsidR="00D210EC">
        <w:rPr>
          <w:rFonts w:ascii="Times New Roman" w:hAnsi="Times New Roman" w:cs="Times New Roman"/>
          <w:sz w:val="24"/>
          <w:szCs w:val="24"/>
        </w:rPr>
        <w:t>tição dos mesmos dentro de suas respectivas esferas de atuação, viabilizando a liberdade de um quanto ao outro</w:t>
      </w:r>
      <w:r w:rsidR="001F4FDB">
        <w:rPr>
          <w:rFonts w:ascii="Times New Roman" w:hAnsi="Times New Roman" w:cs="Times New Roman"/>
          <w:sz w:val="24"/>
          <w:szCs w:val="24"/>
        </w:rPr>
        <w:t>, acarretando assim na não</w:t>
      </w:r>
      <w:r w:rsidR="00D210EC">
        <w:rPr>
          <w:rFonts w:ascii="Times New Roman" w:hAnsi="Times New Roman" w:cs="Times New Roman"/>
          <w:sz w:val="24"/>
          <w:szCs w:val="24"/>
        </w:rPr>
        <w:t xml:space="preserve"> intervenção entre as forças executivas, legislativas e judiciárias. Ocorre que tal separação não deveria ser vista rigorosamente como a</w:t>
      </w:r>
      <w:r w:rsidR="001F4FDB">
        <w:rPr>
          <w:rFonts w:ascii="Times New Roman" w:hAnsi="Times New Roman" w:cs="Times New Roman"/>
          <w:sz w:val="24"/>
          <w:szCs w:val="24"/>
        </w:rPr>
        <w:t xml:space="preserve"> total</w:t>
      </w:r>
      <w:r w:rsidR="00D210EC">
        <w:rPr>
          <w:rFonts w:ascii="Times New Roman" w:hAnsi="Times New Roman" w:cs="Times New Roman"/>
          <w:sz w:val="24"/>
          <w:szCs w:val="24"/>
        </w:rPr>
        <w:t xml:space="preserve"> desvinculação dos poderes de um Estado Democrático de Direito, e sim como uma forma de regulamentação, uma organização didática para que os poderes dentro de suas especificidades conseguissem </w:t>
      </w:r>
      <w:proofErr w:type="gramStart"/>
      <w:r w:rsidR="00D210EC">
        <w:rPr>
          <w:rFonts w:ascii="Times New Roman" w:hAnsi="Times New Roman" w:cs="Times New Roman"/>
          <w:sz w:val="24"/>
          <w:szCs w:val="24"/>
        </w:rPr>
        <w:t>conciliar suas atuações em prol de um objetivo único</w:t>
      </w:r>
      <w:proofErr w:type="gramEnd"/>
      <w:r w:rsidR="00D210EC">
        <w:rPr>
          <w:rFonts w:ascii="Times New Roman" w:hAnsi="Times New Roman" w:cs="Times New Roman"/>
          <w:sz w:val="24"/>
          <w:szCs w:val="24"/>
        </w:rPr>
        <w:t xml:space="preserve">. Paulo Bonavides ao tratar dos pensamentos de Montesquieu afirma que “os poderes, assim descriminados, são a garantia da liberdade política” </w:t>
      </w:r>
      <w:r w:rsidR="001F4F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F4FDB">
        <w:rPr>
          <w:rFonts w:ascii="Times New Roman" w:hAnsi="Times New Roman" w:cs="Times New Roman"/>
          <w:sz w:val="24"/>
          <w:szCs w:val="24"/>
        </w:rPr>
        <w:t>2010,</w:t>
      </w:r>
      <w:proofErr w:type="gramEnd"/>
      <w:r w:rsidR="001F4FDB">
        <w:rPr>
          <w:rFonts w:ascii="Times New Roman" w:hAnsi="Times New Roman" w:cs="Times New Roman"/>
          <w:sz w:val="24"/>
          <w:szCs w:val="24"/>
        </w:rPr>
        <w:t>p.290), da mesma forma que acrescenta ao dizer que tal liberdade  “do ponto de vista político, cumpre torna-la com respeito ao cidadão e com respeito à Constituição” (2010,p.291), desta forma é possível concluir que o Poder Judiciário em prol do objetivo comum descrito acima (uma competência de cunho vertical entre os entes) poderia chamar para si a transcendência de suas funções típicas e assim preservar os escopos do Estado Democrático de Direito, bem como a supremacia da Constituição enquanto norma maior.</w:t>
      </w:r>
    </w:p>
    <w:p w:rsidR="001F4FDB" w:rsidRDefault="00FB64B4" w:rsidP="002C234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Partindo deste pressuposto seria possível então um controle judicial na ação de outras forças democráticas, seja por meio da defesa da norma suprema ou em respeito à sociedade brasileira.</w:t>
      </w:r>
      <w:r w:rsidR="00CD5653">
        <w:rPr>
          <w:rFonts w:ascii="Times New Roman" w:hAnsi="Times New Roman" w:cs="Times New Roman"/>
          <w:sz w:val="24"/>
          <w:szCs w:val="24"/>
        </w:rPr>
        <w:t xml:space="preserve"> Mesmo não havendo uma eleição direta dos membros do Judiciário por </w:t>
      </w:r>
      <w:r w:rsidR="00CD5653">
        <w:rPr>
          <w:rFonts w:ascii="Times New Roman" w:hAnsi="Times New Roman" w:cs="Times New Roman"/>
          <w:sz w:val="24"/>
          <w:szCs w:val="24"/>
        </w:rPr>
        <w:lastRenderedPageBreak/>
        <w:t xml:space="preserve">meio de eleições, Friedrich Muller diz que haveria assim uma dinamicidade, uma rotação da legitimidade, que em uma ponta desse ciclo chegaria ao Poder </w:t>
      </w:r>
      <w:proofErr w:type="gramStart"/>
      <w:r w:rsidR="00CD5653">
        <w:rPr>
          <w:rFonts w:ascii="Times New Roman" w:hAnsi="Times New Roman" w:cs="Times New Roman"/>
          <w:sz w:val="24"/>
          <w:szCs w:val="24"/>
        </w:rPr>
        <w:t>Judiciário(</w:t>
      </w:r>
      <w:proofErr w:type="gramEnd"/>
      <w:r w:rsidR="00CD5653">
        <w:rPr>
          <w:rFonts w:ascii="Times New Roman" w:hAnsi="Times New Roman" w:cs="Times New Roman"/>
          <w:sz w:val="24"/>
          <w:szCs w:val="24"/>
        </w:rPr>
        <w:t xml:space="preserve"> 2013,p.56).</w:t>
      </w:r>
      <w:r>
        <w:rPr>
          <w:rFonts w:ascii="Times New Roman" w:hAnsi="Times New Roman" w:cs="Times New Roman"/>
          <w:sz w:val="24"/>
          <w:szCs w:val="24"/>
        </w:rPr>
        <w:t xml:space="preserve"> Luís Roberto Barroso </w:t>
      </w:r>
      <w:r w:rsidR="00F920F5">
        <w:rPr>
          <w:rFonts w:ascii="Times New Roman" w:hAnsi="Times New Roman" w:cs="Times New Roman"/>
          <w:sz w:val="24"/>
          <w:szCs w:val="24"/>
        </w:rPr>
        <w:t xml:space="preserve">faz a correlação entre a vontade popular e atuação judicial ao dizer que “de fato, a legitimidade democrática do Judiciário, sobretudo quando interpreta a Constituição, está associada à sua capacidade de corresponder ao sentimento social” (2013, p. 442). </w:t>
      </w:r>
      <w:r w:rsidR="001F4FDB">
        <w:rPr>
          <w:rFonts w:ascii="Times New Roman" w:hAnsi="Times New Roman" w:cs="Times New Roman"/>
          <w:sz w:val="24"/>
          <w:szCs w:val="24"/>
        </w:rPr>
        <w:t>O veto da presidente embora possua como fundamento a preservação do tratamento isonômico entre os entes, acaba po</w:t>
      </w:r>
      <w:r w:rsidR="004A75B3">
        <w:rPr>
          <w:rFonts w:ascii="Times New Roman" w:hAnsi="Times New Roman" w:cs="Times New Roman"/>
          <w:sz w:val="24"/>
          <w:szCs w:val="24"/>
        </w:rPr>
        <w:t xml:space="preserve">r gerar um efeito não desejado: aqui não se trata de criar benefícios ou regalias entre Estados e Municípios, mas sim a necessidade de se tratar diferentemente os diferentes para atingir certa igualdade. Impedir tal </w:t>
      </w:r>
      <w:r w:rsidR="00CA4BC9">
        <w:rPr>
          <w:rFonts w:ascii="Times New Roman" w:hAnsi="Times New Roman" w:cs="Times New Roman"/>
          <w:sz w:val="24"/>
          <w:szCs w:val="24"/>
        </w:rPr>
        <w:t xml:space="preserve">singularidade nas ações dos entes é ir de encontro à um dos preceitos fundamentais do país: a garantia do desenvolvimento nacional. O veto estaria portanto </w:t>
      </w:r>
      <w:proofErr w:type="spellStart"/>
      <w:r w:rsidR="00CA4BC9">
        <w:rPr>
          <w:rFonts w:ascii="Times New Roman" w:hAnsi="Times New Roman" w:cs="Times New Roman"/>
          <w:sz w:val="24"/>
          <w:szCs w:val="24"/>
        </w:rPr>
        <w:t>obstacularizando</w:t>
      </w:r>
      <w:proofErr w:type="spellEnd"/>
      <w:r w:rsidR="00CA4BC9">
        <w:rPr>
          <w:rFonts w:ascii="Times New Roman" w:hAnsi="Times New Roman" w:cs="Times New Roman"/>
          <w:sz w:val="24"/>
          <w:szCs w:val="24"/>
        </w:rPr>
        <w:t xml:space="preserve"> os Estados produtores e exploradores de petróleo de colaborarem para o crescimento do país, o tratamento desigual se faz necessário para que seja at</w:t>
      </w:r>
      <w:r>
        <w:rPr>
          <w:rFonts w:ascii="Times New Roman" w:hAnsi="Times New Roman" w:cs="Times New Roman"/>
          <w:sz w:val="24"/>
          <w:szCs w:val="24"/>
        </w:rPr>
        <w:t>ingido o desenvolvimento comum  e o atendimen</w:t>
      </w:r>
      <w:r w:rsidR="005227C1">
        <w:rPr>
          <w:rFonts w:ascii="Times New Roman" w:hAnsi="Times New Roman" w:cs="Times New Roman"/>
          <w:sz w:val="24"/>
          <w:szCs w:val="24"/>
        </w:rPr>
        <w:t>to  das solicitações sociais.</w:t>
      </w:r>
    </w:p>
    <w:p w:rsidR="00480F8F" w:rsidRDefault="00F96362" w:rsidP="00F920F5">
      <w:pPr>
        <w:pStyle w:val="PargrafodaLista"/>
        <w:tabs>
          <w:tab w:val="right" w:pos="907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não havendo de forma imediata um instrumento que sirva para fazer esse controle judicial, o que mais se aprox</w:t>
      </w:r>
      <w:r w:rsidR="005F6789">
        <w:rPr>
          <w:rFonts w:ascii="Times New Roman" w:hAnsi="Times New Roman" w:cs="Times New Roman"/>
          <w:sz w:val="24"/>
          <w:szCs w:val="24"/>
        </w:rPr>
        <w:t>ima, ou o que mais seria viável ou</w:t>
      </w:r>
      <w:r>
        <w:rPr>
          <w:rFonts w:ascii="Times New Roman" w:hAnsi="Times New Roman" w:cs="Times New Roman"/>
          <w:sz w:val="24"/>
          <w:szCs w:val="24"/>
        </w:rPr>
        <w:t xml:space="preserve"> adequado seria a </w:t>
      </w:r>
      <w:r w:rsidR="006C34E8">
        <w:rPr>
          <w:rFonts w:ascii="Times New Roman" w:hAnsi="Times New Roman" w:cs="Times New Roman"/>
          <w:sz w:val="24"/>
          <w:szCs w:val="24"/>
        </w:rPr>
        <w:t>impetração de uma Arguição de Descumprimento de P</w:t>
      </w:r>
      <w:r w:rsidR="0056591F">
        <w:rPr>
          <w:rFonts w:ascii="Times New Roman" w:hAnsi="Times New Roman" w:cs="Times New Roman"/>
          <w:sz w:val="24"/>
          <w:szCs w:val="24"/>
        </w:rPr>
        <w:t>receito Fundamental (</w:t>
      </w:r>
      <w:r w:rsidR="006C34E8">
        <w:rPr>
          <w:rFonts w:ascii="Times New Roman" w:hAnsi="Times New Roman" w:cs="Times New Roman"/>
          <w:sz w:val="24"/>
          <w:szCs w:val="24"/>
        </w:rPr>
        <w:t>ADPF), em que há segundo o autor Bernardo Gonçalves (2012, p.1205) a intenção de recompor ou conter a violação de preceito fundamental constitucional por parte de ato do Poder Público, se fazendo assim de acordo com a classificação doutrinária a n</w:t>
      </w:r>
      <w:r w:rsidR="00AA7051">
        <w:rPr>
          <w:rFonts w:ascii="Times New Roman" w:hAnsi="Times New Roman" w:cs="Times New Roman"/>
          <w:sz w:val="24"/>
          <w:szCs w:val="24"/>
        </w:rPr>
        <w:t>ecessidade de uma ADPF autônoma com julgamento no Supremo Tribunal Federal.</w:t>
      </w:r>
      <w:r w:rsidR="006C34E8">
        <w:rPr>
          <w:rFonts w:ascii="Times New Roman" w:hAnsi="Times New Roman" w:cs="Times New Roman"/>
          <w:sz w:val="24"/>
          <w:szCs w:val="24"/>
        </w:rPr>
        <w:t xml:space="preserve"> </w:t>
      </w:r>
      <w:r w:rsidR="0056591F">
        <w:rPr>
          <w:rFonts w:ascii="Times New Roman" w:hAnsi="Times New Roman" w:cs="Times New Roman"/>
          <w:sz w:val="24"/>
          <w:szCs w:val="24"/>
        </w:rPr>
        <w:t xml:space="preserve"> O próprio Governador do Rio de Janeiro, que pediu explicações para o Procurador Geral da República, poderia ser legitimado ativo para ajuizar tal arguição, se fazendo mister a necessidade de demonstração do interesse específico de agir, a “ pertinência temática”</w:t>
      </w:r>
      <w:r w:rsidR="00A007F0">
        <w:rPr>
          <w:rFonts w:ascii="Times New Roman" w:hAnsi="Times New Roman" w:cs="Times New Roman"/>
          <w:sz w:val="24"/>
          <w:szCs w:val="24"/>
        </w:rPr>
        <w:t xml:space="preserve"> , possuindo a decisão contra o ato de Poder Público efeitos </w:t>
      </w:r>
      <w:proofErr w:type="spellStart"/>
      <w:r w:rsidR="00A007F0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A0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F0">
        <w:rPr>
          <w:rFonts w:ascii="Times New Roman" w:hAnsi="Times New Roman" w:cs="Times New Roman"/>
          <w:sz w:val="24"/>
          <w:szCs w:val="24"/>
        </w:rPr>
        <w:t>tunc</w:t>
      </w:r>
      <w:proofErr w:type="spellEnd"/>
      <w:r w:rsidR="00A007F0">
        <w:rPr>
          <w:rFonts w:ascii="Times New Roman" w:hAnsi="Times New Roman" w:cs="Times New Roman"/>
          <w:sz w:val="24"/>
          <w:szCs w:val="24"/>
        </w:rPr>
        <w:t xml:space="preserve">, </w:t>
      </w:r>
      <w:r w:rsidR="00A007F0">
        <w:rPr>
          <w:rFonts w:ascii="Times New Roman" w:hAnsi="Times New Roman" w:cs="Times New Roman"/>
          <w:i/>
          <w:sz w:val="24"/>
          <w:szCs w:val="24"/>
        </w:rPr>
        <w:t>erga omnes</w:t>
      </w:r>
      <w:r w:rsidR="00A007F0">
        <w:rPr>
          <w:rFonts w:ascii="Times New Roman" w:hAnsi="Times New Roman" w:cs="Times New Roman"/>
          <w:sz w:val="24"/>
          <w:szCs w:val="24"/>
        </w:rPr>
        <w:t xml:space="preserve"> e efeitos vinculantes. </w:t>
      </w:r>
      <w:r w:rsidR="000D43AA">
        <w:rPr>
          <w:rFonts w:ascii="Times New Roman" w:hAnsi="Times New Roman" w:cs="Times New Roman"/>
          <w:sz w:val="24"/>
          <w:szCs w:val="24"/>
        </w:rPr>
        <w:t>Deputado Federal poderia também entrar com uma ADPF, todavia deveria entrar por meio de seu partido, o partido político de âmbito nacional, formando assim outra possibilidade de legitimado ativo para impetrar uma ADPF e ter como nulo o veto da presidente Dilma.</w:t>
      </w:r>
      <w:proofErr w:type="gramStart"/>
      <w:r w:rsidR="00F920F5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AA7051" w:rsidRDefault="00AA7051" w:rsidP="00AA705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AA7051" w:rsidRDefault="00AA7051" w:rsidP="00AA705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  <w:r w:rsidRPr="00AA705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 xml:space="preserve">Quantitativo de </w:t>
      </w:r>
      <w:proofErr w:type="spellStart"/>
      <w:r w:rsidRPr="00AA705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ADPF's</w:t>
      </w:r>
      <w:proofErr w:type="spellEnd"/>
      <w:r w:rsidRPr="00AA705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 xml:space="preserve"> por Legitimado</w:t>
      </w:r>
    </w:p>
    <w:p w:rsidR="00AA7051" w:rsidRPr="00AA7051" w:rsidRDefault="00AA7051" w:rsidP="00AA705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t-BR"/>
        </w:rPr>
        <w:t xml:space="preserve">Data de Atualização: 30/03/14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AA7051" w:rsidTr="00AA7051">
        <w:tc>
          <w:tcPr>
            <w:tcW w:w="3070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070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Qtd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Processos</w:t>
            </w:r>
          </w:p>
        </w:tc>
        <w:tc>
          <w:tcPr>
            <w:tcW w:w="3071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Porcentagem</w:t>
            </w:r>
          </w:p>
        </w:tc>
      </w:tr>
      <w:tr w:rsidR="00AA7051" w:rsidTr="00AA7051">
        <w:tc>
          <w:tcPr>
            <w:tcW w:w="3070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PARTIDO DA SOCIAL DEMOCRACIA BRASILEIRA-PSDB</w:t>
            </w:r>
          </w:p>
        </w:tc>
        <w:tc>
          <w:tcPr>
            <w:tcW w:w="3070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3071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2,17%</w:t>
            </w:r>
          </w:p>
        </w:tc>
      </w:tr>
      <w:tr w:rsidR="00AA7051" w:rsidTr="00AA7051">
        <w:tc>
          <w:tcPr>
            <w:tcW w:w="3070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GOVERNARDOS DO ESTADO DO RIO DE JANEIRO</w:t>
            </w:r>
          </w:p>
        </w:tc>
        <w:tc>
          <w:tcPr>
            <w:tcW w:w="3070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071" w:type="dxa"/>
          </w:tcPr>
          <w:p w:rsidR="00AA7051" w:rsidRDefault="00AA7051" w:rsidP="00AA7051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0,31%</w:t>
            </w:r>
          </w:p>
        </w:tc>
      </w:tr>
    </w:tbl>
    <w:p w:rsidR="00AA7051" w:rsidRPr="00AA7051" w:rsidRDefault="00AA7051" w:rsidP="00AA705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t-BR"/>
        </w:rPr>
      </w:pPr>
    </w:p>
    <w:p w:rsidR="00AA7051" w:rsidRDefault="00AA7051" w:rsidP="00AA705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FFFF"/>
          <w:sz w:val="18"/>
          <w:szCs w:val="18"/>
          <w:lang w:eastAsia="pt-BR"/>
        </w:rPr>
      </w:pPr>
      <w:r w:rsidRPr="00AA7051">
        <w:rPr>
          <w:rFonts w:ascii="Arial" w:eastAsia="Times New Roman" w:hAnsi="Arial" w:cs="Arial"/>
          <w:b/>
          <w:bCs/>
          <w:color w:val="FFFFFF"/>
          <w:sz w:val="18"/>
          <w:szCs w:val="18"/>
          <w:lang w:eastAsia="pt-BR"/>
        </w:rPr>
        <w:t>Nome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  <w:lang w:eastAsia="pt-BR"/>
        </w:rPr>
        <w:t xml:space="preserve">                                                </w:t>
      </w:r>
      <w:r w:rsidR="00F063D9">
        <w:rPr>
          <w:rFonts w:ascii="Arial" w:eastAsia="Times New Roman" w:hAnsi="Arial" w:cs="Arial"/>
          <w:b/>
          <w:bCs/>
          <w:color w:val="FFFFFF"/>
          <w:sz w:val="18"/>
          <w:szCs w:val="18"/>
          <w:lang w:eastAsia="pt-BR"/>
        </w:rPr>
        <w:t xml:space="preserve">                           D</w:t>
      </w:r>
    </w:p>
    <w:p w:rsidR="00F920F5" w:rsidRPr="00CD5653" w:rsidRDefault="00F063D9" w:rsidP="00CD565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  <w:lang w:eastAsia="pt-BR"/>
        </w:rPr>
        <w:t>FF</w:t>
      </w:r>
      <w: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t-BR"/>
        </w:rPr>
        <w:t>FONTE: SITE DO STF- ESTATÍSTICAS DO STF- CONTROLE CONCENTRADO-ADPF- DOWNL</w:t>
      </w:r>
      <w:r w:rsidR="00CD565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t-BR"/>
        </w:rPr>
        <w:t>OADS-QUANTITATIVO POR LEGIMITADE</w:t>
      </w:r>
    </w:p>
    <w:p w:rsidR="00F86E95" w:rsidRDefault="00F86E95" w:rsidP="00F86E9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F86E95" w:rsidRDefault="00F86E95" w:rsidP="00F86E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  <w:proofErr w:type="gramStart"/>
      <w:r w:rsidR="00051E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proofErr w:type="gramEnd"/>
      <w:r w:rsidR="00051E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notório que os atos políticos são atos manifestantes de uma vontade, são atos discricionários em que determinado órgão ou entidade emana</w:t>
      </w:r>
      <w:r w:rsidR="002724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ordens e atividades</w:t>
      </w:r>
      <w:r w:rsidR="00051E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acordo com seus critérios e fundamentos. O</w:t>
      </w:r>
      <w:r w:rsidR="00667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Direito perante a atuação e poder de um Estado é utilizado como instrumento de regulação e organização da sociedade, </w:t>
      </w:r>
      <w:r w:rsidR="00051E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667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caso do Estado Democrático de Direito Brasileiro, a atividade judicial </w:t>
      </w:r>
      <w:r w:rsidR="002724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 ser vista como</w:t>
      </w:r>
      <w:r w:rsidR="00667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feita pela e para a sociedade, uma vez que a mesma é que orie</w:t>
      </w:r>
      <w:r w:rsidR="00051E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nta e conduz o Direito em meio à</w:t>
      </w:r>
      <w:r w:rsidR="00667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dinam</w:t>
      </w:r>
      <w:r w:rsidR="00051E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icidades do mundo globalizado (</w:t>
      </w:r>
      <w:r w:rsidR="00667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atraindo para a área jurídica novas discussões) e pode ser considerada com destino final das resoluções de conflitos.</w:t>
      </w:r>
      <w:r w:rsidR="002724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Luís Roberto Barroso ao tratar sobre o tema diz que “essa </w:t>
      </w:r>
      <w:r w:rsidR="002724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supremacia judicial</w:t>
      </w:r>
      <w:r w:rsidR="002724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quanto à determinação do que é o direito envolve, por evidente, o exercício de um poder político, com todas as suas implicações para a legitimidade democrática” (</w:t>
      </w:r>
      <w:proofErr w:type="gramStart"/>
      <w:r w:rsidR="002724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2013,</w:t>
      </w:r>
      <w:proofErr w:type="gramEnd"/>
      <w:r w:rsidR="002724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p.424), assim</w:t>
      </w:r>
      <w:r w:rsidR="00667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24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678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relação entre direito e política pode ser interpretada como uma relação de manifestação de vontades, em que atos políticos em regra necessitam do aparato judicial para resguardarem-se </w:t>
      </w:r>
      <w:r w:rsidR="002724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fazerem valer os escopos pelos quais se espelham sejam eles proteção a direitos fundamentais, à manutenção do estado federativo ou proteção das chamadas cláusulas pétreas.</w:t>
      </w:r>
    </w:p>
    <w:p w:rsidR="00F96362" w:rsidRDefault="0027244C" w:rsidP="00F86E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A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judicialização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447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afirma Barroso (</w:t>
      </w:r>
      <w:proofErr w:type="gramStart"/>
      <w:r w:rsidR="00447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2010,</w:t>
      </w:r>
      <w:proofErr w:type="gramEnd"/>
      <w:r w:rsidR="00447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p.11) seria então a transcendência de debates de outras áreas para o universo jurídico, e este enquanto instrumento para manutenção e salvaguarda do texto constitucional, assume um papel político em nome do Estado, colaborando para o efetivo controle de atos do Poder Público que contrariam princípios constitucionais. O controle judicial de um veto não deixa de ser um controle de cunho jurídico</w:t>
      </w:r>
      <w:r w:rsidR="00B21D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47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mas que possui uma essência política, afinal o caso debatido trata</w:t>
      </w:r>
      <w:r w:rsidR="00B21D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</w:t>
      </w:r>
      <w:r w:rsidR="00447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desenvolvimento de entes federados, trata-se de crescimentos de cunho econômico e social que tal empreendimento petrolífero e suas rendas po</w:t>
      </w:r>
      <w:r w:rsidR="00B21D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dem acarretar na vida da sociedade local e regional.</w:t>
      </w:r>
      <w:r w:rsidR="00D263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823533" w:rsidRDefault="009972EB" w:rsidP="00F86E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Ainda na ideia de que a legitimidade para o controle judicial nasce tanto de dentro quanto de fora do sistema constitucional, Habermas diz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essa competência atinge a separação de funções do Estado, porém se justifica, plausivelmente, a partir da necessidade técnico-constitucional de solucionar conflitos entre os órgãos estatais que dependem de um entrosamento” (1997,p. 300). Um controle judicial em ato político se faria admissível </w:t>
      </w:r>
      <w:r w:rsidR="009A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busca de tal mescla, de tal transação de funções para atingir os fins </w:t>
      </w:r>
      <w:proofErr w:type="gramStart"/>
      <w:r w:rsidR="009A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constitucionais(</w:t>
      </w:r>
      <w:proofErr w:type="gramEnd"/>
      <w:r w:rsidR="009A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relação de meios e fins), poderia ser realizado ainda uma espécie de análise de proporcionalidade, passando por todas as fases de tal processo e chegar-se a conclusão de que por meio judicial o controle seria mais adequado, necessário e proporcionalmente mais viável.</w:t>
      </w:r>
      <w:r w:rsidR="00B21D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8877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7244C" w:rsidRDefault="0027244C" w:rsidP="00F86E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244C" w:rsidRDefault="001C760F" w:rsidP="001C760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C7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NÃO É POSSÍVEL O CONTROLE JUDICIAL DO VETO DA PRESIDENTE DA REPÚBLICA</w:t>
      </w:r>
      <w:r w:rsidR="0027244C" w:rsidRPr="001C7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2B7B00" w:rsidRDefault="002B7B00" w:rsidP="002B7B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E617D" w:rsidRDefault="002B7B00" w:rsidP="002B7B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Tratar sobre legalidade e legitimidade pode ser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possível se  a primeira consistir na legitimidade porém estendida, amplificada pela valorização, além das normas vigentes há um reconhecimento, um consentimento por parte dos indivíduos (BONAVIDES, 2002). Max Weber</w:t>
      </w:r>
      <w:r w:rsidR="008270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474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(Economia e sociedade, 2004)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acrescenta um ponto importante no conceito de legitimidade ao dizer que a mesma ocorreria mais por meio da adesão, pela aprovação, pela vontade comum da sociedade, do que pelo uso da força ou da obrigação, assim</w:t>
      </w:r>
      <w:r w:rsidR="008D432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fato da Constituição ser norma suprema</w:t>
      </w:r>
      <w:r w:rsidR="00164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determinados momentos atribuir ao Poder Judiciário a possibilidade de controlar atos de outros poderes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seja por meio de mandado de segurança, ação popular ou ADP</w:t>
      </w:r>
      <w:r w:rsidR="00164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F), isso por si só não quer dizer que o mesmo possui legitimidade</w:t>
      </w:r>
      <w:r w:rsidR="00A02A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presente caso</w:t>
      </w:r>
      <w:r w:rsidR="00164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seja o consentimento popular para tal atividade. Embora haja um reconhecimento,</w:t>
      </w:r>
      <w:r w:rsidR="00A979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autorização legal (</w:t>
      </w:r>
      <w:r w:rsidR="00164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aqui vale ressaltar, uma autorização da Lei, da Carta Maior de um Estado), não existe seja de forma direta ou indireta o consentimento popular, afinal os membros do judiciário não são e</w:t>
      </w:r>
      <w:r w:rsidR="008D432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leitos</w:t>
      </w:r>
      <w:r w:rsidR="00164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população.</w:t>
      </w:r>
    </w:p>
    <w:p w:rsidR="00164D5F" w:rsidRDefault="00164D5F" w:rsidP="00164D5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Barroso ao realizar uma análise político-ideológica so</w:t>
      </w:r>
      <w:r w:rsidR="00A02A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bre o tema reforçar ao dizer que</w:t>
      </w:r>
    </w:p>
    <w:p w:rsidR="00164D5F" w:rsidRDefault="00164D5F" w:rsidP="00105C2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4D5F" w:rsidRPr="00164D5F" w:rsidRDefault="00164D5F" w:rsidP="00164D5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64D5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Juízes e membros dos tribunais não são agentes políticos eleitos. Sua investidura não tem o batismo da vontade popular. Nada obstante isso, quando invalida atos do Legislativo ou do Executivo ou impõem-lhe deveres de 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uação, o Judiciário desempenha </w:t>
      </w:r>
      <w:r w:rsidRPr="00164D5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um papel que é inequivocamente político.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Constituição, Democracia e Supremacia Judicial: Direito e Política no Brasil Contemporâneo, p.12)</w:t>
      </w:r>
    </w:p>
    <w:p w:rsidR="00164D5F" w:rsidRDefault="00164D5F" w:rsidP="00164D5F">
      <w:pPr>
        <w:spacing w:after="0" w:line="360" w:lineRule="auto"/>
        <w:ind w:left="340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5934" w:rsidRDefault="00BA5934" w:rsidP="00164D5F">
      <w:pPr>
        <w:spacing w:after="0" w:line="360" w:lineRule="auto"/>
        <w:ind w:left="340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5934" w:rsidRDefault="00BA5934" w:rsidP="00BA59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76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sabido que o princípio da Separação de Poderes embora implique em uma correspondência 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tre certa independência e harmonia entre as forças, não implica na preponderância de um poder sobre o outro, em qualquer aspecto, sobre qualquer momento. Embora a Constituição Federal seja feita para resguardar direitos fundamentais,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federalismo e princípios básicos do Estado Democrático de Direito, a mesma deve servir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povo, e este por meio da eleição (processo de natureza legal/político) entrega poderes ao poder Legislativo. Não há a supremacia legislativa e sim a repartição de competências de acordo com as funções típicas de cada ente. Carlos Mesquita diz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função ética da política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eliminar, numa ponta, os privilégios de poucos; na outra ponta, as carências de muitos” (Ética, moral, política e cidadania, 2012).  Os poderes, e aqui vale ressaltar o Poder Judiciário, não pode concentrar em suas mãos responsabilidades que atingem direta e indiretamente os mais diversos grupos sociais sendo que esta não é sua função, deve haver um equilíbrio entre as atribuições dos poderes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 atendimento à coletividade.</w:t>
      </w:r>
    </w:p>
    <w:p w:rsidR="005D2B22" w:rsidRDefault="00164D5F" w:rsidP="00AC021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se faz permitido</w:t>
      </w:r>
      <w:r w:rsidR="008974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o Poder Judiciário, sob a direção do Supremo Tribunal Federal tome para si a responsabilidade de controlar atos de natureza política, como o veto</w:t>
      </w:r>
      <w:r w:rsidR="008D432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8974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Essa discordância do chefe do Poder Executivo, enquanto ato político e feito por órgão da mesma natureza, deve ser analisado também por um órgão de natureza política, no caso o Congresso Nacional. Como de costume cabe a este representante do Poder Legislativo (de natureza política) analisar o veto presidencial e assim caso não o derrube</w:t>
      </w:r>
      <w:r w:rsidR="0087472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projeto de lei é visto como sancionado e encaminha</w:t>
      </w:r>
      <w:r w:rsidR="008974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para promulgação e publicação. Entretanto caso o veto da presidente Dilma seja rejeitado pelo quórum de maioria absoluta dos membros, o mesmo segue para que a chefe do executivo para imediata promulgação e publicação, como expõe Bern</w:t>
      </w:r>
      <w:r w:rsidR="000A41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ardo Fernandes (2012, p. 858-89)</w:t>
      </w:r>
      <w:r w:rsidR="00A979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5D2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AC0218" w:rsidRDefault="005D2B22" w:rsidP="009839A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história humana, de início príncipes e reis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certa forma representando um poder executivo-soberano) governavam, seriam a tese da lógica tridimensional da Separação de Poderes, após por meio de revoluções liberais, chegou-se a era do governo parlamentar ( o legislativo ganhava prestígio, por meio do primeiro ministro), seria antítese marxista. Atualmente parece ser o Poder Judiciário a síntese, o novo modelo de repartição de poder em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deve-se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confiança e prestígio</w:t>
      </w:r>
      <w:r w:rsidR="00AC02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todavia deve-se dizer que sínteses não deixam de ser paradigmas, paradigmas são questionáveis e são superáveis</w:t>
      </w:r>
      <w:r w:rsidR="004812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levando em consideração a ideia de método </w:t>
      </w:r>
      <w:proofErr w:type="spellStart"/>
      <w:r w:rsidR="004812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dialétivo</w:t>
      </w:r>
      <w:proofErr w:type="spellEnd"/>
      <w:r w:rsidR="004812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que Marx se utiliza (COTRIM,2010, p.263)</w:t>
      </w:r>
      <w:r w:rsidR="00AC02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Talvez a melhor forma fosse que ocorre uma correlação entre os três poderes e os mesmos criassem uma nova tese dentro do poder estatal: o que era separação pode ser visto como uma união de poderes, seja por meio de debates, por meio de uma discussão democrática, talvez a solução seria a realização de uma discussão interna para saber de que forma e a qual poder caberia o controle de tal ato questionado. Friedrich Muller pode ser conciliado com este</w:t>
      </w:r>
      <w:r w:rsidR="009839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último pensamento ao dizer que: </w:t>
      </w:r>
    </w:p>
    <w:p w:rsidR="00AC0218" w:rsidRDefault="00AC0218" w:rsidP="00AC021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218" w:rsidRPr="009839AE" w:rsidRDefault="00AC0218" w:rsidP="009839A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Sem uma metodologia de trabalho elaborada a partir de uma postura moderna, e sem que os juristas atuantes tenham uma ética de trabalho politicamente responsável, os impulsos democráticos do sistema político transmitidos pela legislação </w:t>
      </w:r>
      <w:r w:rsidR="009839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não chegarão ao povo”. O ciclo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descrito é interrompido, a legitimidade desaparece, e também a legalidade sofre com falhas daí oriundas. Tudo isso nos estimula, ou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 xml:space="preserve">melhor, nos obriga a trabalhar dia após dia na realização do Estado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material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Direito</w:t>
      </w:r>
      <w:r w:rsidR="009839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no desenvolvimento da Democracia </w:t>
      </w:r>
      <w:r w:rsidR="009839A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material- </w:t>
      </w:r>
      <w:r w:rsidR="009839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ambos corroborados e vivificados pelos direitos humanos e civis concretizados. (2013, p.111)</w:t>
      </w:r>
    </w:p>
    <w:p w:rsidR="00A45857" w:rsidRDefault="00A45857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5857" w:rsidRDefault="00A45857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</w:t>
      </w:r>
      <w:r w:rsidR="006E0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SCRIÇÃO DOS CRITÉRIOS E VALORES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A97961" w:rsidRDefault="00A97961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5857" w:rsidRDefault="006E0A18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Neste</w:t>
      </w:r>
      <w:r w:rsidR="00A458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 os valores políticos como justiça, liberdade e igualdade são bem presentes, afinal são valores que constituem ou que podem explicar as condutas que envolvem o Poder Judiciário e de forma indireta os demais poderes, bem como o caráter supremo da Constituição e a legitimidade social. Implica-se em um confronto de ideais, os mesmos valores, as mesmas ações passam a ter significados diversos partindo do pressuposto de estarem em momentos e mãos distintas.</w:t>
      </w:r>
      <w:r w:rsidR="009839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Direito possui como um de seus símbolos a balança e seria completamente ilógico o mesmo atuar de forma desequilibrada ou de forma injusta, embora de primeiro ângulo não seja possível vislumbrar uma melhor posição, o ideal é que não haja excessos e nem escassez, um equilíbrio entre os personagens envolvidos implica na possibilidade dos efetivos “ordem e progresso</w:t>
      </w:r>
      <w:proofErr w:type="gramStart"/>
      <w:r w:rsidR="009839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proofErr w:type="gramEnd"/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8342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42F3" w:rsidRDefault="008342F3" w:rsidP="008342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Default="006A1472" w:rsidP="001C76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17635" w:rsidRDefault="00E17635" w:rsidP="00AB7E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17635" w:rsidRDefault="00E17635" w:rsidP="00AB7E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6331" w:rsidRDefault="00646331" w:rsidP="00AB7E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A1472" w:rsidRPr="00AB7E39" w:rsidRDefault="00AB7E39" w:rsidP="00AB7E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REFERENCIAL BIBLIOGRÁFICO</w:t>
      </w:r>
    </w:p>
    <w:p w:rsidR="006A1472" w:rsidRDefault="006A1472" w:rsidP="00AB7E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7E39" w:rsidRPr="005108AE" w:rsidRDefault="005108AE" w:rsidP="009367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BARROSO, Luís Roberto.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Constituição, Democracia e Supremacia Judicial: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direito e política no Brasil contemporâneo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 Eletrônica sobre Reforma do Estado (RERE). Salvador, Instituto Brasileiro de Direito Político, n.23, setembro/outubro/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novembro,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2010</w:t>
      </w:r>
    </w:p>
    <w:p w:rsidR="005108AE" w:rsidRPr="00AB7E39" w:rsidRDefault="00AB7E39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Curso de Direito Constitucional Contemporâneo: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conceitos fundamentais e a construção do novo modelo. 4ª Ed. São Paulo: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Saraiva,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2013</w:t>
      </w:r>
    </w:p>
    <w:p w:rsidR="00AB7E39" w:rsidRDefault="00AB7E39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08AE" w:rsidRDefault="005108AE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BONAVIDES, Paulo.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Ciência política.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10 ed. São Paulo: Malheiros, 2002.</w:t>
      </w:r>
    </w:p>
    <w:p w:rsidR="00646331" w:rsidRDefault="00646331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6715" w:rsidRPr="00936715" w:rsidRDefault="00936715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Teoria Geral do Estado.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8ª Ed. São Paulo: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Malheiros,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2010.</w:t>
      </w:r>
    </w:p>
    <w:p w:rsidR="005108AE" w:rsidRDefault="005108AE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8122F" w:rsidRDefault="0048122F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COTRIM, Gilberto.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Filosofar.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Ed. São Paulo: Saraiva, 2010</w:t>
      </w:r>
    </w:p>
    <w:p w:rsidR="0048122F" w:rsidRDefault="0048122F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42F3" w:rsidRDefault="008342F3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ESTATÍSTICAS DO STF. Arguição de Descumprimento de Preceito Fundamental. Disponível em: </w:t>
      </w:r>
      <w:r w:rsidRPr="008342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C:\Users\CLIENTE\Downloads\cc_adpf (1</w:t>
      </w:r>
      <w:proofErr w:type="gramStart"/>
      <w:r w:rsidRPr="008342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  <w:proofErr w:type="spellStart"/>
      <w:proofErr w:type="gramEnd"/>
      <w:r w:rsidRPr="008342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mhtml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correspondente site: </w:t>
      </w:r>
      <w:hyperlink r:id="rId10" w:history="1">
        <w:r w:rsidR="00646331" w:rsidRPr="00646331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http://www.stf.jus.br/portal/cms/verTexto.asp?servico=estatistica&amp;pagina=adpf</w:t>
        </w:r>
      </w:hyperlink>
      <w:r w:rsidR="00646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Acesso em 20 de março de 2014</w:t>
      </w:r>
    </w:p>
    <w:p w:rsidR="008342F3" w:rsidRDefault="008342F3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8122F" w:rsidRDefault="0048122F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FERMANDES, Bernardo Gonçalves.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Curso de Direito Constitucional.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4ª Ed. Sal</w:t>
      </w:r>
      <w:r w:rsidR="00646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vador: Editora </w:t>
      </w:r>
      <w:proofErr w:type="spellStart"/>
      <w:proofErr w:type="gramStart"/>
      <w:r w:rsidR="00646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JusPodivm</w:t>
      </w:r>
      <w:proofErr w:type="spellEnd"/>
      <w:proofErr w:type="gramEnd"/>
      <w:r w:rsidR="00646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2012.</w:t>
      </w:r>
    </w:p>
    <w:p w:rsidR="00646331" w:rsidRDefault="00646331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6331" w:rsidRPr="00646331" w:rsidRDefault="00646331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HABERMAS,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Jurgen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Direito 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democracia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entre facticidade e validade. Vol. 1. Tradução: Flávio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Siebeneicherl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Rio de Janeiro: Tempo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Brasileiro, 1997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Disponível em:  </w:t>
      </w:r>
      <w:hyperlink r:id="rId11" w:history="1">
        <w:r w:rsidRPr="00646331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http://marcosfabionuva.files.wordpress.com/2011/08/direito-e-democracia-entre-facticidade-e-validade-i.pdf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Acesso em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 de março de 2014</w:t>
      </w:r>
    </w:p>
    <w:p w:rsidR="00646331" w:rsidRPr="0048122F" w:rsidRDefault="00646331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08AE" w:rsidRDefault="005108AE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MESQUITA, Carlos. Ética, moral, política e cidadania. Disponível em: http://ribeirobr.blogspot.com.br/2009/01/tica-moral-poltica-e-cidadania.html.  Acesso em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 de março de 2014.</w:t>
      </w:r>
    </w:p>
    <w:p w:rsidR="00646331" w:rsidRDefault="006A1472" w:rsidP="006463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MULLER, Friedrich.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Quem é o povo? : a qu</w:t>
      </w:r>
      <w:r w:rsidR="0051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estão fundamental da democracia. </w:t>
      </w:r>
      <w:r w:rsidR="005108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5108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proofErr w:type="gramEnd"/>
      <w:r w:rsidR="005108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Ed. São Paulo: Editora Revista dos Tribunais, 2013.</w:t>
      </w:r>
    </w:p>
    <w:p w:rsidR="00646331" w:rsidRPr="005108AE" w:rsidRDefault="00646331" w:rsidP="006463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472" w:rsidRPr="005108AE" w:rsidRDefault="005108AE" w:rsidP="005108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WEBER, Max.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Economia e sociedade.  </w:t>
      </w:r>
      <w:r w:rsidRPr="005108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Vol.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Brasília: UnB, 2004.</w:t>
      </w:r>
    </w:p>
    <w:sectPr w:rsidR="006A1472" w:rsidRPr="005108AE" w:rsidSect="00AA5E6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CC" w:rsidRDefault="001E5ACC" w:rsidP="00B7194D">
      <w:pPr>
        <w:spacing w:after="0" w:line="240" w:lineRule="auto"/>
      </w:pPr>
      <w:r>
        <w:separator/>
      </w:r>
    </w:p>
  </w:endnote>
  <w:endnote w:type="continuationSeparator" w:id="0">
    <w:p w:rsidR="001E5ACC" w:rsidRDefault="001E5ACC" w:rsidP="00B7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CC" w:rsidRDefault="001E5ACC" w:rsidP="00B7194D">
      <w:pPr>
        <w:spacing w:after="0" w:line="240" w:lineRule="auto"/>
      </w:pPr>
      <w:r>
        <w:separator/>
      </w:r>
    </w:p>
  </w:footnote>
  <w:footnote w:type="continuationSeparator" w:id="0">
    <w:p w:rsidR="001E5ACC" w:rsidRDefault="001E5ACC" w:rsidP="00B7194D">
      <w:pPr>
        <w:spacing w:after="0" w:line="240" w:lineRule="auto"/>
      </w:pPr>
      <w:r>
        <w:continuationSeparator/>
      </w:r>
    </w:p>
  </w:footnote>
  <w:footnote w:id="1">
    <w:p w:rsidR="00B7194D" w:rsidRDefault="00B7194D" w:rsidP="00B7194D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Case apresentado à disciplina de Processo Constitucional, da Unidade de Ensino Superior Dom Bosco-UNDB.</w:t>
      </w:r>
    </w:p>
    <w:p w:rsidR="00B7194D" w:rsidRDefault="00B7194D" w:rsidP="00B7194D">
      <w:pPr>
        <w:pStyle w:val="Textodenotaderodap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²</w:t>
      </w:r>
      <w:proofErr w:type="gramEnd"/>
      <w:r>
        <w:rPr>
          <w:rFonts w:ascii="Times New Roman" w:hAnsi="Times New Roman" w:cs="Times New Roman"/>
        </w:rPr>
        <w:t xml:space="preserve"> Aluna do 5º período de Direito- vespertino, da UNDB.</w:t>
      </w:r>
    </w:p>
    <w:p w:rsidR="00B7194D" w:rsidRPr="00B7194D" w:rsidRDefault="00B7194D" w:rsidP="00B7194D">
      <w:pPr>
        <w:pStyle w:val="Textodenotaderodap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³</w:t>
      </w:r>
      <w:proofErr w:type="gramEnd"/>
      <w:r>
        <w:rPr>
          <w:rFonts w:ascii="Times New Roman" w:hAnsi="Times New Roman" w:cs="Times New Roman"/>
        </w:rPr>
        <w:t xml:space="preserve"> Professor da disciplina de Processo Constitucional, da Unidade de Ensino Superior Dom Bosco.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5A1"/>
    <w:multiLevelType w:val="hybridMultilevel"/>
    <w:tmpl w:val="1A4640F6"/>
    <w:lvl w:ilvl="0" w:tplc="4DCCF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67"/>
    <w:rsid w:val="00003500"/>
    <w:rsid w:val="00035433"/>
    <w:rsid w:val="00051ED3"/>
    <w:rsid w:val="00080365"/>
    <w:rsid w:val="00094721"/>
    <w:rsid w:val="000A4112"/>
    <w:rsid w:val="000C7A5F"/>
    <w:rsid w:val="000D43AA"/>
    <w:rsid w:val="000D7CCC"/>
    <w:rsid w:val="00105C20"/>
    <w:rsid w:val="00136C05"/>
    <w:rsid w:val="00160140"/>
    <w:rsid w:val="00164D5F"/>
    <w:rsid w:val="001C760F"/>
    <w:rsid w:val="001E507C"/>
    <w:rsid w:val="001E5ACC"/>
    <w:rsid w:val="001F4FDB"/>
    <w:rsid w:val="00200910"/>
    <w:rsid w:val="00200A22"/>
    <w:rsid w:val="00202FFA"/>
    <w:rsid w:val="00236C57"/>
    <w:rsid w:val="00262172"/>
    <w:rsid w:val="00262D72"/>
    <w:rsid w:val="0027244C"/>
    <w:rsid w:val="002B7B00"/>
    <w:rsid w:val="002C2345"/>
    <w:rsid w:val="003251F3"/>
    <w:rsid w:val="00326B4E"/>
    <w:rsid w:val="0035182D"/>
    <w:rsid w:val="003B71FD"/>
    <w:rsid w:val="00447262"/>
    <w:rsid w:val="00480F8F"/>
    <w:rsid w:val="0048122F"/>
    <w:rsid w:val="004A75B3"/>
    <w:rsid w:val="004D66F2"/>
    <w:rsid w:val="005108AE"/>
    <w:rsid w:val="00520145"/>
    <w:rsid w:val="005227C1"/>
    <w:rsid w:val="00547484"/>
    <w:rsid w:val="0056591F"/>
    <w:rsid w:val="005D2B22"/>
    <w:rsid w:val="005E423B"/>
    <w:rsid w:val="005F6789"/>
    <w:rsid w:val="0063081D"/>
    <w:rsid w:val="00646331"/>
    <w:rsid w:val="006678D5"/>
    <w:rsid w:val="006A1472"/>
    <w:rsid w:val="006C34E8"/>
    <w:rsid w:val="006E0A18"/>
    <w:rsid w:val="00823533"/>
    <w:rsid w:val="008270D2"/>
    <w:rsid w:val="008342F3"/>
    <w:rsid w:val="008363D4"/>
    <w:rsid w:val="0087472E"/>
    <w:rsid w:val="00887737"/>
    <w:rsid w:val="008974A9"/>
    <w:rsid w:val="008D0E77"/>
    <w:rsid w:val="008D35C4"/>
    <w:rsid w:val="008D432E"/>
    <w:rsid w:val="00906862"/>
    <w:rsid w:val="00907789"/>
    <w:rsid w:val="00936715"/>
    <w:rsid w:val="009732DA"/>
    <w:rsid w:val="00980D92"/>
    <w:rsid w:val="009839AE"/>
    <w:rsid w:val="009972EB"/>
    <w:rsid w:val="009A547E"/>
    <w:rsid w:val="00A007F0"/>
    <w:rsid w:val="00A02A8F"/>
    <w:rsid w:val="00A4118C"/>
    <w:rsid w:val="00A45857"/>
    <w:rsid w:val="00A97961"/>
    <w:rsid w:val="00AA13F9"/>
    <w:rsid w:val="00AA5E67"/>
    <w:rsid w:val="00AA7051"/>
    <w:rsid w:val="00AB7E39"/>
    <w:rsid w:val="00AC0218"/>
    <w:rsid w:val="00B12748"/>
    <w:rsid w:val="00B21DC1"/>
    <w:rsid w:val="00B33507"/>
    <w:rsid w:val="00B57310"/>
    <w:rsid w:val="00B7194D"/>
    <w:rsid w:val="00BA5934"/>
    <w:rsid w:val="00C03DF4"/>
    <w:rsid w:val="00C54DAD"/>
    <w:rsid w:val="00C65A9A"/>
    <w:rsid w:val="00CA4BC9"/>
    <w:rsid w:val="00CD5653"/>
    <w:rsid w:val="00CE617D"/>
    <w:rsid w:val="00CF3584"/>
    <w:rsid w:val="00CF5C59"/>
    <w:rsid w:val="00D01199"/>
    <w:rsid w:val="00D210EC"/>
    <w:rsid w:val="00D26357"/>
    <w:rsid w:val="00D65706"/>
    <w:rsid w:val="00DF20BE"/>
    <w:rsid w:val="00DF22B5"/>
    <w:rsid w:val="00E17635"/>
    <w:rsid w:val="00E70498"/>
    <w:rsid w:val="00F063D9"/>
    <w:rsid w:val="00F86E95"/>
    <w:rsid w:val="00F920F5"/>
    <w:rsid w:val="00F96362"/>
    <w:rsid w:val="00FA11CE"/>
    <w:rsid w:val="00FA14A1"/>
    <w:rsid w:val="00FA6A02"/>
    <w:rsid w:val="00F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4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19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19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194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54DAD"/>
    <w:pPr>
      <w:ind w:left="720"/>
      <w:contextualSpacing/>
    </w:pPr>
  </w:style>
  <w:style w:type="table" w:styleId="Tabelacomgrade">
    <w:name w:val="Table Grid"/>
    <w:basedOn w:val="Tabelanormal"/>
    <w:uiPriority w:val="59"/>
    <w:rsid w:val="00AA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463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4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19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19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194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54DAD"/>
    <w:pPr>
      <w:ind w:left="720"/>
      <w:contextualSpacing/>
    </w:pPr>
  </w:style>
  <w:style w:type="table" w:styleId="Tabelacomgrade">
    <w:name w:val="Table Grid"/>
    <w:basedOn w:val="Tabelanormal"/>
    <w:uiPriority w:val="59"/>
    <w:rsid w:val="00AA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46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rcosfabionuva.files.wordpress.com/2011/08/direito-e-democracia-entre-facticidade-e-validade-i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f.jus.br/portal/cms/verTexto.asp?servico=estatistica&amp;pagina=adp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B3B9-2B42-4C88-9BF5-9C7349FA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8</Pages>
  <Words>2818</Words>
  <Characters>15222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186</cp:revision>
  <dcterms:created xsi:type="dcterms:W3CDTF">2014-03-29T22:47:00Z</dcterms:created>
  <dcterms:modified xsi:type="dcterms:W3CDTF">2014-04-03T01:22:00Z</dcterms:modified>
</cp:coreProperties>
</file>