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3AF" w:rsidRPr="005E5DF6" w:rsidRDefault="005B281F" w:rsidP="002653AF">
      <w:pPr>
        <w:tabs>
          <w:tab w:val="left" w:pos="180"/>
        </w:tabs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A MODALIDADE DE EXCEÇÃO DE SUSPEIÇÃO FRENTE ÀS RELAÇÕES ENTRE JUIZES E ADVOGADOS </w:t>
      </w:r>
    </w:p>
    <w:p w:rsidR="002653AF" w:rsidRPr="00C3269D" w:rsidRDefault="002653AF" w:rsidP="002653AF">
      <w:pPr>
        <w:tabs>
          <w:tab w:val="left" w:pos="180"/>
        </w:tabs>
        <w:jc w:val="both"/>
        <w:rPr>
          <w:rFonts w:ascii="Times New Roman" w:hAnsi="Times New Roman" w:cs="Times New Roman"/>
          <w:b/>
        </w:rPr>
      </w:pPr>
    </w:p>
    <w:p w:rsidR="002653AF" w:rsidRDefault="002653AF" w:rsidP="002653AF">
      <w:pPr>
        <w:tabs>
          <w:tab w:val="left" w:pos="180"/>
        </w:tabs>
        <w:jc w:val="both"/>
        <w:rPr>
          <w:rFonts w:ascii="Times New Roman" w:hAnsi="Times New Roman" w:cs="Times New Roman"/>
        </w:rPr>
      </w:pPr>
    </w:p>
    <w:p w:rsidR="002653AF" w:rsidRDefault="002653AF" w:rsidP="002653AF">
      <w:pPr>
        <w:tabs>
          <w:tab w:val="left" w:pos="180"/>
        </w:tabs>
        <w:jc w:val="both"/>
        <w:rPr>
          <w:rFonts w:ascii="Times New Roman" w:hAnsi="Times New Roman" w:cs="Times New Roman"/>
        </w:rPr>
      </w:pPr>
    </w:p>
    <w:p w:rsidR="002653AF" w:rsidRDefault="002653AF" w:rsidP="002653AF">
      <w:pPr>
        <w:tabs>
          <w:tab w:val="left" w:pos="180"/>
        </w:tabs>
        <w:spacing w:before="120"/>
        <w:jc w:val="right"/>
        <w:rPr>
          <w:rStyle w:val="CaracteresdeNotadeRodap"/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Felipe Marto Soeiro Carneiro </w:t>
      </w:r>
      <w:r>
        <w:rPr>
          <w:rStyle w:val="CaracteresdeNotadeRodap"/>
          <w:rFonts w:ascii="Times New Roman" w:hAnsi="Times New Roman" w:cs="Times New Roman"/>
        </w:rPr>
        <w:footnoteReference w:id="1"/>
      </w:r>
      <w:proofErr w:type="gramStart"/>
      <w:r>
        <w:rPr>
          <w:rFonts w:ascii="Times New Roman" w:hAnsi="Times New Roman" w:cs="Times New Roman"/>
        </w:rPr>
        <w:t xml:space="preserve">  </w:t>
      </w:r>
      <w:proofErr w:type="gramEnd"/>
      <w:r w:rsidR="005F329F">
        <w:rPr>
          <w:rFonts w:ascii="Times New Roman" w:hAnsi="Times New Roman" w:cs="Times New Roman"/>
        </w:rPr>
        <w:br/>
        <w:t xml:space="preserve">William Ribeiro </w:t>
      </w:r>
      <w:proofErr w:type="spellStart"/>
      <w:r w:rsidR="005F329F">
        <w:rPr>
          <w:rFonts w:ascii="Times New Roman" w:hAnsi="Times New Roman" w:cs="Times New Roman"/>
        </w:rPr>
        <w:t>Cantanhêde</w:t>
      </w:r>
      <w:proofErr w:type="spellEnd"/>
      <w:r w:rsidR="005F329F">
        <w:rPr>
          <w:rFonts w:ascii="Times New Roman" w:hAnsi="Times New Roman" w:cs="Times New Roman"/>
        </w:rPr>
        <w:t xml:space="preserve"> Junior²</w:t>
      </w:r>
      <w:r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</w:p>
    <w:p w:rsidR="002653AF" w:rsidRDefault="002653AF" w:rsidP="005F329F">
      <w:pPr>
        <w:tabs>
          <w:tab w:val="left" w:pos="180"/>
        </w:tabs>
        <w:spacing w:before="120"/>
        <w:jc w:val="center"/>
        <w:rPr>
          <w:rFonts w:ascii="Times New Roman" w:hAnsi="Times New Roman" w:cs="Times New Roman"/>
        </w:rPr>
      </w:pPr>
    </w:p>
    <w:p w:rsidR="002653AF" w:rsidRDefault="002653AF" w:rsidP="002653AF">
      <w:pPr>
        <w:tabs>
          <w:tab w:val="left" w:pos="180"/>
        </w:tabs>
        <w:spacing w:before="120"/>
        <w:ind w:left="3969" w:firstLine="351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2653AF" w:rsidRDefault="002653AF" w:rsidP="002653AF">
      <w:pPr>
        <w:tabs>
          <w:tab w:val="left" w:pos="180"/>
        </w:tabs>
        <w:spacing w:before="120"/>
        <w:ind w:left="2268" w:firstLine="351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>
        <w:rPr>
          <w:rFonts w:ascii="Times New Roman" w:hAnsi="Times New Roman" w:cs="Times New Roman"/>
          <w:b/>
        </w:rPr>
        <w:t>Sumário:</w:t>
      </w:r>
      <w:r>
        <w:rPr>
          <w:rFonts w:ascii="Times New Roman" w:hAnsi="Times New Roman" w:cs="Times New Roman"/>
        </w:rPr>
        <w:t xml:space="preserve"> INTRODUÇÃO; </w:t>
      </w:r>
      <w:proofErr w:type="gramStart"/>
      <w:r>
        <w:rPr>
          <w:rFonts w:ascii="Times New Roman" w:hAnsi="Times New Roman" w:cs="Times New Roman"/>
        </w:rPr>
        <w:t>1</w:t>
      </w:r>
      <w:proofErr w:type="gramEnd"/>
      <w:r>
        <w:rPr>
          <w:rFonts w:ascii="Times New Roman" w:hAnsi="Times New Roman" w:cs="Times New Roman"/>
        </w:rPr>
        <w:t xml:space="preserve">.Acepção e modalidades de Exceção 2. Exceção de suspeição; </w:t>
      </w:r>
      <w:proofErr w:type="gramStart"/>
      <w:r>
        <w:rPr>
          <w:rFonts w:ascii="Times New Roman" w:hAnsi="Times New Roman" w:cs="Times New Roman"/>
        </w:rPr>
        <w:t>3</w:t>
      </w:r>
      <w:proofErr w:type="gramEnd"/>
      <w:r>
        <w:rPr>
          <w:rFonts w:ascii="Times New Roman" w:hAnsi="Times New Roman" w:cs="Times New Roman"/>
        </w:rPr>
        <w:t>. A problemática da impossibilidade de suspeição pela relação Juiz-Advogado; Considerações Finais; Referências.</w:t>
      </w:r>
    </w:p>
    <w:p w:rsidR="002653AF" w:rsidRDefault="002653AF" w:rsidP="002653AF">
      <w:pPr>
        <w:tabs>
          <w:tab w:val="left" w:pos="180"/>
        </w:tabs>
        <w:spacing w:before="120"/>
        <w:ind w:left="3969" w:hanging="3685"/>
        <w:jc w:val="both"/>
        <w:rPr>
          <w:rFonts w:ascii="Times New Roman" w:hAnsi="Times New Roman" w:cs="Times New Roman"/>
        </w:rPr>
      </w:pPr>
    </w:p>
    <w:p w:rsidR="002653AF" w:rsidRDefault="002653AF" w:rsidP="002653AF">
      <w:pPr>
        <w:tabs>
          <w:tab w:val="left" w:pos="180"/>
        </w:tabs>
        <w:spacing w:before="120"/>
        <w:jc w:val="both"/>
        <w:rPr>
          <w:rFonts w:ascii="Times New Roman" w:hAnsi="Times New Roman" w:cs="Times New Roman"/>
        </w:rPr>
      </w:pPr>
    </w:p>
    <w:p w:rsidR="002653AF" w:rsidRDefault="002653AF" w:rsidP="002653AF">
      <w:pPr>
        <w:tabs>
          <w:tab w:val="left" w:pos="180"/>
        </w:tabs>
        <w:spacing w:before="120"/>
        <w:jc w:val="both"/>
        <w:rPr>
          <w:rFonts w:ascii="Times New Roman" w:hAnsi="Times New Roman" w:cs="Times New Roman"/>
        </w:rPr>
      </w:pPr>
    </w:p>
    <w:p w:rsidR="002653AF" w:rsidRDefault="002653AF" w:rsidP="002653AF">
      <w:pPr>
        <w:tabs>
          <w:tab w:val="left" w:pos="180"/>
        </w:tabs>
        <w:spacing w:before="120"/>
        <w:ind w:left="3969" w:hanging="368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RESUMO</w:t>
      </w:r>
    </w:p>
    <w:p w:rsidR="002653AF" w:rsidRDefault="002653AF" w:rsidP="002653AF">
      <w:pPr>
        <w:tabs>
          <w:tab w:val="left" w:pos="180"/>
        </w:tabs>
        <w:spacing w:before="120"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Apresenta-se um estudo sobre</w:t>
      </w:r>
      <w:r w:rsidR="000127C1">
        <w:rPr>
          <w:rFonts w:ascii="Times New Roman" w:hAnsi="Times New Roman" w:cs="Times New Roman"/>
        </w:rPr>
        <w:t xml:space="preserve"> a Exceção como prerrogativa de defesa do réu</w:t>
      </w:r>
      <w:r>
        <w:rPr>
          <w:rFonts w:ascii="Times New Roman" w:hAnsi="Times New Roman" w:cs="Times New Roman"/>
        </w:rPr>
        <w:t>. Comenta-se sobre as suas particularidades, consequências e um sucinto processo conceitual. Logo depois, a</w:t>
      </w:r>
      <w:r w:rsidR="000127C1">
        <w:rPr>
          <w:rFonts w:ascii="Times New Roman" w:hAnsi="Times New Roman" w:cs="Times New Roman"/>
        </w:rPr>
        <w:t>borda-se a supracitada modalidade</w:t>
      </w:r>
      <w:r>
        <w:rPr>
          <w:rFonts w:ascii="Times New Roman" w:hAnsi="Times New Roman" w:cs="Times New Roman"/>
        </w:rPr>
        <w:t xml:space="preserve"> frente </w:t>
      </w:r>
      <w:r w:rsidR="000127C1">
        <w:rPr>
          <w:rFonts w:ascii="Times New Roman" w:hAnsi="Times New Roman" w:cs="Times New Roman"/>
        </w:rPr>
        <w:t xml:space="preserve">a uma problemática de ausência de fundamento legal para uma situação contemporaneamente corriqueira. </w:t>
      </w:r>
    </w:p>
    <w:p w:rsidR="002653AF" w:rsidRDefault="002653AF" w:rsidP="002653AF">
      <w:pPr>
        <w:tabs>
          <w:tab w:val="left" w:pos="180"/>
        </w:tabs>
        <w:spacing w:before="120"/>
        <w:ind w:left="284"/>
        <w:jc w:val="both"/>
        <w:rPr>
          <w:rFonts w:ascii="Times New Roman" w:hAnsi="Times New Roman" w:cs="Times New Roman"/>
        </w:rPr>
      </w:pPr>
    </w:p>
    <w:p w:rsidR="002653AF" w:rsidRDefault="002653AF" w:rsidP="002653AF">
      <w:pPr>
        <w:tabs>
          <w:tab w:val="left" w:pos="180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PALAVRAS-CHAVE: </w:t>
      </w:r>
      <w:r w:rsidR="000127C1">
        <w:rPr>
          <w:rFonts w:ascii="Times New Roman" w:hAnsi="Times New Roman" w:cs="Times New Roman"/>
          <w:sz w:val="24"/>
          <w:szCs w:val="24"/>
        </w:rPr>
        <w:t>Exceção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127C1">
        <w:rPr>
          <w:rFonts w:ascii="Times New Roman" w:hAnsi="Times New Roman" w:cs="Times New Roman"/>
          <w:sz w:val="24"/>
          <w:szCs w:val="24"/>
        </w:rPr>
        <w:t>Modalidades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127C1">
        <w:rPr>
          <w:rFonts w:ascii="Times New Roman" w:hAnsi="Times New Roman" w:cs="Times New Roman"/>
          <w:sz w:val="24"/>
          <w:szCs w:val="24"/>
        </w:rPr>
        <w:t>Exceção de suspeição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127C1">
        <w:rPr>
          <w:rFonts w:ascii="Times New Roman" w:hAnsi="Times New Roman" w:cs="Times New Roman"/>
          <w:sz w:val="24"/>
          <w:szCs w:val="24"/>
        </w:rPr>
        <w:t>Relação advogado-juiz.</w:t>
      </w:r>
    </w:p>
    <w:p w:rsidR="002653AF" w:rsidRDefault="002653AF" w:rsidP="002653AF">
      <w:pPr>
        <w:pStyle w:val="MapadoDocumento"/>
        <w:rPr>
          <w:rFonts w:ascii="Times New Roman" w:hAnsi="Times New Roman" w:cs="Times New Roman"/>
          <w:lang w:eastAsia="pt-BR"/>
        </w:rPr>
      </w:pPr>
    </w:p>
    <w:p w:rsidR="002653AF" w:rsidRDefault="002653AF" w:rsidP="002653AF">
      <w:pPr>
        <w:pStyle w:val="MapadoDocumento"/>
        <w:rPr>
          <w:rFonts w:ascii="Times New Roman" w:hAnsi="Times New Roman" w:cs="Times New Roman"/>
          <w:lang w:eastAsia="pt-BR"/>
        </w:rPr>
      </w:pPr>
    </w:p>
    <w:p w:rsidR="002653AF" w:rsidRDefault="002653AF" w:rsidP="002653AF">
      <w:pPr>
        <w:pStyle w:val="MapadoDocumento"/>
        <w:rPr>
          <w:rFonts w:ascii="Times New Roman" w:hAnsi="Times New Roman" w:cs="Times New Roman"/>
          <w:lang w:eastAsia="pt-BR"/>
        </w:rPr>
      </w:pPr>
    </w:p>
    <w:p w:rsidR="002653AF" w:rsidRDefault="002653AF" w:rsidP="002653AF">
      <w:pPr>
        <w:pStyle w:val="MapadoDocumento"/>
        <w:rPr>
          <w:rFonts w:ascii="Times New Roman" w:hAnsi="Times New Roman" w:cs="Times New Roman"/>
          <w:lang w:eastAsia="pt-BR"/>
        </w:rPr>
      </w:pPr>
    </w:p>
    <w:p w:rsidR="002653AF" w:rsidRDefault="002653AF" w:rsidP="002653AF">
      <w:pPr>
        <w:pStyle w:val="MapadoDocumento"/>
        <w:rPr>
          <w:rFonts w:ascii="Times New Roman" w:hAnsi="Times New Roman" w:cs="Times New Roman"/>
          <w:lang w:eastAsia="pt-BR"/>
        </w:rPr>
      </w:pPr>
    </w:p>
    <w:p w:rsidR="002653AF" w:rsidRDefault="002653AF" w:rsidP="002653AF">
      <w:pPr>
        <w:pStyle w:val="MapadoDocumento"/>
        <w:rPr>
          <w:rFonts w:ascii="Times New Roman" w:hAnsi="Times New Roman" w:cs="Times New Roman"/>
          <w:lang w:eastAsia="pt-BR"/>
        </w:rPr>
      </w:pPr>
    </w:p>
    <w:p w:rsidR="002653AF" w:rsidRDefault="002653AF" w:rsidP="002653AF">
      <w:pPr>
        <w:pStyle w:val="MapadoDocumento"/>
        <w:rPr>
          <w:rFonts w:ascii="Times New Roman" w:hAnsi="Times New Roman" w:cs="Times New Roman"/>
          <w:lang w:eastAsia="pt-BR"/>
        </w:rPr>
      </w:pPr>
    </w:p>
    <w:p w:rsidR="002653AF" w:rsidRDefault="002653AF" w:rsidP="002653AF">
      <w:pPr>
        <w:pStyle w:val="MapadoDocumento"/>
        <w:rPr>
          <w:rFonts w:ascii="Times New Roman" w:hAnsi="Times New Roman" w:cs="Times New Roman"/>
          <w:lang w:eastAsia="pt-BR"/>
        </w:rPr>
      </w:pPr>
    </w:p>
    <w:p w:rsidR="002653AF" w:rsidRDefault="002653AF" w:rsidP="002653AF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INTRODUÇÃO</w:t>
      </w:r>
    </w:p>
    <w:p w:rsidR="002653AF" w:rsidRDefault="00A16265" w:rsidP="002653AF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ideia da prerrogativa de uma defesa do réu é um basilar para toda uma análise a cerca da Exceção e seus desdobramentos</w:t>
      </w:r>
      <w:r w:rsidR="002653AF">
        <w:rPr>
          <w:rFonts w:ascii="Times New Roman" w:hAnsi="Times New Roman" w:cs="Times New Roman"/>
          <w:sz w:val="24"/>
          <w:szCs w:val="24"/>
        </w:rPr>
        <w:t xml:space="preserve">. Como uma medida de </w:t>
      </w:r>
      <w:r>
        <w:rPr>
          <w:rFonts w:ascii="Times New Roman" w:hAnsi="Times New Roman" w:cs="Times New Roman"/>
          <w:sz w:val="24"/>
          <w:szCs w:val="24"/>
        </w:rPr>
        <w:t xml:space="preserve">contraposição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às pretensões demandadas pelo autor, tal modalidade busca, através da sua oposição, delimitar parâmetros que modifiquem o decurso do andamento processual anteriormente à contestação. </w:t>
      </w:r>
    </w:p>
    <w:p w:rsidR="002653AF" w:rsidRDefault="002653AF" w:rsidP="002653AF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Dessa forma, o trabalho será desenvolvido da seguinte maneira. O primeiro capítulo comentará sobre as particularidades</w:t>
      </w:r>
      <w:r w:rsidR="00A16265"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z w:val="24"/>
          <w:szCs w:val="24"/>
        </w:rPr>
        <w:t xml:space="preserve"> os desdobramentos </w:t>
      </w:r>
      <w:r w:rsidR="00A16265">
        <w:rPr>
          <w:rFonts w:ascii="Times New Roman" w:hAnsi="Times New Roman" w:cs="Times New Roman"/>
          <w:sz w:val="24"/>
          <w:szCs w:val="24"/>
        </w:rPr>
        <w:t xml:space="preserve">da exceção </w:t>
      </w:r>
      <w:r>
        <w:rPr>
          <w:rFonts w:ascii="Times New Roman" w:hAnsi="Times New Roman" w:cs="Times New Roman"/>
          <w:sz w:val="24"/>
          <w:szCs w:val="24"/>
        </w:rPr>
        <w:t xml:space="preserve">e será levantada uma prévia conceitual com fundamentação em </w:t>
      </w:r>
      <w:proofErr w:type="spellStart"/>
      <w:r>
        <w:rPr>
          <w:rFonts w:ascii="Times New Roman" w:hAnsi="Times New Roman" w:cs="Times New Roman"/>
          <w:sz w:val="24"/>
          <w:szCs w:val="24"/>
        </w:rPr>
        <w:t>prelecionamentos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alguns autores. Logo após, será </w:t>
      </w:r>
      <w:r w:rsidR="00A16265">
        <w:rPr>
          <w:rFonts w:ascii="Times New Roman" w:hAnsi="Times New Roman" w:cs="Times New Roman"/>
          <w:sz w:val="24"/>
          <w:szCs w:val="24"/>
        </w:rPr>
        <w:t>exposto de maneira prévia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16265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="00A16265">
        <w:rPr>
          <w:rFonts w:ascii="Times New Roman" w:hAnsi="Times New Roman" w:cs="Times New Roman"/>
          <w:sz w:val="24"/>
          <w:szCs w:val="24"/>
        </w:rPr>
        <w:t xml:space="preserve"> modalidades de exceção, bem como suas particularidades</w:t>
      </w:r>
    </w:p>
    <w:p w:rsidR="002653AF" w:rsidRDefault="002653AF" w:rsidP="002653AF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segundo capítulo, será</w:t>
      </w:r>
      <w:r w:rsidR="00A16265">
        <w:rPr>
          <w:rFonts w:ascii="Times New Roman" w:hAnsi="Times New Roman" w:cs="Times New Roman"/>
          <w:sz w:val="24"/>
          <w:szCs w:val="24"/>
        </w:rPr>
        <w:t xml:space="preserve"> abordada e explanada a suspeição</w:t>
      </w:r>
      <w:r>
        <w:rPr>
          <w:rFonts w:ascii="Times New Roman" w:hAnsi="Times New Roman" w:cs="Times New Roman"/>
          <w:sz w:val="24"/>
          <w:szCs w:val="24"/>
        </w:rPr>
        <w:t xml:space="preserve">. Será explicado </w:t>
      </w:r>
      <w:r w:rsidR="00A16265">
        <w:rPr>
          <w:rFonts w:ascii="Times New Roman" w:hAnsi="Times New Roman" w:cs="Times New Roman"/>
          <w:sz w:val="24"/>
          <w:szCs w:val="24"/>
        </w:rPr>
        <w:t>como ela ocorre e quais as possibilidades para tal advento com uma influência direta na problemática desenvolvida no presente trabalho.</w:t>
      </w:r>
    </w:p>
    <w:p w:rsidR="002653AF" w:rsidRPr="000824D1" w:rsidRDefault="002653AF" w:rsidP="002653AF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F025BF">
        <w:rPr>
          <w:rFonts w:ascii="Times New Roman" w:hAnsi="Times New Roman" w:cs="Times New Roman"/>
          <w:sz w:val="24"/>
          <w:szCs w:val="24"/>
        </w:rPr>
        <w:tab/>
      </w:r>
      <w:r w:rsidR="00A16265">
        <w:rPr>
          <w:rFonts w:ascii="Times New Roman" w:hAnsi="Times New Roman" w:cs="Times New Roman"/>
        </w:rPr>
        <w:t>A problemática a cerca da impossibilidade de suspeição pela relação Juiz-Advogado</w:t>
      </w:r>
      <w:r w:rsidRPr="003D37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será o último tópico a ser abordado. Será explicitado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medida que </w:t>
      </w:r>
      <w:r w:rsidR="00A16265">
        <w:rPr>
          <w:rFonts w:ascii="Times New Roman" w:hAnsi="Times New Roman" w:cs="Times New Roman"/>
          <w:sz w:val="24"/>
          <w:szCs w:val="24"/>
        </w:rPr>
        <w:t>a ausência de dispositivo expresso de delimitação para tal conjuntura ocasiona implicações que podem vir a gerar prejudicialidade para o andamento processual e a busca por uma solução de mérito pautada na imparcialidade do julgador.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2653AF" w:rsidRPr="00143B01" w:rsidRDefault="002653AF" w:rsidP="002653AF">
      <w:pPr>
        <w:pStyle w:val="PargrafodaLista"/>
        <w:numPr>
          <w:ilvl w:val="0"/>
          <w:numId w:val="1"/>
        </w:num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ACEPÇÃO E MODALIDADES DE EXCEÇÃO</w:t>
      </w:r>
    </w:p>
    <w:p w:rsidR="00A02C6A" w:rsidRDefault="00A02C6A" w:rsidP="002653AF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basilar para o entendimento do que seria a Exceção no âmbito processual, suas particularidades e desdobramentos é a associação que se perfaz com a ideia de defesa do réu. Deflui de tal afirmação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prerrogativa de que trata-se de um direito ao réu de opor-se à pretensão do autor, um contraponto que atribui impedimentos diretos à eficácia da pretensão daquele que demanda (DIDIER</w:t>
      </w:r>
      <w:r w:rsidR="000127C1">
        <w:rPr>
          <w:rFonts w:ascii="Times New Roman" w:hAnsi="Times New Roman" w:cs="Times New Roman"/>
          <w:sz w:val="24"/>
          <w:szCs w:val="24"/>
        </w:rPr>
        <w:t xml:space="preserve"> JR</w:t>
      </w:r>
      <w:r>
        <w:rPr>
          <w:rFonts w:ascii="Times New Roman" w:hAnsi="Times New Roman" w:cs="Times New Roman"/>
          <w:sz w:val="24"/>
          <w:szCs w:val="24"/>
        </w:rPr>
        <w:t>,</w:t>
      </w:r>
      <w:r w:rsidR="000127C1">
        <w:rPr>
          <w:rFonts w:ascii="Times New Roman" w:hAnsi="Times New Roman" w:cs="Times New Roman"/>
          <w:sz w:val="24"/>
          <w:szCs w:val="24"/>
        </w:rPr>
        <w:t xml:space="preserve"> Fredie, 2013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A4114F" w:rsidRDefault="00A4114F" w:rsidP="002653AF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Como pilar para sua existência, temos o </w:t>
      </w:r>
      <w:r w:rsidR="000E02E0">
        <w:rPr>
          <w:rFonts w:ascii="Times New Roman" w:hAnsi="Times New Roman" w:cs="Times New Roman"/>
          <w:sz w:val="24"/>
          <w:szCs w:val="24"/>
        </w:rPr>
        <w:t>desígnio</w:t>
      </w:r>
      <w:r>
        <w:rPr>
          <w:rFonts w:ascii="Times New Roman" w:hAnsi="Times New Roman" w:cs="Times New Roman"/>
          <w:sz w:val="24"/>
          <w:szCs w:val="24"/>
        </w:rPr>
        <w:t xml:space="preserve"> de sua ação mediante alegação (tornando possível o conhecimento pelo órgão julgador), representando uma diferença explicita de objeção, que, por sua vez, independe da concepção de alegação, denotando-se também que a exceção pode ser classificada tanto como de mérito quanto processual (</w:t>
      </w:r>
      <w:r w:rsidR="000127C1">
        <w:rPr>
          <w:rFonts w:ascii="Times New Roman" w:hAnsi="Times New Roman" w:cs="Times New Roman"/>
          <w:sz w:val="24"/>
          <w:szCs w:val="24"/>
        </w:rPr>
        <w:t>MONTEIRO, André Luís, 2012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AA5320" w:rsidRDefault="002E02DA" w:rsidP="002653AF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Pari passu </w:t>
      </w:r>
      <w:r>
        <w:rPr>
          <w:rFonts w:ascii="Times New Roman" w:hAnsi="Times New Roman" w:cs="Times New Roman"/>
          <w:sz w:val="24"/>
          <w:szCs w:val="24"/>
        </w:rPr>
        <w:t>à necessidade de alegação supracitada, destaca-se como desdobramento a ocorrência de fatos que, na ausência de alegação (em exceção substancial), não projetam um encargo ao juiz de menciona-los. Sua explicação decorre de dois fatos: o primeiro é o de que não infere ao processo sentença injusta, pois não são amplamente “imperativos” e passiveis de sere</w:t>
      </w:r>
      <w:r w:rsidR="00AA5320">
        <w:rPr>
          <w:rFonts w:ascii="Times New Roman" w:hAnsi="Times New Roman" w:cs="Times New Roman"/>
          <w:sz w:val="24"/>
          <w:szCs w:val="24"/>
        </w:rPr>
        <w:t>m conhecidos em</w:t>
      </w:r>
      <w:r>
        <w:rPr>
          <w:rFonts w:ascii="Times New Roman" w:hAnsi="Times New Roman" w:cs="Times New Roman"/>
          <w:sz w:val="24"/>
          <w:szCs w:val="24"/>
        </w:rPr>
        <w:t xml:space="preserve"> matéria de oficio pelo </w:t>
      </w:r>
      <w:r>
        <w:rPr>
          <w:rFonts w:ascii="Times New Roman" w:hAnsi="Times New Roman" w:cs="Times New Roman"/>
          <w:sz w:val="24"/>
          <w:szCs w:val="24"/>
        </w:rPr>
        <w:lastRenderedPageBreak/>
        <w:t>julgador. O segundo é a possibilidade que recai ao réu de ingressar com demanda autônoma, corroborando diretamente com o princípio de inércia no que tange ao juiz perm</w:t>
      </w:r>
      <w:r w:rsidR="00AA5320">
        <w:rPr>
          <w:rFonts w:ascii="Times New Roman" w:hAnsi="Times New Roman" w:cs="Times New Roman"/>
          <w:sz w:val="24"/>
          <w:szCs w:val="24"/>
        </w:rPr>
        <w:t xml:space="preserve">itir a decorrência desses fatos </w:t>
      </w:r>
      <w:r w:rsidR="00D014BA">
        <w:rPr>
          <w:rFonts w:ascii="Times New Roman" w:hAnsi="Times New Roman" w:cs="Times New Roman"/>
          <w:sz w:val="24"/>
          <w:szCs w:val="24"/>
        </w:rPr>
        <w:t xml:space="preserve">sem agir ativamente na ausência de provocação </w:t>
      </w:r>
      <w:r w:rsidR="00AA5320">
        <w:rPr>
          <w:rFonts w:ascii="Times New Roman" w:hAnsi="Times New Roman" w:cs="Times New Roman"/>
          <w:sz w:val="24"/>
          <w:szCs w:val="24"/>
        </w:rPr>
        <w:t>(</w:t>
      </w:r>
      <w:r w:rsidR="00F0247D">
        <w:rPr>
          <w:rFonts w:ascii="Times New Roman" w:hAnsi="Times New Roman" w:cs="Times New Roman"/>
          <w:sz w:val="24"/>
          <w:szCs w:val="24"/>
        </w:rPr>
        <w:t>MONTEIRO, André Luís, 2013</w:t>
      </w:r>
      <w:r w:rsidR="00AA5320">
        <w:rPr>
          <w:rFonts w:ascii="Times New Roman" w:hAnsi="Times New Roman" w:cs="Times New Roman"/>
          <w:sz w:val="24"/>
          <w:szCs w:val="24"/>
        </w:rPr>
        <w:t>).</w:t>
      </w:r>
    </w:p>
    <w:p w:rsidR="00540699" w:rsidRDefault="002E02DA" w:rsidP="005B6124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4114F">
        <w:rPr>
          <w:rFonts w:ascii="Times New Roman" w:hAnsi="Times New Roman" w:cs="Times New Roman"/>
          <w:sz w:val="24"/>
          <w:szCs w:val="24"/>
        </w:rPr>
        <w:t xml:space="preserve"> </w:t>
      </w:r>
      <w:r w:rsidR="00A02C6A">
        <w:rPr>
          <w:rFonts w:ascii="Times New Roman" w:hAnsi="Times New Roman" w:cs="Times New Roman"/>
          <w:sz w:val="24"/>
          <w:szCs w:val="24"/>
        </w:rPr>
        <w:t xml:space="preserve">  </w:t>
      </w:r>
      <w:r w:rsidR="005B6124">
        <w:rPr>
          <w:rFonts w:ascii="Times New Roman" w:hAnsi="Times New Roman" w:cs="Times New Roman"/>
          <w:sz w:val="24"/>
          <w:szCs w:val="24"/>
        </w:rPr>
        <w:t xml:space="preserve">Por questões didáticas e sistemáticas, é imprescindível </w:t>
      </w:r>
      <w:r w:rsidR="00D014BA">
        <w:rPr>
          <w:rFonts w:ascii="Times New Roman" w:hAnsi="Times New Roman" w:cs="Times New Roman"/>
          <w:sz w:val="24"/>
          <w:szCs w:val="24"/>
        </w:rPr>
        <w:t>realizar uma conceituação</w:t>
      </w:r>
      <w:r w:rsidR="005B6124">
        <w:rPr>
          <w:rFonts w:ascii="Times New Roman" w:hAnsi="Times New Roman" w:cs="Times New Roman"/>
          <w:sz w:val="24"/>
          <w:szCs w:val="24"/>
        </w:rPr>
        <w:t xml:space="preserve"> prévia a cerca da exceção processual e material. </w:t>
      </w:r>
      <w:r w:rsidR="00540699">
        <w:rPr>
          <w:rFonts w:ascii="Times New Roman" w:hAnsi="Times New Roman" w:cs="Times New Roman"/>
          <w:sz w:val="24"/>
          <w:szCs w:val="24"/>
        </w:rPr>
        <w:t>A</w:t>
      </w:r>
      <w:r w:rsidR="005B6124">
        <w:rPr>
          <w:rFonts w:ascii="Times New Roman" w:hAnsi="Times New Roman" w:cs="Times New Roman"/>
          <w:sz w:val="24"/>
          <w:szCs w:val="24"/>
        </w:rPr>
        <w:t xml:space="preserve"> process</w:t>
      </w:r>
      <w:r w:rsidR="000127C1">
        <w:rPr>
          <w:rFonts w:ascii="Times New Roman" w:hAnsi="Times New Roman" w:cs="Times New Roman"/>
          <w:sz w:val="24"/>
          <w:szCs w:val="24"/>
        </w:rPr>
        <w:t>ual, conforme leciona Fredie Di</w:t>
      </w:r>
      <w:r w:rsidR="005B6124">
        <w:rPr>
          <w:rFonts w:ascii="Times New Roman" w:hAnsi="Times New Roman" w:cs="Times New Roman"/>
          <w:sz w:val="24"/>
          <w:szCs w:val="24"/>
        </w:rPr>
        <w:t>dier, seria o “meio pelo qual o demandado se defende em juízo</w:t>
      </w:r>
      <w:r w:rsidR="00540699">
        <w:rPr>
          <w:rFonts w:ascii="Times New Roman" w:hAnsi="Times New Roman" w:cs="Times New Roman"/>
          <w:sz w:val="24"/>
          <w:szCs w:val="24"/>
        </w:rPr>
        <w:t>.</w:t>
      </w:r>
      <w:r w:rsidR="005B6124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5B6124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5B6124">
        <w:rPr>
          <w:rFonts w:ascii="Times New Roman" w:hAnsi="Times New Roman" w:cs="Times New Roman"/>
          <w:sz w:val="24"/>
          <w:szCs w:val="24"/>
        </w:rPr>
        <w:t xml:space="preserve">) </w:t>
      </w:r>
      <w:r w:rsidR="00540699">
        <w:rPr>
          <w:rFonts w:ascii="Times New Roman" w:hAnsi="Times New Roman" w:cs="Times New Roman"/>
          <w:sz w:val="24"/>
          <w:szCs w:val="24"/>
        </w:rPr>
        <w:t>E</w:t>
      </w:r>
      <w:r w:rsidR="005B6124">
        <w:rPr>
          <w:rFonts w:ascii="Times New Roman" w:hAnsi="Times New Roman" w:cs="Times New Roman"/>
          <w:sz w:val="24"/>
          <w:szCs w:val="24"/>
        </w:rPr>
        <w:t xml:space="preserve">m sentido processual mais restrito, </w:t>
      </w:r>
      <w:r w:rsidR="00540699">
        <w:rPr>
          <w:rFonts w:ascii="Times New Roman" w:hAnsi="Times New Roman" w:cs="Times New Roman"/>
          <w:sz w:val="24"/>
          <w:szCs w:val="24"/>
        </w:rPr>
        <w:t xml:space="preserve">(..) </w:t>
      </w:r>
      <w:r w:rsidR="005B6124">
        <w:rPr>
          <w:rFonts w:ascii="Times New Roman" w:hAnsi="Times New Roman" w:cs="Times New Roman"/>
          <w:sz w:val="24"/>
          <w:szCs w:val="24"/>
        </w:rPr>
        <w:t xml:space="preserve">seria </w:t>
      </w:r>
      <w:r w:rsidR="00540699">
        <w:rPr>
          <w:rFonts w:ascii="Times New Roman" w:hAnsi="Times New Roman" w:cs="Times New Roman"/>
          <w:sz w:val="24"/>
          <w:szCs w:val="24"/>
        </w:rPr>
        <w:t xml:space="preserve">uma espécie de </w:t>
      </w:r>
      <w:r w:rsidR="005B6124">
        <w:rPr>
          <w:rFonts w:ascii="Times New Roman" w:hAnsi="Times New Roman" w:cs="Times New Roman"/>
          <w:sz w:val="24"/>
          <w:szCs w:val="24"/>
        </w:rPr>
        <w:t xml:space="preserve">matéria que não </w:t>
      </w:r>
      <w:r w:rsidR="00540699">
        <w:rPr>
          <w:rFonts w:ascii="Times New Roman" w:hAnsi="Times New Roman" w:cs="Times New Roman"/>
          <w:sz w:val="24"/>
          <w:szCs w:val="24"/>
        </w:rPr>
        <w:t xml:space="preserve">poderia ser examinada </w:t>
      </w:r>
      <w:proofErr w:type="spellStart"/>
      <w:r w:rsidR="00540699">
        <w:rPr>
          <w:rFonts w:ascii="Times New Roman" w:hAnsi="Times New Roman" w:cs="Times New Roman"/>
          <w:i/>
          <w:sz w:val="24"/>
          <w:szCs w:val="24"/>
        </w:rPr>
        <w:t>ex</w:t>
      </w:r>
      <w:proofErr w:type="spellEnd"/>
      <w:r w:rsidR="0054069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540699">
        <w:rPr>
          <w:rFonts w:ascii="Times New Roman" w:hAnsi="Times New Roman" w:cs="Times New Roman"/>
          <w:i/>
          <w:sz w:val="24"/>
          <w:szCs w:val="24"/>
        </w:rPr>
        <w:t>officio</w:t>
      </w:r>
      <w:proofErr w:type="spellEnd"/>
      <w:r w:rsidR="0054069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40699">
        <w:rPr>
          <w:rFonts w:ascii="Times New Roman" w:hAnsi="Times New Roman" w:cs="Times New Roman"/>
          <w:sz w:val="24"/>
          <w:szCs w:val="24"/>
        </w:rPr>
        <w:t>pelo magistrado”.</w:t>
      </w:r>
      <w:r w:rsidR="00CB5DC9">
        <w:rPr>
          <w:rFonts w:ascii="Times New Roman" w:hAnsi="Times New Roman" w:cs="Times New Roman"/>
          <w:sz w:val="24"/>
          <w:szCs w:val="24"/>
        </w:rPr>
        <w:t xml:space="preserve"> (DIDIER JR, Fredie, 2012,</w:t>
      </w:r>
      <w:r w:rsidR="00540699">
        <w:rPr>
          <w:rFonts w:ascii="Times New Roman" w:hAnsi="Times New Roman" w:cs="Times New Roman"/>
          <w:sz w:val="24"/>
          <w:szCs w:val="24"/>
        </w:rPr>
        <w:t xml:space="preserve"> p. 537). A exceção material, por sua vez, é a anteriormente mencionada oposição à pretensão do autor.</w:t>
      </w:r>
    </w:p>
    <w:p w:rsidR="00DA7DDA" w:rsidRDefault="00823145" w:rsidP="005B6124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Quanto à exceção </w:t>
      </w:r>
      <w:r w:rsidR="00DA7DDA">
        <w:rPr>
          <w:rFonts w:ascii="Times New Roman" w:hAnsi="Times New Roman" w:cs="Times New Roman"/>
          <w:sz w:val="24"/>
          <w:szCs w:val="24"/>
        </w:rPr>
        <w:t xml:space="preserve">substancial supramencionada, conceitua-se previamente como sendo uma defesa exercitada de maneira contrária </w:t>
      </w:r>
      <w:proofErr w:type="gramStart"/>
      <w:r w:rsidR="00DA7DDA"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="00DA7DDA">
        <w:rPr>
          <w:rFonts w:ascii="Times New Roman" w:hAnsi="Times New Roman" w:cs="Times New Roman"/>
          <w:sz w:val="24"/>
          <w:szCs w:val="24"/>
        </w:rPr>
        <w:t xml:space="preserve"> um direito demandado por um autor, sendo qualificada como um sinônimo do termo “contradireito”, uma afirmação de um direito presente na </w:t>
      </w:r>
      <w:r w:rsidR="00DA7DDA">
        <w:rPr>
          <w:rFonts w:ascii="Times New Roman" w:hAnsi="Times New Roman" w:cs="Times New Roman"/>
          <w:i/>
          <w:sz w:val="24"/>
          <w:szCs w:val="24"/>
        </w:rPr>
        <w:t xml:space="preserve">defesa, </w:t>
      </w:r>
      <w:r w:rsidR="00DA7DDA">
        <w:rPr>
          <w:rFonts w:ascii="Times New Roman" w:hAnsi="Times New Roman" w:cs="Times New Roman"/>
          <w:sz w:val="24"/>
          <w:szCs w:val="24"/>
        </w:rPr>
        <w:t xml:space="preserve">e não na </w:t>
      </w:r>
      <w:r w:rsidR="00DA7DDA">
        <w:rPr>
          <w:rFonts w:ascii="Times New Roman" w:hAnsi="Times New Roman" w:cs="Times New Roman"/>
          <w:i/>
          <w:sz w:val="24"/>
          <w:szCs w:val="24"/>
        </w:rPr>
        <w:t xml:space="preserve">ação </w:t>
      </w:r>
      <w:r w:rsidR="00DA7DDA">
        <w:rPr>
          <w:rFonts w:ascii="Times New Roman" w:hAnsi="Times New Roman" w:cs="Times New Roman"/>
          <w:sz w:val="24"/>
          <w:szCs w:val="24"/>
        </w:rPr>
        <w:t>(</w:t>
      </w:r>
      <w:r w:rsidR="00CB5DC9">
        <w:rPr>
          <w:rFonts w:ascii="Times New Roman" w:hAnsi="Times New Roman" w:cs="Times New Roman"/>
          <w:sz w:val="24"/>
          <w:szCs w:val="24"/>
        </w:rPr>
        <w:t>DIDIER JR, Fredie, 2012</w:t>
      </w:r>
      <w:r w:rsidR="00DA7DDA">
        <w:rPr>
          <w:rFonts w:ascii="Times New Roman" w:hAnsi="Times New Roman" w:cs="Times New Roman"/>
          <w:sz w:val="24"/>
          <w:szCs w:val="24"/>
        </w:rPr>
        <w:t>).</w:t>
      </w:r>
    </w:p>
    <w:p w:rsidR="00230835" w:rsidRDefault="00230835" w:rsidP="005B6124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fato </w:t>
      </w:r>
      <w:proofErr w:type="gramStart"/>
      <w:r>
        <w:rPr>
          <w:rFonts w:ascii="Times New Roman" w:hAnsi="Times New Roman" w:cs="Times New Roman"/>
          <w:sz w:val="24"/>
          <w:szCs w:val="24"/>
        </w:rPr>
        <w:t>da exceção ser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uma defesa do réu que se difere da contestação, podemos afirmar que é clara a noção de que a exceção embarca uma certa despretensão inicial de lidar com as prerrogativas preliminares da contestação.</w:t>
      </w:r>
      <w:r w:rsidR="000E02E0">
        <w:rPr>
          <w:rFonts w:ascii="Times New Roman" w:hAnsi="Times New Roman" w:cs="Times New Roman"/>
          <w:sz w:val="24"/>
          <w:szCs w:val="24"/>
        </w:rPr>
        <w:t xml:space="preserve"> É cogente, após ter sido feita uma análise a cerca da sua acepção, que se defina o âmbito de seus desdobramentos e de que forma a mesma ocorre.</w:t>
      </w:r>
      <w:r>
        <w:rPr>
          <w:rFonts w:ascii="Times New Roman" w:hAnsi="Times New Roman" w:cs="Times New Roman"/>
          <w:sz w:val="24"/>
          <w:szCs w:val="24"/>
        </w:rPr>
        <w:t xml:space="preserve"> Dessa forma, preleciona Arruda Alvim que: </w:t>
      </w:r>
    </w:p>
    <w:p w:rsidR="000E02E0" w:rsidRDefault="00230835" w:rsidP="00D64B1A">
      <w:pPr>
        <w:spacing w:before="120" w:after="120" w:line="240" w:lineRule="auto"/>
        <w:ind w:left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 xml:space="preserve">Poderá alegar vício que afeta relação jurídica processual, referentemente à sua principal figura: o juiz, ou o órgão de que seja ele o agente. Assim, poderá deduzir por meio de exceção a incompetência relativa do órgão, a suspeição, ou, ainda, o impedimento do juiz, o que significa que se processará a exceção e o processo </w:t>
      </w:r>
      <w:r w:rsidRPr="00230835">
        <w:rPr>
          <w:rFonts w:ascii="Times New Roman" w:hAnsi="Times New Roman" w:cs="Times New Roman"/>
          <w:sz w:val="20"/>
          <w:szCs w:val="20"/>
        </w:rPr>
        <w:t>ficará paralisado</w:t>
      </w:r>
      <w:r w:rsidR="00540699" w:rsidRPr="00230835">
        <w:rPr>
          <w:rFonts w:ascii="Times New Roman" w:hAnsi="Times New Roman" w:cs="Times New Roman"/>
          <w:sz w:val="20"/>
          <w:szCs w:val="20"/>
        </w:rPr>
        <w:t xml:space="preserve"> </w:t>
      </w:r>
      <w:r w:rsidRPr="00230835">
        <w:rPr>
          <w:rFonts w:ascii="Times New Roman" w:hAnsi="Times New Roman" w:cs="Times New Roman"/>
          <w:sz w:val="20"/>
          <w:szCs w:val="20"/>
        </w:rPr>
        <w:t>até que a exceção seja julgada em primeiro grau (...).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CB5DC9" w:rsidRPr="00CB5DC9">
        <w:rPr>
          <w:rFonts w:ascii="Times New Roman" w:hAnsi="Times New Roman" w:cs="Times New Roman"/>
          <w:sz w:val="20"/>
          <w:szCs w:val="20"/>
        </w:rPr>
        <w:t>ALVIM, Arruda</w:t>
      </w:r>
      <w:r w:rsidR="000E02E0" w:rsidRPr="00CB5DC9">
        <w:rPr>
          <w:rFonts w:ascii="Times New Roman" w:hAnsi="Times New Roman" w:cs="Times New Roman"/>
          <w:sz w:val="20"/>
          <w:szCs w:val="20"/>
        </w:rPr>
        <w:t xml:space="preserve">, </w:t>
      </w:r>
      <w:r w:rsidR="00CB5DC9" w:rsidRPr="00CB5DC9">
        <w:rPr>
          <w:rFonts w:ascii="Times New Roman" w:hAnsi="Times New Roman" w:cs="Times New Roman"/>
          <w:sz w:val="20"/>
          <w:szCs w:val="20"/>
        </w:rPr>
        <w:t>2012, p.</w:t>
      </w:r>
      <w:r w:rsidR="004504EF" w:rsidRPr="00CB5DC9">
        <w:rPr>
          <w:rFonts w:ascii="Times New Roman" w:hAnsi="Times New Roman" w:cs="Times New Roman"/>
          <w:sz w:val="20"/>
          <w:szCs w:val="20"/>
        </w:rPr>
        <w:t xml:space="preserve"> 808</w:t>
      </w:r>
      <w:r w:rsidR="000E02E0">
        <w:rPr>
          <w:rFonts w:ascii="Times New Roman" w:hAnsi="Times New Roman" w:cs="Times New Roman"/>
          <w:sz w:val="24"/>
          <w:szCs w:val="24"/>
        </w:rPr>
        <w:t>).</w:t>
      </w:r>
    </w:p>
    <w:p w:rsidR="002653AF" w:rsidRDefault="004504EF" w:rsidP="000E02E0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Detêm-se então a possibilidade da delimitação de três formas de exceção: de incompetência, suspeição e impedimento. Podemos afirmar que a exceção de incompetência deverá ser tratada como relativa, tendo em vista que a absoluta faz-se matéria da contestação. A segunda hipótese admite que o juiz a reconheça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ex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officio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CB5DC9">
        <w:rPr>
          <w:rFonts w:ascii="Times New Roman" w:hAnsi="Times New Roman" w:cs="Times New Roman"/>
          <w:sz w:val="24"/>
          <w:szCs w:val="24"/>
        </w:rPr>
        <w:t>ALVIM, Arruda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B5DC9">
        <w:rPr>
          <w:rFonts w:ascii="Times New Roman" w:hAnsi="Times New Roman" w:cs="Times New Roman"/>
          <w:sz w:val="24"/>
          <w:szCs w:val="24"/>
        </w:rPr>
        <w:t>2012</w:t>
      </w:r>
      <w:r>
        <w:rPr>
          <w:rFonts w:ascii="Times New Roman" w:hAnsi="Times New Roman" w:cs="Times New Roman"/>
          <w:sz w:val="24"/>
          <w:szCs w:val="24"/>
        </w:rPr>
        <w:t xml:space="preserve">). Conceituando de maneira concisa, temos que a exceção de incompetência </w:t>
      </w:r>
      <w:r w:rsidR="002D3FF9">
        <w:rPr>
          <w:rFonts w:ascii="Times New Roman" w:hAnsi="Times New Roman" w:cs="Times New Roman"/>
          <w:sz w:val="24"/>
          <w:szCs w:val="24"/>
        </w:rPr>
        <w:t xml:space="preserve">é aquela que prevê alteração de competência. A suspeição é decorrente de um vício de imparcialidade e a sua ciência pode chegar ao réu previamente ou posterior à contestação (a referida hipótese de exceção será explanada posteriormente). </w:t>
      </w:r>
      <w:r w:rsidR="002D3FF9">
        <w:rPr>
          <w:rFonts w:ascii="Times New Roman" w:hAnsi="Times New Roman" w:cs="Times New Roman"/>
          <w:sz w:val="24"/>
          <w:szCs w:val="24"/>
        </w:rPr>
        <w:lastRenderedPageBreak/>
        <w:t>A de impedimento, por sua vez, trata-se de uma hipótese de nulidade absoluta (</w:t>
      </w:r>
      <w:r w:rsidR="00CB5DC9">
        <w:rPr>
          <w:rFonts w:ascii="Times New Roman" w:hAnsi="Times New Roman" w:cs="Times New Roman"/>
          <w:sz w:val="24"/>
          <w:szCs w:val="24"/>
        </w:rPr>
        <w:t>FIDÉLIS, Ernane, 2009</w:t>
      </w:r>
      <w:r w:rsidR="002D3FF9">
        <w:rPr>
          <w:rFonts w:ascii="Times New Roman" w:hAnsi="Times New Roman" w:cs="Times New Roman"/>
          <w:sz w:val="24"/>
          <w:szCs w:val="24"/>
        </w:rPr>
        <w:t>).</w:t>
      </w:r>
    </w:p>
    <w:p w:rsidR="002653AF" w:rsidRPr="00B8348D" w:rsidRDefault="002653AF" w:rsidP="002653A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8348D">
        <w:rPr>
          <w:rFonts w:ascii="Times New Roman" w:hAnsi="Times New Roman" w:cs="Times New Roman"/>
          <w:b/>
          <w:sz w:val="24"/>
          <w:szCs w:val="24"/>
        </w:rPr>
        <w:t>2.</w:t>
      </w:r>
      <w:r w:rsidR="00AF3762">
        <w:rPr>
          <w:rFonts w:ascii="Times New Roman" w:hAnsi="Times New Roman" w:cs="Times New Roman"/>
          <w:b/>
          <w:sz w:val="24"/>
          <w:szCs w:val="24"/>
        </w:rPr>
        <w:t xml:space="preserve"> EXCEÇÃO DE SUSPEIÇÃO</w:t>
      </w:r>
    </w:p>
    <w:p w:rsidR="00AF3762" w:rsidRDefault="00AF3762" w:rsidP="002653A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se firmar subsídios que possibilitem uma delimitação a cerca desta hipótese de suspeição, deve-se direciona-la há </w:t>
      </w:r>
      <w:r w:rsidR="00695B01">
        <w:rPr>
          <w:rFonts w:ascii="Times New Roman" w:hAnsi="Times New Roman" w:cs="Times New Roman"/>
          <w:sz w:val="24"/>
          <w:szCs w:val="24"/>
        </w:rPr>
        <w:t xml:space="preserve">um </w:t>
      </w:r>
      <w:r>
        <w:rPr>
          <w:rFonts w:ascii="Times New Roman" w:hAnsi="Times New Roman" w:cs="Times New Roman"/>
          <w:sz w:val="24"/>
          <w:szCs w:val="24"/>
        </w:rPr>
        <w:t>pr</w:t>
      </w:r>
      <w:r w:rsidR="00695B01">
        <w:rPr>
          <w:rFonts w:ascii="Times New Roman" w:hAnsi="Times New Roman" w:cs="Times New Roman"/>
          <w:sz w:val="24"/>
          <w:szCs w:val="24"/>
        </w:rPr>
        <w:t>essuposto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95B01">
        <w:rPr>
          <w:rFonts w:ascii="Times New Roman" w:hAnsi="Times New Roman" w:cs="Times New Roman"/>
          <w:sz w:val="24"/>
          <w:szCs w:val="24"/>
        </w:rPr>
        <w:t>processual de validade referente ao juiz</w:t>
      </w:r>
      <w:r>
        <w:rPr>
          <w:rFonts w:ascii="Times New Roman" w:hAnsi="Times New Roman" w:cs="Times New Roman"/>
          <w:sz w:val="24"/>
          <w:szCs w:val="24"/>
        </w:rPr>
        <w:t xml:space="preserve"> qu</w:t>
      </w:r>
      <w:r w:rsidR="00CB5DC9">
        <w:rPr>
          <w:rFonts w:ascii="Times New Roman" w:hAnsi="Times New Roman" w:cs="Times New Roman"/>
          <w:sz w:val="24"/>
          <w:szCs w:val="24"/>
        </w:rPr>
        <w:t>e é a imparcialidade. Fredie Di</w:t>
      </w:r>
      <w:r>
        <w:rPr>
          <w:rFonts w:ascii="Times New Roman" w:hAnsi="Times New Roman" w:cs="Times New Roman"/>
          <w:sz w:val="24"/>
          <w:szCs w:val="24"/>
        </w:rPr>
        <w:t xml:space="preserve">dier afirma </w:t>
      </w:r>
      <w:r w:rsidR="00695B01">
        <w:rPr>
          <w:rFonts w:ascii="Times New Roman" w:hAnsi="Times New Roman" w:cs="Times New Roman"/>
          <w:sz w:val="24"/>
          <w:szCs w:val="24"/>
        </w:rPr>
        <w:t xml:space="preserve">que </w:t>
      </w:r>
      <w:r>
        <w:rPr>
          <w:rFonts w:ascii="Times New Roman" w:hAnsi="Times New Roman" w:cs="Times New Roman"/>
          <w:sz w:val="24"/>
          <w:szCs w:val="24"/>
        </w:rPr>
        <w:t>há dois graus de parcialidade: são “o impedimento e a suspeição. A parcialidade é vício que não gera extinção do processo: verificado o impedimento/suspeição do magistrado, os autos do processo devem ser remetidos ao seu substituto legal”. (</w:t>
      </w:r>
      <w:r w:rsidR="00CB5DC9">
        <w:rPr>
          <w:rFonts w:ascii="Times New Roman" w:hAnsi="Times New Roman" w:cs="Times New Roman"/>
          <w:sz w:val="24"/>
          <w:szCs w:val="24"/>
        </w:rPr>
        <w:t>DIDIER JR, Fredie, 2013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CB5DC9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. 564). </w:t>
      </w:r>
    </w:p>
    <w:p w:rsidR="00695B01" w:rsidRDefault="00695B01" w:rsidP="002653A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 fins didáticos,</w:t>
      </w:r>
      <w:r w:rsidR="00E3320E">
        <w:rPr>
          <w:rFonts w:ascii="Times New Roman" w:hAnsi="Times New Roman" w:cs="Times New Roman"/>
          <w:sz w:val="24"/>
          <w:szCs w:val="24"/>
        </w:rPr>
        <w:t xml:space="preserve"> distingue-se a suspeição</w:t>
      </w:r>
      <w:r>
        <w:rPr>
          <w:rFonts w:ascii="Times New Roman" w:hAnsi="Times New Roman" w:cs="Times New Roman"/>
          <w:sz w:val="24"/>
          <w:szCs w:val="24"/>
        </w:rPr>
        <w:t xml:space="preserve"> do impedimento pelo fato do primeiro ser “ditado” por subsídios legais que expressam motivos subjetivos. O impedimento, por sua vez, expressa fatos objetivos. Outra distinção se dá pela possibilidade do impedimento ocorrer a qualquer momento, não necessariamente na alegação (como ocorre com a suspeição) por meio da exceção (</w:t>
      </w:r>
      <w:r w:rsidR="00CB5DC9">
        <w:rPr>
          <w:rFonts w:ascii="Times New Roman" w:hAnsi="Times New Roman" w:cs="Times New Roman"/>
          <w:sz w:val="24"/>
          <w:szCs w:val="24"/>
        </w:rPr>
        <w:t>ALVIM, Arruda, 2012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695B01" w:rsidRDefault="00695B01" w:rsidP="002653A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Distinções a parte, detêm-se como objetivo do presente tópico tratar da suspeição como hipótese de imparcialidade do juiz através de atos que favoreçam o</w:t>
      </w:r>
      <w:r w:rsidR="00E3320E">
        <w:rPr>
          <w:rFonts w:ascii="Times New Roman" w:hAnsi="Times New Roman" w:cs="Times New Roman"/>
          <w:sz w:val="24"/>
          <w:szCs w:val="24"/>
        </w:rPr>
        <w:t xml:space="preserve"> autor da demanda ou até mesmo o réu, visto que, apesar de insueto, a legitimidade para alegar incapacidade subjetiva do magistrado também recai ao autor.</w:t>
      </w:r>
      <w:r>
        <w:rPr>
          <w:rFonts w:ascii="Times New Roman" w:hAnsi="Times New Roman" w:cs="Times New Roman"/>
          <w:sz w:val="24"/>
          <w:szCs w:val="24"/>
        </w:rPr>
        <w:t xml:space="preserve"> Tal compreensão será o basilar para explanar a problemática porvindoura. </w:t>
      </w:r>
      <w:r w:rsidR="00E3320E">
        <w:rPr>
          <w:rFonts w:ascii="Times New Roman" w:hAnsi="Times New Roman" w:cs="Times New Roman"/>
          <w:sz w:val="24"/>
          <w:szCs w:val="24"/>
        </w:rPr>
        <w:t>Caracterizado por uma presunção relativa, denota-se que, diferente do impedimento, seus desdobramentos são menos graves e não autorizam uma futura ação rescisória (</w:t>
      </w:r>
      <w:r w:rsidR="00CB5DC9">
        <w:rPr>
          <w:rFonts w:ascii="Times New Roman" w:hAnsi="Times New Roman" w:cs="Times New Roman"/>
          <w:sz w:val="24"/>
          <w:szCs w:val="24"/>
        </w:rPr>
        <w:t>DIDIER JR, Fredie, 2013</w:t>
      </w:r>
      <w:r w:rsidR="00E3320E">
        <w:rPr>
          <w:rFonts w:ascii="Times New Roman" w:hAnsi="Times New Roman" w:cs="Times New Roman"/>
          <w:sz w:val="24"/>
          <w:szCs w:val="24"/>
        </w:rPr>
        <w:t>).</w:t>
      </w:r>
    </w:p>
    <w:p w:rsidR="006A522B" w:rsidRDefault="006A522B" w:rsidP="002653A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Destaca-se, como dito anteriormente, que a exceção de impedimento não se limita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um prazo de alegação. Todavia, em se tratando da suspeição, a ausência de alegação dentro do prazo adequado gera preclusão. Porém, ressalta-se, conforme afirma Ernane </w:t>
      </w:r>
      <w:proofErr w:type="spellStart"/>
      <w:r>
        <w:rPr>
          <w:rFonts w:ascii="Times New Roman" w:hAnsi="Times New Roman" w:cs="Times New Roman"/>
          <w:sz w:val="24"/>
          <w:szCs w:val="24"/>
        </w:rPr>
        <w:t>Fideles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que “a suspeição e o impedimento só devem ser articulados depois da verificação de que o juiz não recusou e atuou no processo, manifestando-se pelo despacho inicial ou logo de imediato ao fato ou conhecimento </w:t>
      </w:r>
      <w:proofErr w:type="gramStart"/>
      <w:r>
        <w:rPr>
          <w:rFonts w:ascii="Times New Roman" w:hAnsi="Times New Roman" w:cs="Times New Roman"/>
          <w:sz w:val="24"/>
          <w:szCs w:val="24"/>
        </w:rPr>
        <w:t>posteriores”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CB5DC9">
        <w:rPr>
          <w:rFonts w:ascii="Times New Roman" w:hAnsi="Times New Roman" w:cs="Times New Roman"/>
          <w:sz w:val="24"/>
          <w:szCs w:val="24"/>
        </w:rPr>
        <w:t xml:space="preserve">FIDÉLIS, Ernane, 2009, p. </w:t>
      </w:r>
      <w:r>
        <w:rPr>
          <w:rFonts w:ascii="Times New Roman" w:hAnsi="Times New Roman" w:cs="Times New Roman"/>
          <w:sz w:val="24"/>
          <w:szCs w:val="24"/>
        </w:rPr>
        <w:t>198).</w:t>
      </w:r>
    </w:p>
    <w:p w:rsidR="006A522B" w:rsidRDefault="006A522B" w:rsidP="002653A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defesa da boa-fé processual, é notória a ocorrência de fatos intoleráveis que se utilizam da exceção de suspeição </w:t>
      </w:r>
      <w:r w:rsidR="00D014BA">
        <w:rPr>
          <w:rFonts w:ascii="Times New Roman" w:hAnsi="Times New Roman" w:cs="Times New Roman"/>
          <w:sz w:val="24"/>
          <w:szCs w:val="24"/>
        </w:rPr>
        <w:t>com finalidades prejudiciais ao decurso da relação processual. É a chamada “indução” de suspei</w:t>
      </w:r>
      <w:r w:rsidR="00CB5DC9">
        <w:rPr>
          <w:rFonts w:ascii="Times New Roman" w:hAnsi="Times New Roman" w:cs="Times New Roman"/>
          <w:sz w:val="24"/>
          <w:szCs w:val="24"/>
        </w:rPr>
        <w:t>ção, conforme afirma Fredie Did</w:t>
      </w:r>
      <w:r w:rsidR="00D014BA">
        <w:rPr>
          <w:rFonts w:ascii="Times New Roman" w:hAnsi="Times New Roman" w:cs="Times New Roman"/>
          <w:sz w:val="24"/>
          <w:szCs w:val="24"/>
        </w:rPr>
        <w:t xml:space="preserve">ier: </w:t>
      </w:r>
    </w:p>
    <w:p w:rsidR="00D014BA" w:rsidRDefault="00D014BA" w:rsidP="00EA009F">
      <w:pPr>
        <w:spacing w:after="0" w:line="24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Tem o proposito de burlar a garantia do juiz natural, com a remessa dos autos ao juiz substituto. A parte que tem esse objetivo passa a praticar atos temerários no processo, dando motivo a diversas decisões contrárias a seus interesses. Essa serie de decisões negativas cria um clima de animosidade no processo, sendo o indicio de que se precisava para a arguição da suspeição. (</w:t>
      </w:r>
      <w:r w:rsidR="00CB5DC9" w:rsidRPr="00CB5DC9">
        <w:rPr>
          <w:rFonts w:ascii="Times New Roman" w:hAnsi="Times New Roman" w:cs="Times New Roman"/>
          <w:sz w:val="20"/>
          <w:szCs w:val="20"/>
        </w:rPr>
        <w:t>DIDIER JR, Fredie, 2013</w:t>
      </w:r>
      <w:r w:rsidRPr="00CB5DC9">
        <w:rPr>
          <w:rFonts w:ascii="Times New Roman" w:hAnsi="Times New Roman" w:cs="Times New Roman"/>
          <w:sz w:val="20"/>
          <w:szCs w:val="20"/>
        </w:rPr>
        <w:t xml:space="preserve">, </w:t>
      </w:r>
      <w:r w:rsidR="00CB5DC9" w:rsidRPr="00CB5DC9">
        <w:rPr>
          <w:rFonts w:ascii="Times New Roman" w:hAnsi="Times New Roman" w:cs="Times New Roman"/>
          <w:sz w:val="20"/>
          <w:szCs w:val="20"/>
        </w:rPr>
        <w:t>p.</w:t>
      </w:r>
      <w:r w:rsidR="00CB5DC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570). </w:t>
      </w:r>
    </w:p>
    <w:p w:rsidR="00D014BA" w:rsidRDefault="00D014BA" w:rsidP="00D014BA">
      <w:pPr>
        <w:spacing w:after="0" w:line="360" w:lineRule="auto"/>
        <w:ind w:left="2268"/>
        <w:jc w:val="both"/>
        <w:rPr>
          <w:rFonts w:ascii="Times New Roman" w:hAnsi="Times New Roman" w:cs="Times New Roman"/>
          <w:sz w:val="20"/>
          <w:szCs w:val="20"/>
        </w:rPr>
      </w:pPr>
    </w:p>
    <w:p w:rsidR="00AF3762" w:rsidRDefault="00D014BA" w:rsidP="002653A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submissão à boa-fé e regras aplicadas analogicamente ao processo civil são medidas diretas para garantir a nocividade de tais condutas.  Temos, portanto, que é corriqueira (de maneira verídica ou não) a alegação de impar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cialidade do juiz por relação de amizade ou inimizade com o autor da demanda (ou em certos casos, conforme analisada a possibilidade, do réu). São estes os fatos que corroboram diretamente a noção da exceção de suspeição em uma relação processual. </w:t>
      </w:r>
    </w:p>
    <w:p w:rsidR="002653AF" w:rsidRDefault="002653AF" w:rsidP="002653AF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653AF" w:rsidRPr="00B8348D" w:rsidRDefault="00D014BA" w:rsidP="002653AF">
      <w:pPr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3. </w:t>
      </w:r>
      <w:r w:rsidRPr="00D014BA">
        <w:rPr>
          <w:rFonts w:ascii="Times New Roman" w:hAnsi="Times New Roman" w:cs="Times New Roman"/>
          <w:b/>
        </w:rPr>
        <w:t>A PROBLEMÁTICA DA IMPOSSIBILIDADE DE SUSPEIÇÃO PELA RELAÇÃO JUIZ-ADVOGADO</w:t>
      </w:r>
    </w:p>
    <w:p w:rsidR="00D014BA" w:rsidRDefault="000A6E77" w:rsidP="002653AF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Fora tratado anteriormente </w:t>
      </w:r>
      <w:proofErr w:type="gramStart"/>
      <w:r w:rsidR="00EA20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proofErr w:type="gramEnd"/>
      <w:r w:rsidR="00EA20A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hipótese de alegação de exceção de suspeição por um caráter de parcialidade da relação entre o juiz e autor da demanda ou até mesmo do juiz e réu. Categoricamente, surge uma problemática no que tange uma ausência de fundamento legal a cerca das relações entre o juiz e advogado. </w:t>
      </w:r>
    </w:p>
    <w:p w:rsidR="00EA20A7" w:rsidRDefault="00B11844" w:rsidP="002653AF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Na busca de uma explicação teórica da deficiência de um posicionamento do Código de Processo Civil frente à problemática apresentada, ostenta-se que, diferente do que ocorre na relação com as demais partes, uma relação de amizade (ou inimizade) entre juiz e procurador não acarreta afetação ao seu julgamento, fundamentando-se tal afirmação em um contexto histórico da formação do código de processo em que as relações entre juízes e advogados eram consideradas extremamente corriqueiras</w:t>
      </w:r>
      <w:r w:rsidR="00CB5D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(FREITAS, Vladimir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2012).  </w:t>
      </w:r>
    </w:p>
    <w:p w:rsidR="00B11844" w:rsidRDefault="00B11844" w:rsidP="002653AF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ressalva que deve ser feita se dá no caráter de prejudicialidade que pode decorrer de tais relações</w:t>
      </w:r>
      <w:r w:rsidR="000A6E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em âmbito contemporâneo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0A6E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O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bstante </w:t>
      </w:r>
      <w:proofErr w:type="gramStart"/>
      <w:r w:rsidR="000A6E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à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generalizações sem respaldo ou desenfreadas, admite-se a possibilidade de uma afetação direta aos interesses do cliente através de transigências inadmissíveis que podem decorrer de uma parcialidade recíproca entre juiz e procurador (</w:t>
      </w:r>
      <w:r w:rsidR="00F024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TUCCI; ROGÉRIO, José, 1998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0A6E77" w:rsidRDefault="00B11844" w:rsidP="002653AF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Como via </w:t>
      </w:r>
      <w:r w:rsidR="00F024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 mão-dupla, conforme afirmam José Rogério Cruz e Tucci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há também possibilidade de </w:t>
      </w:r>
      <w:r w:rsidR="000A6E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que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uma pré-ciência e temor de parcialidade afetem a um magistrado que busca pautar decisões nos âmbitos legais e acabe</w:t>
      </w:r>
      <w:r w:rsidR="000A6E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gerando prejudicialidade à parte com que tem relação de inclinação com o seu referido </w:t>
      </w:r>
      <w:proofErr w:type="gramStart"/>
      <w:r w:rsidR="000A6E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procurador.</w:t>
      </w:r>
      <w:proofErr w:type="gramEnd"/>
      <w:r w:rsidR="000A6E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F0247D" w:rsidRPr="00F024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F024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TUCCI; ROGÉRIO, José, 1998</w:t>
      </w:r>
      <w:r w:rsidR="000A6E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).</w:t>
      </w:r>
    </w:p>
    <w:p w:rsidR="00B24442" w:rsidRDefault="00C21B23" w:rsidP="002653AF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Em matéria de direito estrangeiro, há o exemplo do Código de Processo Civil </w:t>
      </w:r>
      <w:r w:rsidR="00B244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italiano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que trata da matéria de suspeição (no âmbito da relação em que se estabelece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 presente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problemática) de maneira diversa ao brasileiro. Mediante o Decreto Real 1.443/40, considera-se a exceção de suspeição referente ao juiz e advogado em casos de inimizade ou pendencias de dívidas com o procurador de uma das partes</w:t>
      </w:r>
      <w:r w:rsidR="00F024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(FREITAS, Vladimir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2012). </w:t>
      </w:r>
    </w:p>
    <w:p w:rsidR="00B24442" w:rsidRDefault="00B24442" w:rsidP="002653AF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 âmbito brasileiro, a grande detentora para superação desse conflito encontra-se fundamentada nas decisões jurisprudenciais. Todavia, quase que majoritariamente é frequente a impossibilidade de provimento por não configurar as hipóteses do Art. 135 do Código de Processo Civil.</w:t>
      </w:r>
    </w:p>
    <w:p w:rsidR="00D014BA" w:rsidRDefault="00B24442" w:rsidP="002653AF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Destarte, é notório que atualmente há uma deficiência no que diz respeito a uma ausência de dispositivo legal que acarreta em desdobramentos prejudiciais para o andamento de relações processuais pautadas em princípios de imparcialidade e justiça. Em cogitação da possibilidade de apresentar soluções, é inegável que o inserimento de novos subsídios para a possibilidade de exceção por suspeição ao art. 135 do Código de Processo Civil é a principal prerrogativa para solucionar e proporcionar uma visão holística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cerca das mazelas que podem residir </w:t>
      </w:r>
      <w:r w:rsidR="00A162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 andamentos processuais, ponto</w:t>
      </w:r>
      <w:proofErr w:type="gramEnd"/>
      <w:r w:rsidR="00A1626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em pauta a imparcialidade e abrangência das possibilidades de suspeição. </w:t>
      </w:r>
    </w:p>
    <w:p w:rsidR="002653AF" w:rsidRDefault="002653AF" w:rsidP="002653A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653AF" w:rsidRDefault="002653AF" w:rsidP="002653AF">
      <w:pPr>
        <w:spacing w:before="120" w:after="12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CONSIDERAÇÕES FINAIS</w:t>
      </w:r>
    </w:p>
    <w:p w:rsidR="00F0247D" w:rsidRDefault="00F0247D" w:rsidP="002653AF">
      <w:pPr>
        <w:spacing w:before="120" w:after="12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Exceção encontra-se inserida no rol das possibilidades de defesa do réu. Como uma prerrogativa que vem anterior a contestação, busca gerar uma determinada oposição frente a uma pretensão executada pelo autor de uma demanda. </w:t>
      </w:r>
    </w:p>
    <w:p w:rsidR="005B281F" w:rsidRDefault="00F0247D" w:rsidP="002653A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Além de sua conceituação e aplicação teórica, das exceções é possível depreender modalidades que se instauram em casos específicos. São essas: suspeição, impedimento e </w:t>
      </w:r>
      <w:r w:rsidR="005B281F">
        <w:rPr>
          <w:rFonts w:ascii="Times New Roman" w:hAnsi="Times New Roman" w:cs="Times New Roman"/>
          <w:sz w:val="24"/>
          <w:szCs w:val="24"/>
        </w:rPr>
        <w:t>incompetência.</w:t>
      </w:r>
    </w:p>
    <w:p w:rsidR="00F0247D" w:rsidRDefault="005B281F" w:rsidP="002653A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 presente trabalho fora dada uma ênfase na modalidade de suspeição. Tal iniciativa decorre da pretensão de elaborar um percurso lógico que permitisse a ciência das particularidades e desdobramentos dessa modalidade, bem como um de seus subsídios que tem relação direta com a problemática levantada: hipóteses de suspeição em casos de imparcialidade entre juiz e réu ou até mesmo entre juiz e autor.</w:t>
      </w:r>
    </w:p>
    <w:p w:rsidR="002653AF" w:rsidRPr="005B281F" w:rsidRDefault="002653AF" w:rsidP="005B281F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fim, </w:t>
      </w:r>
      <w:r w:rsidR="005B281F">
        <w:rPr>
          <w:rFonts w:ascii="Times New Roman" w:hAnsi="Times New Roman" w:cs="Times New Roman"/>
          <w:sz w:val="24"/>
          <w:szCs w:val="24"/>
        </w:rPr>
        <w:t xml:space="preserve">encontra-se uma ausência de dispositivo legal (ou de uma quantidade maior de incisos do art. 135) no Código de Processo Civil que abarcasse </w:t>
      </w:r>
      <w:r w:rsidR="005B281F">
        <w:rPr>
          <w:rFonts w:ascii="Times New Roman" w:hAnsi="Times New Roman" w:cs="Times New Roman"/>
          <w:sz w:val="24"/>
          <w:szCs w:val="24"/>
        </w:rPr>
        <w:lastRenderedPageBreak/>
        <w:t xml:space="preserve">uma possibilidade ordinária na atualidade: imparcialidade gerada por relação entre juiz e advogado. </w:t>
      </w:r>
      <w:proofErr w:type="gramStart"/>
      <w:r w:rsidR="005B281F">
        <w:rPr>
          <w:rFonts w:ascii="Times New Roman" w:hAnsi="Times New Roman" w:cs="Times New Roman"/>
          <w:sz w:val="24"/>
          <w:szCs w:val="24"/>
        </w:rPr>
        <w:t>Foi</w:t>
      </w:r>
      <w:proofErr w:type="gramEnd"/>
      <w:r w:rsidR="005B281F">
        <w:rPr>
          <w:rFonts w:ascii="Times New Roman" w:hAnsi="Times New Roman" w:cs="Times New Roman"/>
          <w:sz w:val="24"/>
          <w:szCs w:val="24"/>
        </w:rPr>
        <w:t xml:space="preserve"> explanado as particularidades dessa hipótese e uma comparação com o direito estrangeiro a fim de testificar que de fato é uma ocorrência que carece de um tratamento diferenciado, visto que enseja diretamente em consequências que podem vir a prejudicar um determinado andamento processual. </w:t>
      </w:r>
    </w:p>
    <w:p w:rsidR="002653AF" w:rsidRDefault="002653AF" w:rsidP="002653AF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653AF" w:rsidRDefault="002653AF" w:rsidP="002653AF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653AF" w:rsidRDefault="002653AF" w:rsidP="002653AF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653AF" w:rsidRDefault="002653AF" w:rsidP="002653AF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653AF" w:rsidRDefault="002653AF" w:rsidP="002653AF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653AF" w:rsidRDefault="002653AF" w:rsidP="002653AF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653AF" w:rsidRDefault="002653AF" w:rsidP="002653AF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653AF" w:rsidRDefault="002653AF" w:rsidP="002653AF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653AF" w:rsidRDefault="002653AF" w:rsidP="002653AF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653AF" w:rsidRDefault="002653AF" w:rsidP="002653AF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653AF" w:rsidRDefault="002653AF" w:rsidP="002653AF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653AF" w:rsidRDefault="002653AF" w:rsidP="002653AF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653AF" w:rsidRDefault="002653AF" w:rsidP="002653AF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653AF" w:rsidRDefault="002653AF" w:rsidP="002653AF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653AF" w:rsidRDefault="002653AF" w:rsidP="002653AF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653AF" w:rsidRDefault="002653AF" w:rsidP="002653AF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653AF" w:rsidRDefault="002653AF" w:rsidP="002653AF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653AF" w:rsidRDefault="002653AF" w:rsidP="002653AF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653AF" w:rsidRDefault="002653AF" w:rsidP="002653AF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16265" w:rsidRDefault="00A16265" w:rsidP="002653AF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A16265" w:rsidRDefault="00A16265" w:rsidP="002653AF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A009F" w:rsidRDefault="00EA009F" w:rsidP="002653AF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A009F" w:rsidRDefault="00EA009F" w:rsidP="002653AF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A009F" w:rsidRDefault="00EA009F" w:rsidP="002653AF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A009F" w:rsidRDefault="00EA009F" w:rsidP="002653AF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B281F" w:rsidRDefault="005B281F" w:rsidP="002653AF">
      <w:pPr>
        <w:spacing w:after="0" w:line="360" w:lineRule="auto"/>
        <w:ind w:firstLine="1134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F329F" w:rsidRDefault="005F329F" w:rsidP="00265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653AF" w:rsidRPr="00A332E5" w:rsidRDefault="002653AF" w:rsidP="00265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REFERÊNCIAS </w:t>
      </w:r>
    </w:p>
    <w:p w:rsidR="002653AF" w:rsidRDefault="002653AF" w:rsidP="00265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81F" w:rsidRDefault="005B281F" w:rsidP="00265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ALVIM, Arruda. </w:t>
      </w:r>
      <w:r>
        <w:rPr>
          <w:rFonts w:ascii="Times New Roman" w:hAnsi="Times New Roman" w:cs="Times New Roman"/>
          <w:b/>
          <w:sz w:val="24"/>
          <w:szCs w:val="24"/>
        </w:rPr>
        <w:t xml:space="preserve">Manual de Direito Processual Civil. </w:t>
      </w:r>
      <w:r>
        <w:rPr>
          <w:rFonts w:ascii="Times New Roman" w:hAnsi="Times New Roman" w:cs="Times New Roman"/>
          <w:sz w:val="24"/>
          <w:szCs w:val="24"/>
        </w:rPr>
        <w:t>São Paulo:</w:t>
      </w:r>
      <w:r w:rsidR="001448EF">
        <w:rPr>
          <w:rFonts w:ascii="Times New Roman" w:hAnsi="Times New Roman" w:cs="Times New Roman"/>
          <w:sz w:val="24"/>
          <w:szCs w:val="24"/>
        </w:rPr>
        <w:t xml:space="preserve"> Revista dos Tribunais, 2012.</w:t>
      </w:r>
    </w:p>
    <w:p w:rsidR="001448EF" w:rsidRDefault="001448EF" w:rsidP="00265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48EF" w:rsidRDefault="001448EF" w:rsidP="00265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DIDIER JR, Fredie. </w:t>
      </w:r>
      <w:r>
        <w:rPr>
          <w:rFonts w:ascii="Times New Roman" w:hAnsi="Times New Roman" w:cs="Times New Roman"/>
          <w:b/>
          <w:sz w:val="24"/>
          <w:szCs w:val="24"/>
        </w:rPr>
        <w:t xml:space="preserve">Curso de Direito Processual Civil. </w:t>
      </w:r>
      <w:r>
        <w:rPr>
          <w:rFonts w:ascii="Times New Roman" w:hAnsi="Times New Roman" w:cs="Times New Roman"/>
          <w:sz w:val="24"/>
          <w:szCs w:val="24"/>
        </w:rPr>
        <w:t xml:space="preserve">Bahia: </w:t>
      </w:r>
      <w:proofErr w:type="spellStart"/>
      <w:r>
        <w:rPr>
          <w:rFonts w:ascii="Times New Roman" w:hAnsi="Times New Roman" w:cs="Times New Roman"/>
          <w:sz w:val="24"/>
          <w:szCs w:val="24"/>
        </w:rPr>
        <w:t>Juspodivm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448EF" w:rsidRDefault="001448EF" w:rsidP="00265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448EF" w:rsidRDefault="001448EF" w:rsidP="00265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FIDÉLIS, Ernane. </w:t>
      </w:r>
      <w:r>
        <w:rPr>
          <w:rFonts w:ascii="Times New Roman" w:hAnsi="Times New Roman" w:cs="Times New Roman"/>
          <w:b/>
          <w:sz w:val="24"/>
          <w:szCs w:val="24"/>
        </w:rPr>
        <w:t xml:space="preserve">Manual de Direito Processual Civil. </w:t>
      </w:r>
      <w:r>
        <w:rPr>
          <w:rFonts w:ascii="Times New Roman" w:hAnsi="Times New Roman" w:cs="Times New Roman"/>
          <w:sz w:val="24"/>
          <w:szCs w:val="24"/>
        </w:rPr>
        <w:t>São Paulo: Saraiva.</w:t>
      </w:r>
    </w:p>
    <w:p w:rsidR="005F329F" w:rsidRDefault="005F329F" w:rsidP="00265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81F" w:rsidRDefault="005F329F" w:rsidP="00265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FREITAS, Vladimir. </w:t>
      </w:r>
      <w:r w:rsidRPr="005F329F">
        <w:rPr>
          <w:rFonts w:ascii="Times New Roman" w:hAnsi="Times New Roman" w:cs="Times New Roman"/>
          <w:b/>
          <w:sz w:val="24"/>
          <w:szCs w:val="24"/>
        </w:rPr>
        <w:t>Revisando a suspeição entre juiz e advogado.</w:t>
      </w:r>
      <w:r>
        <w:rPr>
          <w:rFonts w:ascii="Times New Roman" w:hAnsi="Times New Roman" w:cs="Times New Roman"/>
          <w:b/>
          <w:sz w:val="24"/>
          <w:szCs w:val="24"/>
        </w:rPr>
        <w:t xml:space="preserve"> &lt;</w:t>
      </w:r>
      <w:r w:rsidRPr="005F329F">
        <w:t xml:space="preserve"> </w:t>
      </w:r>
      <w:hyperlink r:id="rId8" w:history="1">
        <w:r w:rsidRPr="005F329F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http://www.conjur.com.br/2012-mar-18/segunda-leitura-revisitando-suspeicao-entre-juiz-advogado</w:t>
        </w:r>
      </w:hyperlink>
      <w:r w:rsidRPr="005F329F">
        <w:rPr>
          <w:rFonts w:ascii="Times New Roman" w:hAnsi="Times New Roman" w:cs="Times New Roman"/>
          <w:color w:val="000000" w:themeColor="text1"/>
          <w:sz w:val="24"/>
          <w:szCs w:val="24"/>
        </w:rPr>
        <w:t>&gt; Acesso em: 25 de Julho de 2013.</w:t>
      </w:r>
      <w:r>
        <w:rPr>
          <w:color w:val="000000" w:themeColor="text1"/>
        </w:rPr>
        <w:t xml:space="preserve"> </w:t>
      </w:r>
    </w:p>
    <w:p w:rsidR="005F329F" w:rsidRDefault="005F329F" w:rsidP="00265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81F" w:rsidRDefault="001448EF" w:rsidP="00265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REVISTA DE PROCESSO.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O regime das Exceções no Direito Processual Civil brasileiro: de mérito e processual, direta e indireta, dilatória e peremptória, exceção e objeção.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Vol. 216, p. 35,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fev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2013.</w:t>
      </w:r>
    </w:p>
    <w:p w:rsidR="005B281F" w:rsidRDefault="005B281F" w:rsidP="00265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81F" w:rsidRDefault="001448EF" w:rsidP="00265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REVISTA DE PROCESSO.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Do relacionamento Juiz-advogado como motivo de suspeição.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Vol. 03, p. 1295, out 2011.</w:t>
      </w:r>
    </w:p>
    <w:p w:rsidR="005B281F" w:rsidRDefault="005B281F" w:rsidP="00265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81F" w:rsidRDefault="005B281F" w:rsidP="00265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81F" w:rsidRDefault="005B281F" w:rsidP="00265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81F" w:rsidRDefault="005B281F" w:rsidP="00265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81F" w:rsidRDefault="005B281F" w:rsidP="00265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81F" w:rsidRDefault="005B281F" w:rsidP="00265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81F" w:rsidRDefault="005B281F" w:rsidP="00265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81F" w:rsidRDefault="005B281F" w:rsidP="00265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81F" w:rsidRDefault="005B281F" w:rsidP="00265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B281F" w:rsidRDefault="005B281F" w:rsidP="00265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53AF" w:rsidRDefault="002653AF" w:rsidP="002653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58A1" w:rsidRDefault="001B58A1"/>
    <w:sectPr w:rsidR="001B58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B61" w:rsidRDefault="00030B61" w:rsidP="002653AF">
      <w:pPr>
        <w:spacing w:after="0" w:line="240" w:lineRule="auto"/>
      </w:pPr>
      <w:r>
        <w:separator/>
      </w:r>
    </w:p>
  </w:endnote>
  <w:endnote w:type="continuationSeparator" w:id="0">
    <w:p w:rsidR="00030B61" w:rsidRDefault="00030B61" w:rsidP="00265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B61" w:rsidRDefault="00030B61" w:rsidP="002653AF">
      <w:pPr>
        <w:spacing w:after="0" w:line="240" w:lineRule="auto"/>
      </w:pPr>
      <w:r>
        <w:separator/>
      </w:r>
    </w:p>
  </w:footnote>
  <w:footnote w:type="continuationSeparator" w:id="0">
    <w:p w:rsidR="00030B61" w:rsidRDefault="00030B61" w:rsidP="002653AF">
      <w:pPr>
        <w:spacing w:after="0" w:line="240" w:lineRule="auto"/>
      </w:pPr>
      <w:r>
        <w:continuationSeparator/>
      </w:r>
    </w:p>
  </w:footnote>
  <w:footnote w:id="1">
    <w:p w:rsidR="002653AF" w:rsidRDefault="002653AF" w:rsidP="002653AF">
      <w:pPr>
        <w:pStyle w:val="Textodenotaderodap"/>
        <w:rPr>
          <w:rFonts w:ascii="Times New Roman" w:hAnsi="Times New Roman" w:cs="Times New Roman"/>
        </w:rPr>
      </w:pPr>
      <w:r>
        <w:rPr>
          <w:rStyle w:val="CaracteresdeNotadeRodap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Acadêmico do 4º período do curso de direito da UNDB </w:t>
      </w:r>
    </w:p>
    <w:p w:rsidR="005F329F" w:rsidRDefault="005F329F" w:rsidP="002653AF">
      <w:pPr>
        <w:pStyle w:val="Textodenotaderodap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²</w:t>
      </w:r>
      <w:proofErr w:type="gramEnd"/>
      <w:r w:rsidRPr="005F329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Acadêmico do 4º período do curso de direito da UNDB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3D5739"/>
    <w:multiLevelType w:val="hybridMultilevel"/>
    <w:tmpl w:val="CDBADA1A"/>
    <w:lvl w:ilvl="0" w:tplc="ECEEE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3AF"/>
    <w:rsid w:val="000127C1"/>
    <w:rsid w:val="00030B61"/>
    <w:rsid w:val="000A6E77"/>
    <w:rsid w:val="000E02E0"/>
    <w:rsid w:val="001448EF"/>
    <w:rsid w:val="001B58A1"/>
    <w:rsid w:val="00230835"/>
    <w:rsid w:val="002653AF"/>
    <w:rsid w:val="002D3FF9"/>
    <w:rsid w:val="002E02DA"/>
    <w:rsid w:val="004504EF"/>
    <w:rsid w:val="00540699"/>
    <w:rsid w:val="005B281F"/>
    <w:rsid w:val="005B6124"/>
    <w:rsid w:val="005F329F"/>
    <w:rsid w:val="00695B01"/>
    <w:rsid w:val="006A522B"/>
    <w:rsid w:val="00823145"/>
    <w:rsid w:val="00A02C6A"/>
    <w:rsid w:val="00A16265"/>
    <w:rsid w:val="00A4114F"/>
    <w:rsid w:val="00AA5320"/>
    <w:rsid w:val="00AF3762"/>
    <w:rsid w:val="00B11844"/>
    <w:rsid w:val="00B24442"/>
    <w:rsid w:val="00C21B23"/>
    <w:rsid w:val="00CB5DC9"/>
    <w:rsid w:val="00D014BA"/>
    <w:rsid w:val="00D64B1A"/>
    <w:rsid w:val="00D71119"/>
    <w:rsid w:val="00DA7DDA"/>
    <w:rsid w:val="00E3320E"/>
    <w:rsid w:val="00EA009F"/>
    <w:rsid w:val="00EA20A7"/>
    <w:rsid w:val="00F02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3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unhideWhenUsed/>
    <w:rsid w:val="002653A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2653AF"/>
    <w:rPr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65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2653AF"/>
    <w:rPr>
      <w:rFonts w:ascii="Tahoma" w:hAnsi="Tahoma" w:cs="Tahoma"/>
      <w:sz w:val="16"/>
      <w:szCs w:val="16"/>
    </w:rPr>
  </w:style>
  <w:style w:type="character" w:customStyle="1" w:styleId="CaracteresdeNotadeRodap">
    <w:name w:val="Caracteres de Nota de Rodapé"/>
    <w:basedOn w:val="Fontepargpadro"/>
    <w:rsid w:val="002653A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653A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653AF"/>
    <w:rPr>
      <w:b/>
      <w:bCs/>
    </w:rPr>
  </w:style>
  <w:style w:type="character" w:customStyle="1" w:styleId="apple-converted-space">
    <w:name w:val="apple-converted-space"/>
    <w:basedOn w:val="Fontepargpadro"/>
    <w:rsid w:val="002653AF"/>
  </w:style>
  <w:style w:type="character" w:styleId="Hyperlink">
    <w:name w:val="Hyperlink"/>
    <w:basedOn w:val="Fontepargpadro"/>
    <w:uiPriority w:val="99"/>
    <w:semiHidden/>
    <w:unhideWhenUsed/>
    <w:rsid w:val="005F329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3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unhideWhenUsed/>
    <w:rsid w:val="002653AF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2653AF"/>
    <w:rPr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65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2653AF"/>
    <w:rPr>
      <w:rFonts w:ascii="Tahoma" w:hAnsi="Tahoma" w:cs="Tahoma"/>
      <w:sz w:val="16"/>
      <w:szCs w:val="16"/>
    </w:rPr>
  </w:style>
  <w:style w:type="character" w:customStyle="1" w:styleId="CaracteresdeNotadeRodap">
    <w:name w:val="Caracteres de Nota de Rodapé"/>
    <w:basedOn w:val="Fontepargpadro"/>
    <w:rsid w:val="002653AF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653AF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653AF"/>
    <w:rPr>
      <w:b/>
      <w:bCs/>
    </w:rPr>
  </w:style>
  <w:style w:type="character" w:customStyle="1" w:styleId="apple-converted-space">
    <w:name w:val="apple-converted-space"/>
    <w:basedOn w:val="Fontepargpadro"/>
    <w:rsid w:val="002653AF"/>
  </w:style>
  <w:style w:type="character" w:styleId="Hyperlink">
    <w:name w:val="Hyperlink"/>
    <w:basedOn w:val="Fontepargpadro"/>
    <w:uiPriority w:val="99"/>
    <w:semiHidden/>
    <w:unhideWhenUsed/>
    <w:rsid w:val="005F329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jur.com.br/2012-mar-18/segunda-leitura-revisitando-suspeicao-entre-juiz-advogad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8</Pages>
  <Words>2278</Words>
  <Characters>12307</Characters>
  <Application>Microsoft Office Word</Application>
  <DocSecurity>0</DocSecurity>
  <Lines>102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Soeiro</dc:creator>
  <cp:lastModifiedBy>Felipe Soeiro</cp:lastModifiedBy>
  <cp:revision>2</cp:revision>
  <dcterms:created xsi:type="dcterms:W3CDTF">2013-07-27T03:19:00Z</dcterms:created>
  <dcterms:modified xsi:type="dcterms:W3CDTF">2014-03-06T22:30:00Z</dcterms:modified>
</cp:coreProperties>
</file>