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E5" w:rsidRPr="005E5DF6" w:rsidRDefault="00A332E5" w:rsidP="00A332E5">
      <w:pPr>
        <w:tabs>
          <w:tab w:val="left" w:pos="18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DF6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Pr="005E5D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639.337: P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rincí</w:t>
      </w:r>
      <w:r w:rsidRPr="005E5D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pio da proibição de retrocesso social frente ao direito à educação</w:t>
      </w:r>
    </w:p>
    <w:p w:rsidR="00A332E5" w:rsidRPr="00C3269D" w:rsidRDefault="00A332E5" w:rsidP="00A332E5">
      <w:pPr>
        <w:tabs>
          <w:tab w:val="left" w:pos="180"/>
        </w:tabs>
        <w:jc w:val="both"/>
        <w:rPr>
          <w:rFonts w:ascii="Times New Roman" w:hAnsi="Times New Roman" w:cs="Times New Roman"/>
          <w:b/>
        </w:rPr>
      </w:pPr>
    </w:p>
    <w:p w:rsidR="00A332E5" w:rsidRDefault="00A332E5" w:rsidP="00A332E5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before="120"/>
        <w:jc w:val="right"/>
        <w:rPr>
          <w:rStyle w:val="CaracteresdeNotadeRodap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Felipe Marto Soeiro Carneiro </w:t>
      </w:r>
      <w:r>
        <w:rPr>
          <w:rStyle w:val="CaracteresdeNotadeRodap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332E5" w:rsidRDefault="00A332E5" w:rsidP="00A332E5">
      <w:pPr>
        <w:tabs>
          <w:tab w:val="left" w:pos="180"/>
        </w:tabs>
        <w:spacing w:before="120"/>
        <w:jc w:val="right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before="120"/>
        <w:ind w:left="3969" w:firstLine="3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32E5" w:rsidRDefault="00A332E5" w:rsidP="00A332E5">
      <w:pPr>
        <w:tabs>
          <w:tab w:val="left" w:pos="180"/>
        </w:tabs>
        <w:spacing w:before="120"/>
        <w:ind w:left="2268" w:firstLine="3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>Sumário:</w:t>
      </w:r>
      <w:r>
        <w:rPr>
          <w:rFonts w:ascii="Times New Roman" w:hAnsi="Times New Roman" w:cs="Times New Roman"/>
        </w:rPr>
        <w:t xml:space="preserve"> INTRODUÇÃO;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.Breve acepção do princípio de proibição de retrocesso social 2. O direito à educação e sua natureza </w:t>
      </w:r>
      <w:proofErr w:type="spellStart"/>
      <w:r>
        <w:rPr>
          <w:rFonts w:ascii="Times New Roman" w:hAnsi="Times New Roman" w:cs="Times New Roman"/>
        </w:rPr>
        <w:t>prestacional</w:t>
      </w:r>
      <w:proofErr w:type="spellEnd"/>
      <w:r>
        <w:rPr>
          <w:rFonts w:ascii="Times New Roman" w:hAnsi="Times New Roman" w:cs="Times New Roman"/>
        </w:rPr>
        <w:t xml:space="preserve"> na Constituição Federal; </w:t>
      </w: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>. ARE 639.337 e a proibição de retrocesso em matéria de direito à educação; Considerações Finais; Referências.</w:t>
      </w:r>
    </w:p>
    <w:p w:rsidR="00A332E5" w:rsidRDefault="00A332E5" w:rsidP="00A332E5">
      <w:pPr>
        <w:tabs>
          <w:tab w:val="left" w:pos="180"/>
        </w:tabs>
        <w:spacing w:before="120"/>
        <w:ind w:left="3969" w:hanging="3685"/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before="120"/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before="120"/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before="120"/>
        <w:ind w:left="3969" w:hanging="36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</w:t>
      </w:r>
    </w:p>
    <w:p w:rsidR="00A332E5" w:rsidRDefault="00A332E5" w:rsidP="00A332E5">
      <w:pPr>
        <w:tabs>
          <w:tab w:val="left" w:pos="1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Apresenta-se um estudo sobre a Proibição de Retrocesso Social. Comenta-se sobre as suas particularidades, consequências e um sucinto processo conceitual. Logo depois, aborda-se o supracitado princípio frente ao direito fundamental à educação e, por fim, uma decisão do STF sobre o referido tema.</w:t>
      </w:r>
    </w:p>
    <w:p w:rsidR="00A332E5" w:rsidRDefault="00A332E5" w:rsidP="00A332E5">
      <w:pPr>
        <w:tabs>
          <w:tab w:val="left" w:pos="180"/>
        </w:tabs>
        <w:spacing w:before="120"/>
        <w:ind w:left="284"/>
        <w:jc w:val="both"/>
        <w:rPr>
          <w:rFonts w:ascii="Times New Roman" w:hAnsi="Times New Roman" w:cs="Times New Roman"/>
        </w:rPr>
      </w:pPr>
    </w:p>
    <w:p w:rsidR="00A332E5" w:rsidRDefault="00A332E5" w:rsidP="00A332E5">
      <w:pPr>
        <w:tabs>
          <w:tab w:val="left" w:pos="18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Proibição. Retrocesso. Direito à educação. Direitos fundamentais.</w:t>
      </w: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pStyle w:val="MapadoDocumento"/>
        <w:rPr>
          <w:rFonts w:ascii="Times New Roman" w:hAnsi="Times New Roman" w:cs="Times New Roman"/>
          <w:lang w:eastAsia="pt-BR"/>
        </w:rPr>
      </w:pPr>
    </w:p>
    <w:p w:rsidR="00A332E5" w:rsidRDefault="00A332E5" w:rsidP="00A332E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ideia de provisão de segurança jurídica é um basilar para toda uma analise a cerca da proibição de retrocesso social. Como uma medida de garantia de um direito julgado, tal princípio assegura o dever estatal de garantir que determinada prestação </w:t>
      </w:r>
      <w:r>
        <w:rPr>
          <w:rFonts w:ascii="Times New Roman" w:hAnsi="Times New Roman" w:cs="Times New Roman"/>
          <w:sz w:val="24"/>
          <w:szCs w:val="24"/>
        </w:rPr>
        <w:lastRenderedPageBreak/>
        <w:t>social seja efetivada, proibindo (com exceções trabalhadas posteriormente) uma reversibilidade prejudicial aos titulares do direito.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 trabalho será desenvolvido da seguinte maneira. O primeiro capítulo comentará sobre as particularidades, os desdobramentos e será levantada uma prévia conceitual com fundamentação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prelecionamentos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alguns autores. Logo após, será discutido o conflito que há entre o princípio da proibição de retrocesso e o princípio da reserva do possível. 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segundo capítulo, será abordado o direito à educação e a sua natureza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fundamentada na Constituição Federal. Será explicado os seus objetivos, sua natureza de direito social, sua matriz social e a sua qualificação como direito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prestações materiais.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5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25BF">
        <w:rPr>
          <w:rFonts w:ascii="Times New Roman" w:hAnsi="Times New Roman" w:cs="Times New Roman"/>
          <w:sz w:val="24"/>
          <w:szCs w:val="24"/>
        </w:rPr>
        <w:t xml:space="preserve">A </w:t>
      </w:r>
      <w:r w:rsidRPr="003D3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proofErr w:type="gramEnd"/>
      <w:r w:rsidRPr="003D3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639.337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decisão do Supremo Tribunal Federal</w:t>
      </w:r>
      <w:r w:rsidRPr="003D37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 o último tópico a ser abordado. Será explicitado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medida que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reversibilidade desse direito (educação) atua como uma violação do princípio da proteção da confiança dos cidadãos. </w:t>
      </w:r>
    </w:p>
    <w:p w:rsidR="00A332E5" w:rsidRPr="000824D1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último, será abordada a prerrogativa de que o alcance da prestação do direito à educação não permite uma atuação do poder público no sentido de deixar de oferecer algo ofertado anteriormente. </w:t>
      </w:r>
    </w:p>
    <w:p w:rsidR="00A332E5" w:rsidRPr="00143B01" w:rsidRDefault="00A332E5" w:rsidP="00A332E5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BREVE ACEPÇÃO</w:t>
      </w:r>
      <w:r w:rsidRPr="00143B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PRINCÍPIO DA PROIBIÇÃ</w:t>
      </w:r>
      <w:r w:rsidRPr="00143B0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DE RETROCESSO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basilar para o entendimento do que seria o principio da proibição de retrocesso, suas particularidades e desdobramentos é a associação que se perfaz com a ideia da providência de uma segurança jurídica (em particular aos direitos fundamentais) em um Estado democrático de direito,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interligada diretamente com a noção dos chamados direitos sociais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Deflui de tal afirmação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prerrogativa de um dever estatal que abrange a proteção contra determinadas violações aos supracitados direitos sociais e fundamentais (SARLET, Ingo, 2011, p. 433).   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direitos fundamentais e sociais, temos como fundamento de sua proteção a ideia de um direito adquirido. Direito este que deve ser garantido e que sustenta um conceito prévio a cerca do princípio da proibição de retrocesso social. Seria uma garantia estatal da não reversibilidade de um direito outrora consagrado e embarcado dentro de contextos sociais de mudanças. Há um subsídio de garantia da qual “se faz valer decisões judiciais e há um impedimento do legislativo em extinguir um direito protegido, violando o seu núcleo essencial.” (CANOTILHO, 2006, p. 177).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Ressalta-se, quanto à determinação do princípio, que verificamos um direcionamento às esferas dos direitos, naquilo que Ingo </w:t>
      </w:r>
      <w:proofErr w:type="spellStart"/>
      <w:r>
        <w:rPr>
          <w:rFonts w:ascii="Times New Roman" w:hAnsi="Times New Roman" w:cs="Times New Roman"/>
          <w:sz w:val="24"/>
          <w:szCs w:val="24"/>
        </w:rPr>
        <w:t>Sarlet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chama de proteção “negativa” (por se tratar de uma vedação da diminuição). A transposição de empecilhos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retrocesso é fundamento de garantia para atuação de medidas públicas que instauram condições necessárias para existência e resguardo dos direitos sociais. (SARLET, Ingo, 2009, p. 123).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atribuições dispostas acima </w:t>
      </w:r>
      <w:proofErr w:type="gramStart"/>
      <w:r>
        <w:rPr>
          <w:rFonts w:ascii="Times New Roman" w:hAnsi="Times New Roman" w:cs="Times New Roman"/>
          <w:sz w:val="24"/>
          <w:szCs w:val="24"/>
        </w:rPr>
        <w:t>depreende-se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problemática que vale ser denotada. O principio da proibição de retrocesso fora trabalhado em um sentido amplo com uma abrangência quase irredutível. Porém, há um conflito quando é posto em pauta o chamado “princípio da reserva do possível”. Com uma sucinta conceituação, podemos defini-lo como uma medida de impossibilitar prestações de serviços que possam ter um caráter de prejudicialidade (financeira) ao poder público. Quanto a isso, preleciona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Marmelstein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ideia de que “a procedência de tal argumento carece de fundamentação suficientemente plausível que demonstre que a decisão causará mais danos que vantagens à efetivação de direitos fundamentais”. (MARMELSTEISN, 2008).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entendemos que as exceções a cerca do principio da proibição de retrocesso atuam de maneira limitada, visto que o Estado tem um dever de comprometimento pautado em sua prévia análise orçamentária. A devida efetivação do referido princípio atua como uma garantia de prestações sociais que geram um equilíbrio e se relacionam diretamente com a supracitada segurança jurídica.</w:t>
      </w:r>
    </w:p>
    <w:p w:rsidR="00A332E5" w:rsidRPr="00B8348D" w:rsidRDefault="00A332E5" w:rsidP="00A332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8D">
        <w:rPr>
          <w:rFonts w:ascii="Times New Roman" w:hAnsi="Times New Roman" w:cs="Times New Roman"/>
          <w:b/>
          <w:sz w:val="24"/>
          <w:szCs w:val="24"/>
        </w:rPr>
        <w:t>2. O DIREITO À EDUCAÇÃO E SUA NATUREZA PRESTACIONAL NA CONSTITUIÇÃO FEDERAL.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Fundamental à educação está presente em diversos artigos da Constituição Federal. Aparece pela primeira vez no art. 6º, sendo definido de forma clara como um direito social, ao lado do direito à saúde, à alimentação, à moradia, ao lazer, etc. Apesar de sua classificação, não é determinado o seu conteúdo. Mesmo assim, André Ramos Tavares afirma que é possível extrair o seu conteúdo mínimo: é “o direito de (igual) acesso à educação, que deve ser concedido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todos, especialmente para os níveis mais basilares de ensino(...)de forma regular e básica” (TAVARES, 200[?], p.5).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No art. 205 a Constituição especificou o direito à educação, designando seus objetiv</w:t>
      </w:r>
      <w:r w:rsidRPr="0061779A">
        <w:rPr>
          <w:rFonts w:ascii="Times New Roman" w:hAnsi="Times New Roman" w:cs="Times New Roman"/>
          <w:sz w:val="24"/>
          <w:szCs w:val="24"/>
        </w:rPr>
        <w:t>os: “</w:t>
      </w:r>
      <w:r w:rsidRPr="0061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pleno desenvolvimento da pessoa, seu preparo para o exercício da cidadania </w:t>
      </w:r>
      <w:r w:rsidRPr="00617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 sua qualificação para o trabalho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(BRASIL, 1988). Esses objetivos deixam claro o sentido que a Constituição conferiu para o direito à educação: o direito de acesso à educação. Porém, não 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qualquer educação, mas àquela que preenche as preocupações constitucionais (TAVARES, 200[?]).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Já no art. 210, é permitida a fixação de conteúdos mínimos para o ensino fundamental, de acordo com o interesse geral. No art. 214 é estabelecida a necessidade de articular o ensino oferecido com realizações humanísticas, científicas e tecnológicas. Além da Constituição Federal, também há previsão normativa do direito à educação em Declarações de Direitos, Pactos Internacionais e na Lei de Diretrizes e Bases da Educação Nacional (Lei nº 9.394 de 1996).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é possível perceber, o direito à educação é de matiz social. Justamente por ser um direito social, ele faz com que o Estado ofereça acesso a todos os interessados (especialmente aos impossibilitados pela falta de recursos financeiros). Essa obrigação gera um dever de atuar positivamente ao Estado, seja: “criando condições normativas adequadas ao exercício desse direito, ou na criação de condições reais, com estruturas, instituições e recursos humanos” (TAVARES, 200[?], p. 11). Um exemplo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desse dever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atuação positiva do Estado pode ser encontrado no art. 30, VI, da Constituição Federal: “manter, com a cooperação técnica e financeira da União e do Estado, programas de educação infantil e de ensino fundamental (BRASIL, 1988).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Paulo Gustavo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Branco classifica o direito à educação como um direito a prestações materiais. Compartilham da mesma classificação o direito à saúde, ao trabalho, ao lazer, á infância, etc. São resultados da concepção social do Estado e possuem a finalidade de diminuir as desigualdades sociais. São caracterizados por possuírem como objeto uma utilidade concreta (bem ou serviço). Por isso, são direito devidos pelo Estado para o cidadão (MENDES, COELHO, BRANCO, 2009).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Pr="00B8348D" w:rsidRDefault="00A332E5" w:rsidP="00A332E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34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ARE 639.337 E A PROIBIÇÃO DE RETROCESSO EM MATÉRIA DE DIREITO À EDUCAÇÃO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2011 o Supremo Tribunal Federal publicou um acórdão negando o provimento ao recurso de agravo feito pela Prefeitura de São Paulo em votação unânime. Este obrigou a prefeitura a matricular as crianças menores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anos em creches próximas de onde moram ou do local de trabalho de seus pais. Com isso, foi mantida a decisão do Tribunal de Justiça de São Paulo, resultado de uma ação movida pelo Ministério Público de São Paulo.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O relator do caso, o ministro Celso de Mello, utilizou, dentre outros argumentos, o art. 208 da Constituição Federal (mais precisamente o inciso IV, que afirma ser dever do Estado garantir a educação infantil de crianças até cinco anos de idade em creche e pré-escola), o art. 54 do Estatuto da Criança e do Adolescente (inciso IV, que obriga o Estado a oferecer atendimento em creche e pré-escola às crianças de zero a seis anos de idade) e o Princípio da Proibição de Retrocesso para fundamentar sua decisão.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ministro coloca, na ementa da decisão, o Princípio da Proibição de Retrocesso como um obstáculo constitucional para impedir a privação ou inadimplemento de direitos a prestações materiais pelo poder público. Afirma que esse princípio obsta o retrocesso das conquistas alcançadas pelo cidadão (STF, 2011). Ou seja, uma vez que a sociedade já alcançou um nível de prestação do direito à educação, o poder público não pode simplesmente deixar de oferecer ou oferecer em um nível menor do que o ofertado anteriormente. Celso de Mello argumenta:</w:t>
      </w:r>
    </w:p>
    <w:p w:rsidR="00A332E5" w:rsidRDefault="00A332E5" w:rsidP="00A332E5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3269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cláusula que veda o retrocesso em matéria de direitos a prestações positivas do Estado (como o direito à educação, o direito à saúde ou o direito à segurança pública, v.g.) traduz, no processo de efetivação desses direitos fundamentais individuais ou coletivos, obstáculo a que os níveis de concretização de tais prerrogativas, uma vez atingidos, venham a ser ulteriormente redu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zidos ou suprimidos pelo Estado (STF, 2011).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Ainda na ementa, o ministro conclui que, ao reconhecer esse direito de prestação material, o Estado assume dois deveres: torna-los efetivos e preservá-los (abster de frustrar) (STF, 2011).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Já no seu voto, o relator afirma que a cláusula que proíbe o retrocesso social é uma dimensão negativa própria dos direitos sociais a prestação material. O nível de satisfação de um desses direitos só poderá ser reduzido caso o poder público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políticas compensatórias. No caso em questão, não é aplicada nenhuma media que compense a falta de creches para as crianças menores de cinco anos. Essa ausência justifica a aplicação do princípio.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voto é complementado com o pensamento do jurista português José Gomes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Canotilho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 proibição de retrocesso social (ou proibição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contra-revolução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ou ainda proibição da revolução reacionária) é fruto do princípio da democracia econômica e social. É um limite ao retrocesso dos direitos adquiridos. Após um grau de satisfação ser atingido, os direitos sociais e econômicos passam a ser uma garantia institucional e um direito subjetivo. Logo, a reversibilidade desses direitos seria uma “violação 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princípio da proteção da confiança e da segurança dos cidadãos no âmbito econômico, social e cultural e do núcleo essencial da existência mínima” (CANOTILHO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apud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STF, 2011, p. 163) relacionado à dignidade da pessoa humana. 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proibição de retrocesso obriga que seja dada uma continuidade nas políticas relacionadas aos direitos a prestação material. O núcleo essencial, uma vez realizado através de medidas legislativas (Estatuto da Criança e do Adolescente) é constitucionalmente garantido. Qualquer medida estatal que revogue essa garantia (sem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implementação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alguma política pública compensatória) é considerada inconstitucional (CANOTILHO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apud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STF, 2011).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finalizar, o ministro cita um trecho de uma decisão do Tribunal Constitucional Português (Acórdão nº 39/84, resumo do caso proferido pelo Conselheiro Vital Moreira). Quando uma tarefa imposta pela Constituição é realizada, ela passa a receber uma proteção constitucional. O Estado não pode voltar atrás. Essa seria uma inconstitucionalidade por ação, uma violação positiva da Constituição (MOREIRA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apud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STF, 2011).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princípio da proibição e retrocesso encontra-se (academicamente) inserido no rol dos limites às restrições dos direitos fundamentais. Causa disso é que há um dever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Estado em relação a determinados direitos sociais. Uma limitação que sobrepuja uma prestação outrora oferecida se qualifica como violação.</w:t>
      </w:r>
    </w:p>
    <w:p w:rsidR="00A332E5" w:rsidRDefault="00A332E5" w:rsidP="00A332E5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Frente às exceções, o princípio da não reversibilidade dos direitos fundamentais é conflitante com o da reserva do possível, sendo este último um “procedimento” que torna não exaustiva ou desenfreada a proibição de retrocesso ao Estado. Todavia, como tratado anteriormente, não é justificativa para que o Estado retroceda frente prestações que foram previamente balanceadas e ponderadas quanto as suas limitações e particularidades. 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expressa, através da Constituição Federal, as especificidades e os objetivos quanto ao direito à educação. Depreende-se uma preocupação constitucional que deve ser atendida e uma promoção ao acesso da mesma. De maneira não taxativa é possível denotar outras atribuições do direito a educação que o fundamentam como uma matriz social (Art. 210 e Art. 214, por exemplo). 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fim, ao tratar da </w:t>
      </w:r>
      <w:r w:rsidRPr="003D393E">
        <w:rPr>
          <w:rFonts w:ascii="Times New Roman" w:hAnsi="Times New Roman" w:cs="Times New Roman"/>
          <w:sz w:val="28"/>
          <w:szCs w:val="28"/>
        </w:rPr>
        <w:t xml:space="preserve">ARE </w:t>
      </w:r>
      <w:r w:rsidRPr="003D3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639.337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denota-se a presença de cláusula que proíbe o retrocesso social e o qualifica com a dimensão negativa própria dos direitos sociais a prestação material. Na ausência de politicas compensatórias, fundamenta-se a aplicação do princípio a fim de assegura uma prestação estatal.</w:t>
      </w: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Pr="00A332E5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A332E5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A8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525EA8">
        <w:rPr>
          <w:rFonts w:ascii="Times New Roman" w:hAnsi="Times New Roman" w:cs="Times New Roman"/>
          <w:b/>
          <w:bCs/>
          <w:sz w:val="24"/>
          <w:szCs w:val="24"/>
        </w:rPr>
        <w:t xml:space="preserve">Constituição da República Federativa do Brasil: </w:t>
      </w:r>
      <w:r w:rsidRPr="00525EA8">
        <w:rPr>
          <w:rFonts w:ascii="Times New Roman" w:hAnsi="Times New Roman" w:cs="Times New Roman"/>
          <w:sz w:val="24"/>
          <w:szCs w:val="24"/>
        </w:rPr>
        <w:t xml:space="preserve">promulgada em </w:t>
      </w:r>
      <w:proofErr w:type="gramStart"/>
      <w:r w:rsidRPr="00525EA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25EA8">
        <w:rPr>
          <w:rFonts w:ascii="Times New Roman" w:hAnsi="Times New Roman" w:cs="Times New Roman"/>
          <w:sz w:val="24"/>
          <w:szCs w:val="24"/>
        </w:rPr>
        <w:t xml:space="preserve"> de outubro de 1988. Disponível em: &lt; http://www.planalto.gov.br/ccivil_03/constituicao/constituicao.htm&gt;. Acesso em: </w:t>
      </w:r>
      <w:r>
        <w:rPr>
          <w:rFonts w:ascii="Times New Roman" w:hAnsi="Times New Roman" w:cs="Times New Roman"/>
          <w:sz w:val="24"/>
          <w:szCs w:val="24"/>
        </w:rPr>
        <w:t>23 de julho</w:t>
      </w:r>
      <w:r w:rsidRPr="00525EA8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A8">
        <w:rPr>
          <w:rFonts w:ascii="Times New Roman" w:hAnsi="Times New Roman" w:cs="Times New Roman"/>
          <w:sz w:val="24"/>
          <w:szCs w:val="24"/>
        </w:rPr>
        <w:t xml:space="preserve">BRASIL. </w:t>
      </w:r>
      <w:r w:rsidRPr="00525EA8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LEI Nº 8.069, DE 13 DE JULHO DE 1990</w:t>
      </w:r>
      <w:r w:rsidRPr="00525E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5EA8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o Estatuto da Criança e do Adolescente e dá outras providências</w:t>
      </w:r>
      <w:r w:rsidRPr="00525EA8">
        <w:rPr>
          <w:rFonts w:ascii="Times New Roman" w:hAnsi="Times New Roman" w:cs="Times New Roman"/>
          <w:sz w:val="24"/>
          <w:szCs w:val="24"/>
        </w:rPr>
        <w:t>. Disponível em: &lt;http://www.planalto.gov.br/ccivil_03/leis/l8069.htm&gt;. Acesso em: Acesso em: 23 de julho 2013.</w:t>
      </w: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A8">
        <w:rPr>
          <w:rFonts w:ascii="Times New Roman" w:hAnsi="Times New Roman" w:cs="Times New Roman"/>
          <w:sz w:val="24"/>
          <w:szCs w:val="24"/>
        </w:rPr>
        <w:t xml:space="preserve">BRASIL. </w:t>
      </w:r>
      <w:r w:rsidRPr="00525EA8">
        <w:rPr>
          <w:rFonts w:ascii="Times New Roman" w:hAnsi="Times New Roman" w:cs="Times New Roman"/>
          <w:b/>
          <w:sz w:val="24"/>
          <w:szCs w:val="24"/>
        </w:rPr>
        <w:t>STF</w:t>
      </w:r>
      <w:r w:rsidRPr="00525EA8">
        <w:rPr>
          <w:rFonts w:ascii="Times New Roman" w:hAnsi="Times New Roman" w:cs="Times New Roman"/>
          <w:sz w:val="24"/>
          <w:szCs w:val="24"/>
        </w:rPr>
        <w:t xml:space="preserve">. ARE 639.337. Rel. Min. Celso de Mello. Julgado em: 23 ago. 2011. Disponível em: &lt;http://www.stf.jus.br/arquivo/cms/noticiaNoticiaStf/anexo/ARE639337ementa.pdf&gt;. Acesso </w:t>
      </w:r>
      <w:proofErr w:type="gramStart"/>
      <w:r w:rsidRPr="00525EA8">
        <w:rPr>
          <w:rFonts w:ascii="Times New Roman" w:hAnsi="Times New Roman" w:cs="Times New Roman"/>
          <w:sz w:val="24"/>
          <w:szCs w:val="24"/>
        </w:rPr>
        <w:t>em:</w:t>
      </w:r>
      <w:proofErr w:type="gramEnd"/>
      <w:r w:rsidRPr="00525EA8">
        <w:rPr>
          <w:rFonts w:ascii="Times New Roman" w:hAnsi="Times New Roman" w:cs="Times New Roman"/>
          <w:sz w:val="24"/>
          <w:szCs w:val="24"/>
        </w:rPr>
        <w:t>23 de julho 2013.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332E5" w:rsidRPr="00E95162" w:rsidRDefault="00A332E5" w:rsidP="00A332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51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CANOTILHO, José Joaquim.</w:t>
      </w:r>
      <w:r w:rsidRPr="00E9516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95162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Direito Constitucional e teoria da constituição.</w:t>
      </w:r>
      <w:r w:rsidRPr="00E95162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E951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Coimbra: Almedina, 2006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332E5" w:rsidRPr="00E95162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REVISTA TRIBUNAL SUPERIOR DO TRABALHO.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Notas sobre a assim designada Proibição de Retrocesso Social no Constitucionalismo Latino-Americano.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Brasília: Vol. 75, nº 3,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/set 2009.</w:t>
      </w: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66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SARLET, Ingo Wolfgang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Eficácia dos Direitos Fundamentais.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Porto Alegre: Livraria do advogado, 2011.</w:t>
      </w:r>
    </w:p>
    <w:p w:rsidR="00A332E5" w:rsidRDefault="00A332E5" w:rsidP="00A332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332E5" w:rsidRPr="00D76D15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D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MARMELSTEIN, George.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Curso de </w:t>
      </w:r>
      <w:r w:rsidRPr="00D76D15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Direitos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fundamentais. </w:t>
      </w:r>
      <w:r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São Paul: Atlas,</w:t>
      </w:r>
      <w:r w:rsidRPr="00D76D15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D76D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32E5" w:rsidRPr="00525EA8" w:rsidRDefault="00A332E5" w:rsidP="00A3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A8">
        <w:rPr>
          <w:rFonts w:ascii="Times New Roman" w:hAnsi="Times New Roman" w:cs="Times New Roman"/>
          <w:sz w:val="24"/>
          <w:szCs w:val="24"/>
        </w:rPr>
        <w:t xml:space="preserve">MENDES, Gilmar Ferreira; COELHO, Inocência Mártires; BRANCO, Paulo Gustavo </w:t>
      </w:r>
      <w:proofErr w:type="spellStart"/>
      <w:r w:rsidRPr="00525EA8">
        <w:rPr>
          <w:rFonts w:ascii="Times New Roman" w:hAnsi="Times New Roman" w:cs="Times New Roman"/>
          <w:sz w:val="24"/>
          <w:szCs w:val="24"/>
        </w:rPr>
        <w:t>Gonet</w:t>
      </w:r>
      <w:proofErr w:type="spellEnd"/>
      <w:r w:rsidRPr="00525EA8">
        <w:rPr>
          <w:rFonts w:ascii="Times New Roman" w:hAnsi="Times New Roman" w:cs="Times New Roman"/>
          <w:sz w:val="24"/>
          <w:szCs w:val="24"/>
        </w:rPr>
        <w:t xml:space="preserve">. </w:t>
      </w:r>
      <w:r w:rsidRPr="00525EA8">
        <w:rPr>
          <w:rFonts w:ascii="Times New Roman" w:hAnsi="Times New Roman" w:cs="Times New Roman"/>
          <w:b/>
          <w:sz w:val="24"/>
          <w:szCs w:val="24"/>
        </w:rPr>
        <w:t xml:space="preserve">Curso de Direito Constitucional. </w:t>
      </w:r>
      <w:r w:rsidRPr="00525EA8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gramStart"/>
      <w:r w:rsidRPr="00525EA8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525EA8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A332E5" w:rsidRPr="00363594" w:rsidRDefault="00A332E5" w:rsidP="00A3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D84" w:rsidRDefault="00610D84">
      <w:bookmarkStart w:id="0" w:name="_GoBack"/>
      <w:bookmarkEnd w:id="0"/>
    </w:p>
    <w:sectPr w:rsidR="00610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6B" w:rsidRDefault="0062406B" w:rsidP="00A332E5">
      <w:pPr>
        <w:spacing w:after="0" w:line="240" w:lineRule="auto"/>
      </w:pPr>
      <w:r>
        <w:separator/>
      </w:r>
    </w:p>
  </w:endnote>
  <w:endnote w:type="continuationSeparator" w:id="0">
    <w:p w:rsidR="0062406B" w:rsidRDefault="0062406B" w:rsidP="00A3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6B" w:rsidRDefault="0062406B" w:rsidP="00A332E5">
      <w:pPr>
        <w:spacing w:after="0" w:line="240" w:lineRule="auto"/>
      </w:pPr>
      <w:r>
        <w:separator/>
      </w:r>
    </w:p>
  </w:footnote>
  <w:footnote w:type="continuationSeparator" w:id="0">
    <w:p w:rsidR="0062406B" w:rsidRDefault="0062406B" w:rsidP="00A332E5">
      <w:pPr>
        <w:spacing w:after="0" w:line="240" w:lineRule="auto"/>
      </w:pPr>
      <w:r>
        <w:continuationSeparator/>
      </w:r>
    </w:p>
  </w:footnote>
  <w:footnote w:id="1">
    <w:p w:rsidR="00A332E5" w:rsidRDefault="00A332E5" w:rsidP="00A332E5">
      <w:pPr>
        <w:pStyle w:val="Textodenotaderodap"/>
        <w:rPr>
          <w:rFonts w:ascii="Times New Roman" w:hAnsi="Times New Roman" w:cs="Times New Roman"/>
        </w:rPr>
      </w:pPr>
      <w:r>
        <w:rPr>
          <w:rStyle w:val="Caracteres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Acadêmico do 4º período do curso de direito da UNDB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5739"/>
    <w:multiLevelType w:val="hybridMultilevel"/>
    <w:tmpl w:val="CDBADA1A"/>
    <w:lvl w:ilvl="0" w:tplc="ECEEE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E5"/>
    <w:rsid w:val="00610D84"/>
    <w:rsid w:val="0062406B"/>
    <w:rsid w:val="00A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A332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332E5"/>
    <w:rPr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32E5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basedOn w:val="Fontepargpadro"/>
    <w:rsid w:val="00A332E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332E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332E5"/>
    <w:rPr>
      <w:b/>
      <w:bCs/>
    </w:rPr>
  </w:style>
  <w:style w:type="character" w:customStyle="1" w:styleId="apple-converted-space">
    <w:name w:val="apple-converted-space"/>
    <w:basedOn w:val="Fontepargpadro"/>
    <w:rsid w:val="00A33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A332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332E5"/>
    <w:rPr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32E5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basedOn w:val="Fontepargpadro"/>
    <w:rsid w:val="00A332E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332E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332E5"/>
    <w:rPr>
      <w:b/>
      <w:bCs/>
    </w:rPr>
  </w:style>
  <w:style w:type="character" w:customStyle="1" w:styleId="apple-converted-space">
    <w:name w:val="apple-converted-space"/>
    <w:basedOn w:val="Fontepargpadro"/>
    <w:rsid w:val="00A3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2336</Words>
  <Characters>12616</Characters>
  <Application>Microsoft Office Word</Application>
  <DocSecurity>0</DocSecurity>
  <Lines>105</Lines>
  <Paragraphs>29</Paragraphs>
  <ScaleCrop>false</ScaleCrop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Soeiro</dc:creator>
  <cp:lastModifiedBy>Felipe Soeiro</cp:lastModifiedBy>
  <cp:revision>1</cp:revision>
  <dcterms:created xsi:type="dcterms:W3CDTF">2013-07-26T21:35:00Z</dcterms:created>
  <dcterms:modified xsi:type="dcterms:W3CDTF">2013-07-26T21:37:00Z</dcterms:modified>
</cp:coreProperties>
</file>