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64" w:rsidRDefault="00D45F64">
      <w:pPr>
        <w:pStyle w:val="Standard"/>
        <w:jc w:val="center"/>
      </w:pPr>
    </w:p>
    <w:p w:rsidR="00D45F64" w:rsidRPr="00EA2A9D" w:rsidRDefault="002A403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A9D">
        <w:rPr>
          <w:rFonts w:ascii="Times New Roman" w:hAnsi="Times New Roman" w:cs="Times New Roman"/>
          <w:b/>
          <w:bCs/>
          <w:sz w:val="24"/>
          <w:szCs w:val="24"/>
        </w:rPr>
        <w:t>TEMA: A USUCAPIÃO FAMILIAR À LUZ DO CÓDIGO CIVIL BRASILEIRO: A LEI 12.424/2011 E SEUS ASPECTOS (IN)CONSTITUCIONAIS.</w:t>
      </w:r>
    </w:p>
    <w:p w:rsidR="00EA2A9D" w:rsidRPr="00EA2A9D" w:rsidRDefault="00EA2A9D" w:rsidP="00EA2A9D">
      <w:pPr>
        <w:pStyle w:val="Standard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Atos Paulo Nogueira Otaviano</w:t>
      </w:r>
    </w:p>
    <w:p w:rsidR="00D45F64" w:rsidRDefault="00D45F64">
      <w:pPr>
        <w:pStyle w:val="Standard"/>
        <w:jc w:val="both"/>
      </w:pPr>
    </w:p>
    <w:p w:rsidR="00D45F64" w:rsidRDefault="002A403D">
      <w:pPr>
        <w:pStyle w:val="Standard"/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USUCAPIÃO FAMILIAR E A CONSTITUIÇÃO: ASPECTOS DE VALIDADE DA LEI</w:t>
      </w:r>
      <w:r>
        <w:rPr>
          <w:rFonts w:ascii="Times New Roman" w:hAnsi="Times New Roman" w:cs="Arial"/>
          <w:b/>
          <w:sz w:val="24"/>
          <w:szCs w:val="24"/>
        </w:rPr>
        <w:t xml:space="preserve"> E A EMENDA CONSTITUCIONAL 66/2010.</w:t>
      </w:r>
    </w:p>
    <w:p w:rsidR="00D45F64" w:rsidRDefault="002A403D">
      <w:pPr>
        <w:pStyle w:val="Standard"/>
        <w:spacing w:line="360" w:lineRule="auto"/>
        <w:jc w:val="both"/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lei 12.424/11 introduziu uma nova figura ao instituto da usucapião no Código Civil Brasileiro, dentro das espécies de usucapião urbana, chamada de Usucapião Pró- Moradia, a qual vem recebendo a denominação de Usucapiã</w:t>
      </w:r>
      <w:r>
        <w:rPr>
          <w:rFonts w:ascii="Times New Roman" w:hAnsi="Times New Roman"/>
          <w:sz w:val="24"/>
          <w:szCs w:val="24"/>
        </w:rPr>
        <w:t>o Familiar. Esta nova modalidade inseriu no Código Civil o art. 1240-A e seu §1º:</w:t>
      </w:r>
    </w:p>
    <w:p w:rsidR="00D45F64" w:rsidRDefault="002A403D">
      <w:pPr>
        <w:pStyle w:val="Default"/>
        <w:spacing w:line="100" w:lineRule="atLeast"/>
        <w:ind w:left="2143" w:right="11"/>
        <w:jc w:val="both"/>
      </w:pPr>
      <w:r>
        <w:rPr>
          <w:sz w:val="20"/>
          <w:szCs w:val="20"/>
        </w:rPr>
        <w:t>Art. 1.240-A. Aquele que exercer, por 2 (dois) anos ininterruptamente e sem oposição, posse direta, com exclusividade, sobre imóvel urbano de até 250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m2 (duzentos e cinquenta</w:t>
      </w:r>
      <w:r>
        <w:rPr>
          <w:sz w:val="20"/>
          <w:szCs w:val="20"/>
        </w:rPr>
        <w:t xml:space="preserve"> metros quadrados) cuja propriedade divida com ex-cônjuge ou ex companheiro que abandonou o lar, utilizando-o para sua moradia ou de sua família, adquirir-lhe-á o domínio integral, desde que não seja proprietário de outro imóvel urbano ou rural.</w:t>
      </w:r>
    </w:p>
    <w:p w:rsidR="00D45F64" w:rsidRDefault="002A403D">
      <w:pPr>
        <w:pStyle w:val="Default"/>
        <w:spacing w:line="100" w:lineRule="atLeast"/>
        <w:ind w:left="2145" w:right="12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§ 1º O dir</w:t>
      </w:r>
      <w:r>
        <w:rPr>
          <w:rFonts w:cs="Arial"/>
          <w:sz w:val="20"/>
          <w:szCs w:val="20"/>
        </w:rPr>
        <w:t>eito previsto no caput não será reconhecido ao mesmo possuidor mais de uma vez. (CC, art. 1240-A)</w:t>
      </w:r>
    </w:p>
    <w:p w:rsidR="00D45F64" w:rsidRDefault="00D45F64">
      <w:pPr>
        <w:pStyle w:val="Default"/>
        <w:spacing w:line="100" w:lineRule="atLeast"/>
        <w:ind w:left="2145" w:right="1260"/>
        <w:jc w:val="both"/>
        <w:rPr>
          <w:sz w:val="20"/>
          <w:szCs w:val="20"/>
        </w:rPr>
      </w:pPr>
    </w:p>
    <w:p w:rsidR="00D45F64" w:rsidRDefault="00D45F64">
      <w:pPr>
        <w:pStyle w:val="Default"/>
        <w:spacing w:line="100" w:lineRule="atLeast"/>
        <w:ind w:left="2145" w:right="1260"/>
        <w:jc w:val="both"/>
        <w:rPr>
          <w:sz w:val="20"/>
          <w:szCs w:val="20"/>
        </w:rPr>
      </w:pPr>
    </w:p>
    <w:p w:rsidR="00D45F64" w:rsidRDefault="002A403D">
      <w:pPr>
        <w:pStyle w:val="Standard"/>
        <w:spacing w:line="360" w:lineRule="auto"/>
        <w:ind w:left="120" w:right="120"/>
        <w:jc w:val="both"/>
      </w:pPr>
      <w:r>
        <w:rPr>
          <w:rFonts w:ascii="Times New Roman" w:hAnsi="Times New Roman"/>
          <w:sz w:val="24"/>
          <w:szCs w:val="24"/>
        </w:rPr>
        <w:t>Assim como os demais casos da usucapião espacial urbana, deve-se atentar para o fato de que a propriedade não pode exceder os 250m², além de que o possuidor</w:t>
      </w:r>
      <w:r>
        <w:rPr>
          <w:rFonts w:ascii="Times New Roman" w:hAnsi="Times New Roman"/>
          <w:sz w:val="24"/>
          <w:szCs w:val="24"/>
        </w:rPr>
        <w:t xml:space="preserve"> só usufrui deste benefício se já não tiver outro imóvel, e apenas uma vez. De acordo com Tartuce (2014), a principal novidade é a redução do prazo para exíguos 2 (dois) anos, o que torna esta categoria aquela com o menor prazo previsto, entre todas as mod</w:t>
      </w:r>
      <w:r>
        <w:rPr>
          <w:rFonts w:ascii="Times New Roman" w:hAnsi="Times New Roman"/>
          <w:sz w:val="24"/>
          <w:szCs w:val="24"/>
        </w:rPr>
        <w:t>alidades de usucapião. Ainda segundo o referido autor, a tendência pós-moderna é a de diminuição de prazos, tendo em vista que isto possibilita a tomada de decisões com maior rapidez.</w:t>
      </w:r>
    </w:p>
    <w:p w:rsidR="00D45F64" w:rsidRDefault="002A403D">
      <w:pPr>
        <w:pStyle w:val="Default"/>
        <w:tabs>
          <w:tab w:val="left" w:pos="1320"/>
        </w:tabs>
        <w:spacing w:line="360" w:lineRule="auto"/>
        <w:ind w:left="120" w:right="120"/>
        <w:jc w:val="both"/>
      </w:pPr>
      <w:r>
        <w:rPr>
          <w:rFonts w:eastAsia="Times New Roman" w:cs="Arial"/>
        </w:rPr>
        <w:t xml:space="preserve">             </w:t>
      </w:r>
      <w:r>
        <w:rPr>
          <w:rFonts w:cs="Arial"/>
        </w:rPr>
        <w:t xml:space="preserve">É necessário observar que a usucapião familiar foi criada </w:t>
      </w:r>
      <w:r>
        <w:rPr>
          <w:rFonts w:cs="Arial"/>
        </w:rPr>
        <w:t>com o intuito de proteger aquele que depois de abandonado pelo cônjuge, permaneceu no imóvel. Entretanto, ainda assim, esta nova modalidade traz consigo muitos questionamentos e dúvidas a respeito de sua constitucionalidade.</w:t>
      </w:r>
    </w:p>
    <w:p w:rsidR="00D45F64" w:rsidRDefault="002A403D">
      <w:pPr>
        <w:pStyle w:val="Default"/>
        <w:tabs>
          <w:tab w:val="left" w:pos="1320"/>
        </w:tabs>
        <w:spacing w:line="360" w:lineRule="auto"/>
        <w:ind w:left="120" w:right="120"/>
        <w:jc w:val="both"/>
        <w:rPr>
          <w:rFonts w:cs="Arial"/>
        </w:rPr>
      </w:pPr>
      <w:r>
        <w:rPr>
          <w:rFonts w:cs="Arial"/>
        </w:rPr>
        <w:t xml:space="preserve">       De acordo com Farias; Ro</w:t>
      </w:r>
      <w:r>
        <w:rPr>
          <w:rFonts w:cs="Arial"/>
        </w:rPr>
        <w:t>senvald (2014), há um requisito inédito na usucapião Pró-familia, qual seja, o abandono do lar por parte de um dos cônjuges. E é justamente este requisito um dos mais polêmicos do dispositivo, isto porque a EC 66/2010 optou por revogar todas as disposições</w:t>
      </w:r>
      <w:r>
        <w:rPr>
          <w:rFonts w:cs="Arial"/>
        </w:rPr>
        <w:t xml:space="preserve"> contidas infraconstitucionais alusivas à separação bem como suas </w:t>
      </w:r>
      <w:r>
        <w:rPr>
          <w:rFonts w:cs="Arial"/>
        </w:rPr>
        <w:lastRenderedPageBreak/>
        <w:t>causas. Com a nova redação conferida ao art. 226 da CF, §6º, afirmando que: “o casamento civil pode ser dissolvido pelo divórcio”, foram superados os casos estabelecidos anteriormente para o</w:t>
      </w:r>
      <w:r>
        <w:rPr>
          <w:rFonts w:cs="Arial"/>
        </w:rPr>
        <w:t xml:space="preserve"> divórcio, além de acolher o princípio da ruptura em detrimento da culpa, preservando a vida privada do casal. (FARIAS; ROSELVALD. 2014).</w:t>
      </w:r>
    </w:p>
    <w:p w:rsidR="00D45F64" w:rsidRDefault="002A403D">
      <w:pPr>
        <w:pStyle w:val="Default"/>
        <w:tabs>
          <w:tab w:val="left" w:pos="1320"/>
        </w:tabs>
        <w:spacing w:line="360" w:lineRule="auto"/>
        <w:ind w:left="120" w:right="120"/>
        <w:jc w:val="both"/>
      </w:pPr>
      <w:r>
        <w:rPr>
          <w:rFonts w:cs="Arial"/>
        </w:rPr>
        <w:t xml:space="preserve">       Um dos principais dissensos é o uso do termo “abandono do lar”, no qual</w:t>
      </w:r>
      <w:r>
        <w:rPr>
          <w:rFonts w:ascii="arial, verdana" w:hAnsi="arial, verdana"/>
          <w:color w:val="666666"/>
          <w:sz w:val="20"/>
        </w:rPr>
        <w:t xml:space="preserve"> </w:t>
      </w:r>
      <w:r>
        <w:t>se entende que aquele que “abandonou” é</w:t>
      </w:r>
      <w:r>
        <w:t xml:space="preserve"> o culpado pela dissolução matrimonial, fazendo ressurgir a questão da imputação moral pelo fim do relacionamento. Salienta-se ainda que, em virtude da aplicação dessa norma, estaria ferido o Princípio da Igualdade, conforme artigo 5º, I, e artigo 226, §5º</w:t>
      </w:r>
      <w:r>
        <w:t xml:space="preserve"> da Constituição Federal, já que um dos consortes, em detrimento do outro, estaria sendo mais beneficiado, gerando a desigualdade patrimonial entre ambos.</w:t>
      </w:r>
    </w:p>
    <w:p w:rsidR="00D45F64" w:rsidRDefault="002A403D">
      <w:pPr>
        <w:pStyle w:val="Default"/>
        <w:tabs>
          <w:tab w:val="left" w:pos="1320"/>
        </w:tabs>
        <w:spacing w:line="360" w:lineRule="auto"/>
        <w:ind w:left="120" w:right="120"/>
        <w:jc w:val="both"/>
      </w:pPr>
      <w:r>
        <w:t xml:space="preserve">       Afirma Silva (2012) que no </w:t>
      </w:r>
      <w:r>
        <w:t>que tange à segurança jurídica, a confiança no pacto antenupcial e</w:t>
      </w:r>
      <w:r>
        <w:t xml:space="preserve"> no regime de bens, deixa de existir, vez que aplicando a referida norma, os consortes apressarão a partilha dos bens com receio de perderem patrimônio, e, não obstante, encurtarão o prazo de reflexão necessário entre a separação fática e a judicial, causa</w:t>
      </w:r>
      <w:r>
        <w:t>ndo a antecipação dos atos, e distanciamento de uma possível reconciliação. Observa-se que vai muito além do que previa o espírito do legislador, pois entende-se que, ao invés de simplificar algumas situações, como por exemplo, o domínio do imóvel pelo con</w:t>
      </w:r>
      <w:r>
        <w:t>sorte que foi “abandonado”, criará um impasse, como dito anteriormente, no que tange a partilha de bens, ou ainda, estará penalizando um dos consortes com a perda da propriedade em virtude da suposta “culpa”.</w:t>
      </w:r>
    </w:p>
    <w:p w:rsidR="00D45F64" w:rsidRDefault="002A403D">
      <w:pPr>
        <w:pStyle w:val="Default"/>
        <w:tabs>
          <w:tab w:val="left" w:pos="1320"/>
        </w:tabs>
        <w:spacing w:line="360" w:lineRule="auto"/>
        <w:ind w:left="120" w:right="120"/>
        <w:jc w:val="both"/>
      </w:pPr>
      <w:r>
        <w:t xml:space="preserve">       </w:t>
      </w:r>
      <w:r>
        <w:t>A princípio, o novo artigo pode ser vist</w:t>
      </w:r>
      <w:r>
        <w:t>o como algo bom, vez que não deixa desamparado o consorte ou companheiro que foi “abandonado”, adquirindo assim a fração da propriedade que seria daquele que o “abandonou”. Contudo, tal dispositivo merece ser visto com ressalvas.</w:t>
      </w:r>
      <w:r>
        <w:t xml:space="preserve"> </w:t>
      </w:r>
      <w:r>
        <w:t>No que tange ao abandono d</w:t>
      </w:r>
      <w:r>
        <w:t>o lar, cabe ressaltar que, no caso em tela, é a chave mestra para a aquisição da meação do cônjuge que cometeu o ato supracitado.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arial, verdana" w:hAnsi="arial, verdana"/>
          <w:color w:val="666666"/>
          <w:sz w:val="20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Segundo o artigo 1.573, IV do Código Civil, designa-se o abandono, também, como uma das causas que inviabiliza a conviv</w:t>
      </w:r>
      <w:r>
        <w:rPr>
          <w:rFonts w:ascii="Times New Roman" w:hAnsi="Times New Roman"/>
          <w:color w:val="000000"/>
          <w:sz w:val="24"/>
          <w:szCs w:val="24"/>
        </w:rPr>
        <w:t>ência do casal: “Podem caracterizar a impossibilidade da comunhão de vida a ocorrência de algum dos seguintes motivos: IV - abandono voluntário do lar conjugal, durante um ano contínuo;”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arial, verdana" w:hAnsi="arial, verdana"/>
          <w:color w:val="666666"/>
          <w:sz w:val="20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Importante esclarecer que, o abandono ao qual se refere o disp</w:t>
      </w:r>
      <w:r>
        <w:rPr>
          <w:rFonts w:ascii="Times New Roman" w:hAnsi="Times New Roman"/>
          <w:color w:val="000000"/>
          <w:sz w:val="24"/>
          <w:szCs w:val="24"/>
        </w:rPr>
        <w:t xml:space="preserve">ositivo, deve ser voluntário, caracterizando infração nos deveres conjugais ou da união estável, portanto, embora não esteja expressamente previsto, supõe-se, por extensão, que o abandono que justifica a pretensão de usucapião em comento, citado no artigo </w:t>
      </w:r>
      <w:r>
        <w:rPr>
          <w:rFonts w:ascii="Times New Roman" w:hAnsi="Times New Roman"/>
          <w:color w:val="000000"/>
          <w:sz w:val="24"/>
          <w:szCs w:val="24"/>
        </w:rPr>
        <w:t>1.240-A do Código Civil, deverá ser voluntário e injustificado; “(...) cuja propriedade divida com ex-cônjuge ou ex-companheiro que abandonou o lar, utilizando-o para sua moradia ou de sua família, adquirir-lhe-á o domínio integral (...)”.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arial, verdana" w:hAnsi="arial, verdana"/>
          <w:color w:val="666666"/>
          <w:sz w:val="20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Há, contu</w:t>
      </w:r>
      <w:r>
        <w:rPr>
          <w:rFonts w:ascii="Times New Roman" w:hAnsi="Times New Roman"/>
          <w:color w:val="000000"/>
          <w:sz w:val="24"/>
          <w:szCs w:val="24"/>
        </w:rPr>
        <w:t xml:space="preserve">do, a interpretação do abandono do lar como alusão à culpa pela dissolução do relacionamento matrimonial. Após anos de críticas, a culpa foi extinta dos litígios familiares, por meio da Emenda Constitucional 66/10, que deu nova redação ao § 6º do art. 226 </w:t>
      </w:r>
      <w:r>
        <w:rPr>
          <w:rFonts w:ascii="Times New Roman" w:hAnsi="Times New Roman"/>
          <w:color w:val="000000"/>
          <w:sz w:val="24"/>
          <w:szCs w:val="24"/>
        </w:rPr>
        <w:t>do Constituição Federal; “O casamento civil pode ser dissolvido pelo divórcio”, trazendo como interpretação que “a única ação dissolutória do casamento é o divórcio que não mais exige a indicação da causa de pedir. Eventuais controvérsias referentes a caus</w:t>
      </w:r>
      <w:r>
        <w:rPr>
          <w:rFonts w:ascii="Times New Roman" w:hAnsi="Times New Roman"/>
          <w:color w:val="000000"/>
          <w:sz w:val="24"/>
          <w:szCs w:val="24"/>
        </w:rPr>
        <w:t>a, culpa ou prazos deixam de integrar o objeto da demanda” ( BERENICE DIAS, 2010).</w:t>
      </w: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Boa parte da doutrina não aceita mais o indicativo de culpa no direito de família, inclusive quanto aos reflexos patrimoniais, conforme Gagliano (2010):</w:t>
      </w:r>
    </w:p>
    <w:p w:rsidR="00D45F64" w:rsidRDefault="002A403D">
      <w:pPr>
        <w:pStyle w:val="Standard"/>
        <w:tabs>
          <w:tab w:val="left" w:pos="2358"/>
        </w:tabs>
        <w:spacing w:after="0" w:line="240" w:lineRule="auto"/>
        <w:ind w:left="2268"/>
        <w:jc w:val="both"/>
      </w:pPr>
      <w:r>
        <w:rPr>
          <w:rFonts w:ascii="Times New Roman" w:hAnsi="Times New Roman"/>
          <w:color w:val="000000"/>
          <w:sz w:val="20"/>
          <w:szCs w:val="20"/>
        </w:rPr>
        <w:t>Obviamente q</w:t>
      </w:r>
      <w:r>
        <w:rPr>
          <w:rFonts w:ascii="Times New Roman" w:hAnsi="Times New Roman"/>
          <w:color w:val="000000"/>
          <w:sz w:val="20"/>
          <w:szCs w:val="20"/>
        </w:rPr>
        <w:t>ue, com o fim do instituto da separação, desaparecem também tais causas objetivas e subjetivas para a dissolução da sociedade conjugal. Expendidas todas essas importantes considerações retornamos à nossa premissa: em caso de separação judicial (possível an</w:t>
      </w:r>
      <w:r>
        <w:rPr>
          <w:rFonts w:ascii="Times New Roman" w:hAnsi="Times New Roman"/>
          <w:color w:val="000000"/>
          <w:sz w:val="20"/>
          <w:szCs w:val="20"/>
        </w:rPr>
        <w:t>tes da Emenda) ou de divórcio, a dissolução do patrimônio conjugal dar-se-á segundo as regras do regime de bens aplicável, independentemente de quem haja sido a “culpa” do fim do casamento.</w:t>
      </w:r>
    </w:p>
    <w:p w:rsidR="00D45F64" w:rsidRDefault="00D45F64">
      <w:pPr>
        <w:pStyle w:val="Standard"/>
        <w:spacing w:after="0" w:line="195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No entanto, algo ainda perturba neste quesito, pois, juri</w:t>
      </w:r>
      <w:r>
        <w:rPr>
          <w:rFonts w:ascii="Times New Roman" w:hAnsi="Times New Roman"/>
          <w:color w:val="000000"/>
          <w:sz w:val="24"/>
          <w:szCs w:val="24"/>
        </w:rPr>
        <w:t>dicamente não se exclui mais os direitos do consorte com causa na culpa, mas agora, com a inserção do artigo 1.240-A no ordenamento brasileiro, possivelmente, voltará o julgamento pela imputação moral para decisão do direito material. É preocupante, pois s</w:t>
      </w:r>
      <w:r>
        <w:rPr>
          <w:rFonts w:ascii="Times New Roman" w:hAnsi="Times New Roman"/>
          <w:color w:val="000000"/>
          <w:sz w:val="24"/>
          <w:szCs w:val="24"/>
        </w:rPr>
        <w:t>e trata de um retrocesso jurídico.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Outro ponto importante, trata-se da extensão do litígio conjugal, vez que novamente será buscada a culpa pelo fim do relacionamento, com o intuito da aquisição integral da propriedade, acirrando as contendas entre </w:t>
      </w:r>
      <w:r>
        <w:rPr>
          <w:rFonts w:ascii="Times New Roman" w:hAnsi="Times New Roman"/>
          <w:color w:val="000000"/>
          <w:sz w:val="24"/>
          <w:szCs w:val="24"/>
        </w:rPr>
        <w:t>os cônjuges e companheiros, sendo que o novo dispositivo supõe o abandono por um dos consortes e este deverá ser provado por quem ficar no imóvel, tornando essas batalhas judiciais mais turbulentas. (GODINHO, 2011).</w:t>
      </w: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É certo que as partes ficarão num</w:t>
      </w:r>
      <w:r>
        <w:rPr>
          <w:rFonts w:ascii="Times New Roman" w:hAnsi="Times New Roman"/>
          <w:color w:val="000000"/>
          <w:sz w:val="24"/>
          <w:szCs w:val="24"/>
        </w:rPr>
        <w:t xml:space="preserve">a situação de degradação moral, vez que, com o medo de perder a propriedade, se submeterão a ferir sua liberdade e intimidade, não saindo do lar após o término do casamento. Mas há algo preocupante na interpretação das palavras “culpa” e “abandono”, pois, </w:t>
      </w:r>
      <w:r>
        <w:rPr>
          <w:rFonts w:ascii="Times New Roman" w:hAnsi="Times New Roman"/>
          <w:color w:val="000000"/>
          <w:sz w:val="24"/>
          <w:szCs w:val="24"/>
        </w:rPr>
        <w:t>se pensar que uma mulher é agredida e acaba por “abandonar” seu lar para deixar de sofrer a violência, não existe “culpa” em sua atitude, a qual se deu por motivo de segurança à sua integridade física. Passados os dois anos sem impugnar sobre a posse, cabe</w:t>
      </w:r>
      <w:r>
        <w:rPr>
          <w:rFonts w:ascii="Times New Roman" w:hAnsi="Times New Roman"/>
          <w:color w:val="000000"/>
          <w:sz w:val="24"/>
          <w:szCs w:val="24"/>
        </w:rPr>
        <w:t>ria ao agressor que ficou no imóvel, a propriedade, afastando assim, o direito de meação da violentada. (SILVA, 2012).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Desta forma observa-se a incompatibilidade da lei 12.424 quando confrontada com a EC 66/2010, o que gera insegurança jurídica ao o</w:t>
      </w:r>
      <w:r>
        <w:rPr>
          <w:rFonts w:ascii="Times New Roman" w:hAnsi="Times New Roman"/>
          <w:color w:val="000000"/>
          <w:sz w:val="24"/>
          <w:szCs w:val="24"/>
        </w:rPr>
        <w:t>rdenamento jurpidico. E conforme ensina Dias 2010, a verdade é uma só: a única forma de dissolução do casamento é o divórcio, eis que o instituto da separação foi banido - e em boa hora - do sistema jurídico pátrio. Qualquer outra conclusão transformaria a</w:t>
      </w:r>
      <w:r>
        <w:rPr>
          <w:rFonts w:ascii="Times New Roman" w:hAnsi="Times New Roman"/>
          <w:color w:val="000000"/>
          <w:sz w:val="24"/>
          <w:szCs w:val="24"/>
        </w:rPr>
        <w:t xml:space="preserve"> alteração em letra morta.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 Importante crítica ainda é feita em relação ao prazo de afastamento do lar como causa da perda da propriedade. Para tanto faz-se necessário analisar o dispositivo em questão em conjunto com o art. 5º da CF , segundo o qu</w:t>
      </w:r>
      <w:r>
        <w:rPr>
          <w:rFonts w:ascii="Times New Roman" w:hAnsi="Times New Roman"/>
          <w:color w:val="000000"/>
          <w:sz w:val="24"/>
          <w:szCs w:val="24"/>
        </w:rPr>
        <w:t>al ninguém será privado de seus bens sem o devido processo legal, pois a complexidade das relações familiares não permite efeitos tão fortes pelo simples decurso do tempo. Veja-se, por exemplo, que esse período de dois anos pode ser o prazo no qual as part</w:t>
      </w:r>
      <w:r>
        <w:rPr>
          <w:rFonts w:ascii="Times New Roman" w:hAnsi="Times New Roman"/>
          <w:color w:val="000000"/>
          <w:sz w:val="24"/>
          <w:szCs w:val="24"/>
        </w:rPr>
        <w:t>es estão definindo se devem dar mais uma chance  ao relacionamento ou devem por fim ao mesmo. (</w:t>
      </w:r>
      <w:r>
        <w:rPr>
          <w:rFonts w:ascii="Times New Roman" w:hAnsi="Times New Roman"/>
          <w:color w:val="000000"/>
          <w:sz w:val="24"/>
          <w:szCs w:val="24"/>
        </w:rPr>
        <w:t>WESENDONCK, 2012).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Esse é um período em que muitos casais separados de fato ainda não tomaram nenhuma medida quanto à definição da partilha de bens porque est</w:t>
      </w:r>
      <w:r>
        <w:rPr>
          <w:rFonts w:ascii="Times New Roman" w:hAnsi="Times New Roman"/>
          <w:color w:val="000000"/>
          <w:sz w:val="24"/>
          <w:szCs w:val="24"/>
        </w:rPr>
        <w:t>ão elaborando a idéia de separação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ou reconciliação. E por conta disso não se pode considerar que o período de indecisão possa reverter na conclusão de abandono da posse, sem que exista um ato voluntário dirigido a tal fim.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Outro ponto é a recoloca</w:t>
      </w:r>
      <w:r>
        <w:rPr>
          <w:rFonts w:ascii="Times New Roman" w:hAnsi="Times New Roman"/>
          <w:color w:val="000000"/>
          <w:sz w:val="24"/>
          <w:szCs w:val="24"/>
        </w:rPr>
        <w:t>ção do que quesito da culpa, pois o dispositivo estabelece esta como requisito para determinados reflexos patrimoniais, matéria que foi praticamente sepultada com as inovações legislativas pelas quais passou o Direito de Família. De fato, considerar abando</w:t>
      </w:r>
      <w:r>
        <w:rPr>
          <w:rFonts w:ascii="Times New Roman" w:hAnsi="Times New Roman"/>
          <w:color w:val="000000"/>
          <w:sz w:val="24"/>
          <w:szCs w:val="24"/>
        </w:rPr>
        <w:t>no do lar como fato juridicamente relevante pode conduzir à retomada de um significado que fora esvaziado ao não mais se colocar a culpa em papel central. A interpretação da lei deve considerar que em algumas situações a saída do lar se dá por outras razõe</w:t>
      </w:r>
      <w:r>
        <w:rPr>
          <w:rFonts w:ascii="Times New Roman" w:hAnsi="Times New Roman"/>
          <w:color w:val="000000"/>
          <w:sz w:val="24"/>
          <w:szCs w:val="24"/>
        </w:rPr>
        <w:t>s que não têm relação com o abandono da posse (requisito que seria essencial para a contagem de prazo de usucapião de bem comum). Um exemplo a ser refletido é o caso do cônjuge, em geral a mulher, que sai do lar conjugal com o intuito de preservar a sua se</w:t>
      </w:r>
      <w:r>
        <w:rPr>
          <w:rFonts w:ascii="Times New Roman" w:hAnsi="Times New Roman"/>
          <w:color w:val="000000"/>
          <w:sz w:val="24"/>
          <w:szCs w:val="24"/>
        </w:rPr>
        <w:t>gurança física. A partir da nova lei, a mulher que sofre violência doméstica poderá sentir-se obrigada a permanecer no lar, até que o Poder Judiciário determine a retirada do lar do marido ou companheiro, para evitar que o prazo que ela fique fora do lar c</w:t>
      </w:r>
      <w:r>
        <w:rPr>
          <w:rFonts w:ascii="Times New Roman" w:hAnsi="Times New Roman"/>
          <w:color w:val="000000"/>
          <w:sz w:val="24"/>
          <w:szCs w:val="24"/>
        </w:rPr>
        <w:t>onjugal conte para fins de usucapião (e aí pode acontecer que a sua segurança física ou a sua própria vida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sofram com a espera de uma decisão judicial de afastamento do lar que pode nem mesmo vir).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Também é interessante refletir sobre os casos em </w:t>
      </w:r>
      <w:r>
        <w:rPr>
          <w:rFonts w:ascii="Times New Roman" w:hAnsi="Times New Roman"/>
          <w:color w:val="000000"/>
          <w:sz w:val="24"/>
          <w:szCs w:val="24"/>
        </w:rPr>
        <w:t xml:space="preserve">que há separação de fato e os cônjuges ainda não deliberaram sobre a partilha dos bens, porque há uma chance de reconciliação, como já referido acima. Pode também que se chegue a conclusão de ser a partilha do bem prejudicial para a família, decidindo-se, </w:t>
      </w:r>
      <w:r>
        <w:rPr>
          <w:rFonts w:ascii="Times New Roman" w:hAnsi="Times New Roman"/>
          <w:color w:val="000000"/>
          <w:sz w:val="24"/>
          <w:szCs w:val="24"/>
        </w:rPr>
        <w:t>então, que um dos cônjuges ou companheiro irá sair do lar.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 Conforme aduz Wesendonck (2012), a solução que a lei traz em si, o reconhecimento de usucapião entre cônjuges, é uma solução que se mostra viável e necessária em determinados casos. Porém,</w:t>
      </w:r>
      <w:r>
        <w:rPr>
          <w:rFonts w:ascii="Times New Roman" w:hAnsi="Times New Roman"/>
          <w:color w:val="000000"/>
          <w:sz w:val="24"/>
          <w:szCs w:val="24"/>
        </w:rPr>
        <w:t xml:space="preserve"> a forma como se incluiu o reconhecimento de usucapião entre cônjuges ou companheiros no Código Civil de 2002 pode representar grande retrocesso ao Direito de Família se interpretada em seu sentido literal ou segundo a vontade do legislador, por reacender </w:t>
      </w:r>
      <w:r>
        <w:rPr>
          <w:rFonts w:ascii="Times New Roman" w:hAnsi="Times New Roman"/>
          <w:color w:val="000000"/>
          <w:sz w:val="24"/>
          <w:szCs w:val="24"/>
        </w:rPr>
        <w:t>a discussão a respeito de assuntos que em boa hora foram sepultados como a noção de culpa na dissolução de vínculos e os seus reflexos para o Direito Patrimonial de Família.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A intenção da lei é diferente da intenção do legislador, razão pela qual </w:t>
      </w:r>
      <w:r>
        <w:rPr>
          <w:rFonts w:ascii="Times New Roman" w:hAnsi="Times New Roman"/>
          <w:color w:val="000000"/>
          <w:sz w:val="24"/>
          <w:szCs w:val="24"/>
        </w:rPr>
        <w:t xml:space="preserve">pode-se certamente dizer que o sentido do ordenamento jurídico não é o de interferir na tomada das decisões que são tão pessoais dos cônjuges e dos companheiros como a dissolução do vínculo.(TARTUCE , 2014). Caso contrário, as pessoas que forem se separar </w:t>
      </w:r>
      <w:r>
        <w:rPr>
          <w:rFonts w:ascii="Times New Roman" w:hAnsi="Times New Roman"/>
          <w:color w:val="000000"/>
          <w:sz w:val="24"/>
          <w:szCs w:val="24"/>
        </w:rPr>
        <w:t xml:space="preserve">não poderão mais deixar a casa onde vivem, pois correrão o risco de serem punidas com a perda da propriedade em um prazo muito exíguo.Também é preciso mencionar, que a lei pode ser usada de maneira oportunista para àqueles casos em que ela sabidamente não </w:t>
      </w:r>
      <w:r>
        <w:rPr>
          <w:rFonts w:ascii="Times New Roman" w:hAnsi="Times New Roman"/>
          <w:color w:val="000000"/>
          <w:sz w:val="24"/>
          <w:szCs w:val="24"/>
        </w:rPr>
        <w:t>teria interesse em tutelar, no que se refere aos imóveis de elevado valor. Como a Lei tem origem no programa minha casa minha vida e tenta limitar a metragem do imóvel, ao que tudo indica quer benificiar pessoas de baixa renda, mas isso não fica claro na l</w:t>
      </w:r>
      <w:r>
        <w:rPr>
          <w:rFonts w:ascii="Times New Roman" w:hAnsi="Times New Roman"/>
          <w:color w:val="000000"/>
          <w:sz w:val="24"/>
          <w:szCs w:val="24"/>
        </w:rPr>
        <w:t>ei.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Além disso, não é demasiado considerar que pela redação da lei, outras situações em que mereceriam o reconhecimento de usucapião ficariam a descoberto, dependendo de posição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doutrinária e jurisprudencial, como os casos de imóvel rural, ou de </w:t>
      </w:r>
      <w:r>
        <w:rPr>
          <w:rFonts w:ascii="Times New Roman" w:hAnsi="Times New Roman"/>
          <w:color w:val="000000"/>
          <w:sz w:val="24"/>
          <w:szCs w:val="24"/>
        </w:rPr>
        <w:t>imóvel de baixo valor, mas acima de 250m², ou mesmo de bens que não se enquadrem em nenhuma das situações de usucapião especial, mas que mereceriam a viabilidade do reconhecimento da aquisição da propriedade pela usucapião, tendo em vista o abandono da pos</w:t>
      </w:r>
      <w:r>
        <w:rPr>
          <w:rFonts w:ascii="Times New Roman" w:hAnsi="Times New Roman"/>
          <w:color w:val="000000"/>
          <w:sz w:val="24"/>
          <w:szCs w:val="24"/>
        </w:rPr>
        <w:t>se. (GODINHO, 2014).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Por isso, talvez a melhor orientação fosse, simplesmente, determinar que a separação de fato põe fim aos efeitos patrimoniais do casamento da sua data iniciando a fluência do prazo para usucapião, respeitados os requisitos legai</w:t>
      </w:r>
      <w:r>
        <w:rPr>
          <w:rFonts w:ascii="Times New Roman" w:hAnsi="Times New Roman"/>
          <w:color w:val="000000"/>
          <w:sz w:val="24"/>
          <w:szCs w:val="24"/>
        </w:rPr>
        <w:t>s das diversas formas, desta figura, tudo estando restrito aos casos em que, concomitantemente à separação de fato ocorresse o abandono da posse dos bens daquele que se retira do lar, conjugadamente com o exercício exclusivo da posse pelo outro indivíduo q</w:t>
      </w:r>
      <w:r>
        <w:rPr>
          <w:rFonts w:ascii="Times New Roman" w:hAnsi="Times New Roman"/>
          <w:color w:val="000000"/>
          <w:sz w:val="24"/>
          <w:szCs w:val="24"/>
        </w:rPr>
        <w:t>ue permanece na posse dos bens. (WESENDONCK, 2012.)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Assim, estariam resolvidos alguns dos problemas espinhosos do Direito de Família, sem que se ressuscitassem velhos fantasmas que já não podem mais encontrar lugar na sociedade brasileira.</w:t>
      </w: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CONCLUSÃO</w:t>
      </w: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A melhores das intenções do legislador nem sempre são suficientes para criar boas leis. Por isso, a intenção do legislador não é parâmetro para interpretação das leis. Esse é o caso da Lei 12.424/11, que embora tivesse por interesse prote</w:t>
      </w:r>
      <w:r>
        <w:rPr>
          <w:rFonts w:ascii="Times New Roman" w:hAnsi="Times New Roman"/>
          <w:color w:val="000000"/>
          <w:sz w:val="24"/>
          <w:szCs w:val="24"/>
        </w:rPr>
        <w:t xml:space="preserve">ger segmento frágil da sociedade, tramitou em caráter de urgência, foi produto de conversão de Medida Provisória em Lei e talvez por isso não contou com debate adequado da comunidade jurídica para evitar os problemas técnicos de sua redação que precisarão </w:t>
      </w:r>
      <w:r>
        <w:rPr>
          <w:rFonts w:ascii="Times New Roman" w:hAnsi="Times New Roman"/>
          <w:color w:val="000000"/>
          <w:sz w:val="24"/>
          <w:szCs w:val="24"/>
        </w:rPr>
        <w:t>ser enfrentados para uma adequada aplicação. O artigo 1.240-A do CC/02 está eivado de inconstitucionalidade, por trazer em seu texto incompatibilidade com a CF/88, quando da lesão aos princípios e preceitos norteadores do ordenamento jurídico pátrio.</w:t>
      </w: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Nota-se que até mesmo a própria denominação do termo utilizado para definição da nova modalidade de usucapião já é objeto de repulsa nos meios acadêmicos, pois o termo abandono de lar é uma figura ultrapassada no Direito de Família, tendo em vista que a </w:t>
      </w:r>
      <w:r>
        <w:rPr>
          <w:rFonts w:ascii="Times New Roman" w:hAnsi="Times New Roman"/>
          <w:color w:val="000000"/>
          <w:sz w:val="24"/>
          <w:szCs w:val="24"/>
        </w:rPr>
        <w:t>discussão a respeito da existência ou não da culpa para rompimento de vínculos matrimoniais ou de uniões estáveis passou a ser irrelevante e até mesmo repudiada no cenário atual, já que a doutrina comemorava fervorosamente o fato das mudanças no Direito de</w:t>
      </w:r>
      <w:r>
        <w:rPr>
          <w:rFonts w:ascii="Times New Roman" w:hAnsi="Times New Roman"/>
          <w:color w:val="000000"/>
          <w:sz w:val="24"/>
          <w:szCs w:val="24"/>
        </w:rPr>
        <w:t xml:space="preserve"> Família terem eliminado a aferição de culpa como requisito para a atribuição de qualquer efeito jurídico, no que concerne à dissolução do vínculo conjugal, na concessão de alimentos e na partilha de bens.</w:t>
      </w: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Assim, deve se utilizar a interpretação sistemáti</w:t>
      </w:r>
      <w:r>
        <w:rPr>
          <w:rFonts w:ascii="Times New Roman" w:hAnsi="Times New Roman"/>
          <w:color w:val="000000"/>
          <w:sz w:val="24"/>
          <w:szCs w:val="24"/>
        </w:rPr>
        <w:t>ca Direito para interpretar o art. 1240- A do Código Civil, com a finalidade de não comprometer a evolução do ordenamento. O dispositivo deve ser adequado aos princípios vigorantes no Direito de Família.</w:t>
      </w:r>
    </w:p>
    <w:p w:rsidR="00D45F64" w:rsidRDefault="002A403D">
      <w:pPr>
        <w:pStyle w:val="Standard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Helvetica Neue" w:hAnsi="Helvetica Neue"/>
          <w:color w:val="000000"/>
          <w:sz w:val="24"/>
          <w:szCs w:val="24"/>
        </w:rPr>
        <w:br/>
      </w: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REFERÊNCIAS</w:t>
      </w: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2A403D">
      <w:pPr>
        <w:pStyle w:val="Textbody"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 xml:space="preserve">DIAS, Maria Berenice. 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EC 6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6/10 - e agora?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Disponível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em:&lt; http://arpen-sp.jusbrasil.com.br/noticias/2287526/artigo-ec-66-10-e-agora-por-maria-berenice-dias&gt;. Acesso em: 01 out, 2014.</w:t>
      </w:r>
    </w:p>
    <w:p w:rsidR="00D45F64" w:rsidRDefault="002A403D">
      <w:pPr>
        <w:pStyle w:val="Standard"/>
        <w:jc w:val="both"/>
      </w:pPr>
      <w:r>
        <w:rPr>
          <w:rFonts w:ascii="Times New Roman" w:hAnsi="Times New Roman" w:cs="Arial"/>
          <w:sz w:val="24"/>
          <w:szCs w:val="24"/>
        </w:rPr>
        <w:t xml:space="preserve">FARIAS, Cristiano Chaves de; ROSENVALD, Nelson. </w:t>
      </w:r>
      <w:r>
        <w:rPr>
          <w:rFonts w:ascii="Times New Roman" w:hAnsi="Times New Roman" w:cs="Arial"/>
          <w:b/>
          <w:bCs/>
          <w:sz w:val="24"/>
          <w:szCs w:val="24"/>
        </w:rPr>
        <w:t>Curso de Direito Civil</w:t>
      </w:r>
      <w:r>
        <w:rPr>
          <w:rFonts w:ascii="Times New Roman" w:hAnsi="Times New Roman" w:cs="Arial"/>
          <w:sz w:val="24"/>
          <w:szCs w:val="24"/>
        </w:rPr>
        <w:t>. Direitos reais. v.5 10ª ed.</w:t>
      </w:r>
      <w:r>
        <w:rPr>
          <w:rFonts w:ascii="Times New Roman" w:hAnsi="Times New Roman" w:cs="Arial"/>
          <w:sz w:val="24"/>
          <w:szCs w:val="24"/>
        </w:rPr>
        <w:t xml:space="preserve"> Salvador: Juspodivm, 2014.</w:t>
      </w:r>
    </w:p>
    <w:p w:rsidR="00D45F64" w:rsidRDefault="002A403D">
      <w:pPr>
        <w:pStyle w:val="Standard"/>
        <w:spacing w:after="0" w:line="195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GAGLIANO, Pablo Stolze; PAMPLONA FILHO, Rodolfo.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 novo divórcio.</w:t>
      </w:r>
      <w:r>
        <w:rPr>
          <w:rFonts w:ascii="Times New Roman" w:hAnsi="Times New Roman"/>
          <w:color w:val="000000"/>
          <w:sz w:val="24"/>
          <w:szCs w:val="24"/>
        </w:rPr>
        <w:t xml:space="preserve"> São Paulo: Saraiva, 2010</w:t>
      </w:r>
    </w:p>
    <w:p w:rsidR="00D45F64" w:rsidRDefault="00D45F64">
      <w:pPr>
        <w:pStyle w:val="Standard"/>
        <w:spacing w:after="0" w:line="195" w:lineRule="atLeast"/>
        <w:jc w:val="both"/>
      </w:pPr>
    </w:p>
    <w:p w:rsidR="00D45F64" w:rsidRDefault="002A403D">
      <w:pPr>
        <w:pStyle w:val="Textbody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GODINHO, Adriano Marteleto.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nova modalidade de usucapião prevista pelo art. 1.240-A do Código Civil.</w:t>
      </w:r>
      <w:r>
        <w:rPr>
          <w:rFonts w:ascii="Times New Roman" w:hAnsi="Times New Roman"/>
          <w:color w:val="000000"/>
          <w:sz w:val="24"/>
          <w:szCs w:val="24"/>
        </w:rPr>
        <w:t xml:space="preserve"> Disponível em: &lt;http://www.juristas.com.br/informacao/artigos/a-nova-modalidade-de-usucapiao-previst a-pelo-art-1-240-a-do-cod</w:t>
      </w:r>
      <w:r>
        <w:rPr>
          <w:rFonts w:ascii="Times New Roman" w:hAnsi="Times New Roman"/>
          <w:color w:val="000000"/>
          <w:sz w:val="24"/>
          <w:szCs w:val="24"/>
        </w:rPr>
        <w:t>igo-civil/302/ &gt;. Acesso em 28 set, 2014.</w:t>
      </w:r>
    </w:p>
    <w:p w:rsidR="00D45F64" w:rsidRDefault="002A403D">
      <w:pPr>
        <w:pStyle w:val="Standard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SILVA, Cláudia </w:t>
      </w:r>
      <w:r>
        <w:rPr>
          <w:rFonts w:ascii="Times New Roman" w:hAnsi="Times New Roman"/>
          <w:color w:val="000000"/>
          <w:sz w:val="24"/>
          <w:szCs w:val="24"/>
        </w:rPr>
        <w:t>Regina Fernandes da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usucapião familiar e suas consequências no direito de família, 2012</w:t>
      </w:r>
      <w:r>
        <w:rPr>
          <w:rFonts w:ascii="Times New Roman" w:hAnsi="Times New Roman"/>
          <w:color w:val="000000"/>
          <w:sz w:val="24"/>
          <w:szCs w:val="24"/>
        </w:rPr>
        <w:t>. Disponível em: &lt;http://www.egov.ufsc.br/portal/conteudo/usucapi%C3%A3o-familiar-e-suas-consequ%C3%Aancias-n</w:t>
      </w:r>
      <w:r>
        <w:rPr>
          <w:rFonts w:ascii="Times New Roman" w:hAnsi="Times New Roman"/>
          <w:color w:val="000000"/>
          <w:sz w:val="24"/>
          <w:szCs w:val="24"/>
        </w:rPr>
        <w:t>o-direito-de-fam%C3%Adlia&gt;. Acesso em: 02 out, 2014.</w:t>
      </w:r>
    </w:p>
    <w:p w:rsidR="00D45F64" w:rsidRDefault="002A403D">
      <w:pPr>
        <w:pStyle w:val="Textbody"/>
        <w:spacing w:after="0" w:line="360" w:lineRule="auto"/>
      </w:pPr>
      <w:r>
        <w:rPr>
          <w:rFonts w:ascii="Times New Roman" w:hAnsi="Times New Roman" w:cs="Arial"/>
          <w:color w:val="000000"/>
          <w:sz w:val="24"/>
          <w:szCs w:val="24"/>
        </w:rPr>
        <w:t xml:space="preserve">TARTUCE, Flávio. 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Direito das coisas</w:t>
      </w:r>
      <w:r>
        <w:rPr>
          <w:rFonts w:ascii="Times New Roman" w:hAnsi="Times New Roman" w:cs="Arial"/>
          <w:color w:val="000000"/>
          <w:sz w:val="24"/>
          <w:szCs w:val="24"/>
        </w:rPr>
        <w:t>. Vol.4. 6.ed. São Paulo: método, 2014.</w:t>
      </w:r>
    </w:p>
    <w:p w:rsidR="00D45F64" w:rsidRDefault="00D45F64">
      <w:pPr>
        <w:pStyle w:val="Standard"/>
        <w:spacing w:after="0" w:line="195" w:lineRule="atLeast"/>
        <w:jc w:val="both"/>
        <w:rPr>
          <w:rFonts w:ascii="arial, verdana" w:hAnsi="arial, verdana"/>
          <w:color w:val="666666"/>
        </w:rPr>
      </w:pPr>
      <w:bookmarkStart w:id="0" w:name="_GoBack"/>
    </w:p>
    <w:bookmarkEnd w:id="0"/>
    <w:p w:rsidR="00D45F64" w:rsidRDefault="002A403D">
      <w:pPr>
        <w:pStyle w:val="Textbody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WESENDONCK, Tula.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Usucapião familiar: uma forma de solução de conflitos no direito de família ou (re)criação de outros?.</w:t>
      </w:r>
      <w:r>
        <w:rPr>
          <w:rFonts w:ascii="Times New Roman" w:hAnsi="Times New Roman"/>
          <w:color w:val="000000"/>
          <w:sz w:val="24"/>
          <w:szCs w:val="24"/>
        </w:rPr>
        <w:t xml:space="preserve">RIDB, </w:t>
      </w:r>
      <w:r>
        <w:rPr>
          <w:rFonts w:ascii="Times New Roman" w:hAnsi="Times New Roman"/>
          <w:color w:val="000000"/>
          <w:sz w:val="24"/>
          <w:szCs w:val="24"/>
        </w:rPr>
        <w:t>Ano 1 (2012), nº 1.</w:t>
      </w:r>
    </w:p>
    <w:p w:rsidR="00D45F64" w:rsidRDefault="00D45F64">
      <w:pPr>
        <w:pStyle w:val="Textbody"/>
        <w:spacing w:after="0" w:line="360" w:lineRule="auto"/>
        <w:jc w:val="both"/>
      </w:pPr>
    </w:p>
    <w:p w:rsidR="00D45F64" w:rsidRDefault="00D45F64">
      <w:pPr>
        <w:pStyle w:val="Textbody"/>
        <w:spacing w:after="0" w:line="360" w:lineRule="auto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D45F64">
      <w:pPr>
        <w:pStyle w:val="Standard"/>
        <w:spacing w:after="0" w:line="360" w:lineRule="auto"/>
        <w:jc w:val="both"/>
      </w:pPr>
    </w:p>
    <w:p w:rsidR="00D45F64" w:rsidRDefault="002A403D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D45F64" w:rsidRDefault="00D45F64">
      <w:pPr>
        <w:pStyle w:val="Default"/>
        <w:tabs>
          <w:tab w:val="left" w:pos="1320"/>
        </w:tabs>
        <w:spacing w:line="360" w:lineRule="auto"/>
        <w:ind w:left="120" w:right="120"/>
        <w:jc w:val="both"/>
      </w:pPr>
    </w:p>
    <w:sectPr w:rsidR="00D45F64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3D" w:rsidRDefault="002A403D">
      <w:pPr>
        <w:spacing w:line="240" w:lineRule="auto"/>
      </w:pPr>
      <w:r>
        <w:separator/>
      </w:r>
    </w:p>
  </w:endnote>
  <w:endnote w:type="continuationSeparator" w:id="0">
    <w:p w:rsidR="002A403D" w:rsidRDefault="002A4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verdana">
    <w:altName w:val="Times New Roman"/>
    <w:charset w:val="00"/>
    <w:family w:val="roman"/>
    <w:pitch w:val="variable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3D" w:rsidRDefault="002A403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2A403D" w:rsidRDefault="002A4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B1839"/>
    <w:multiLevelType w:val="multilevel"/>
    <w:tmpl w:val="D570AEC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45F64"/>
    <w:rsid w:val="002A403D"/>
    <w:rsid w:val="00D45F64"/>
    <w:rsid w:val="00E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8C94C-F33E-4C6E-9555-BAD7016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Standard"/>
    <w:next w:val="Standar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Standard"/>
    <w:next w:val="Standar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Standard"/>
    <w:next w:val="Standar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Standard"/>
    <w:next w:val="Standar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Standard"/>
    <w:next w:val="Standar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Standard"/>
    <w:next w:val="Standar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tulo">
    <w:name w:val="Title"/>
    <w:basedOn w:val="Standard"/>
    <w:next w:val="Standard"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sz w:val="52"/>
      <w:szCs w:val="52"/>
    </w:rPr>
  </w:style>
  <w:style w:type="paragraph" w:styleId="Subttulo">
    <w:name w:val="Subtitle"/>
    <w:basedOn w:val="Standard"/>
    <w:next w:val="Standar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Citao">
    <w:name w:val="Quote"/>
    <w:basedOn w:val="Standard"/>
    <w:next w:val="Standard"/>
    <w:rPr>
      <w:i/>
      <w:iCs/>
      <w:color w:val="000000"/>
    </w:rPr>
  </w:style>
  <w:style w:type="paragraph" w:styleId="CitaoIntensa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Quotations">
    <w:name w:val="Quotations"/>
    <w:basedOn w:val="Standard"/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Ttulo1Char">
    <w:name w:val="Título 1 Char"/>
    <w:basedOn w:val="Fontepargpadro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rPr>
      <w:rFonts w:ascii="Cambria" w:eastAsia="Calibri" w:hAnsi="Cambria" w:cs="Tahoma"/>
      <w:b/>
      <w:bCs/>
      <w:color w:val="4F81BD"/>
    </w:rPr>
  </w:style>
  <w:style w:type="character" w:customStyle="1" w:styleId="Ttulo4Char">
    <w:name w:val="Título 4 Char"/>
    <w:basedOn w:val="Fontepargpadro"/>
    <w:rPr>
      <w:rFonts w:ascii="Cambria" w:eastAsia="Calibri" w:hAnsi="Cambria" w:cs="Tahoma"/>
      <w:b/>
      <w:bCs/>
      <w:i/>
      <w:iCs/>
      <w:color w:val="4F81BD"/>
    </w:rPr>
  </w:style>
  <w:style w:type="character" w:customStyle="1" w:styleId="Ttulo5Char">
    <w:name w:val="Título 5 Char"/>
    <w:basedOn w:val="Fontepargpadro"/>
    <w:rPr>
      <w:rFonts w:ascii="Cambria" w:eastAsia="Calibri" w:hAnsi="Cambria" w:cs="Tahoma"/>
      <w:color w:val="243F60"/>
    </w:rPr>
  </w:style>
  <w:style w:type="character" w:customStyle="1" w:styleId="Ttulo6Char">
    <w:name w:val="Título 6 Char"/>
    <w:basedOn w:val="Fontepargpadro"/>
    <w:rPr>
      <w:rFonts w:ascii="Cambria" w:eastAsia="Calibri" w:hAnsi="Cambria" w:cs="Tahoma"/>
      <w:i/>
      <w:iCs/>
      <w:color w:val="243F60"/>
    </w:rPr>
  </w:style>
  <w:style w:type="character" w:customStyle="1" w:styleId="Ttulo7Char">
    <w:name w:val="Título 7 Char"/>
    <w:basedOn w:val="Fontepargpadro"/>
    <w:rPr>
      <w:rFonts w:ascii="Cambria" w:eastAsia="Calibri" w:hAnsi="Cambria" w:cs="Tahoma"/>
      <w:i/>
      <w:iCs/>
      <w:color w:val="404040"/>
    </w:rPr>
  </w:style>
  <w:style w:type="character" w:customStyle="1" w:styleId="Ttulo8Char">
    <w:name w:val="Título 8 Char"/>
    <w:basedOn w:val="Fontepargpadro"/>
    <w:rPr>
      <w:rFonts w:ascii="Cambria" w:eastAsia="Calibri" w:hAnsi="Cambria" w:cs="Tahoma"/>
      <w:color w:val="404040"/>
      <w:sz w:val="20"/>
      <w:szCs w:val="20"/>
    </w:rPr>
  </w:style>
  <w:style w:type="character" w:customStyle="1" w:styleId="Ttulo9Char">
    <w:name w:val="Título 9 Char"/>
    <w:basedOn w:val="Fontepargpadro"/>
    <w:rPr>
      <w:rFonts w:ascii="Cambria" w:eastAsia="Calibri" w:hAnsi="Cambria" w:cs="Tahoma"/>
      <w:i/>
      <w:iCs/>
      <w:color w:val="404040"/>
      <w:sz w:val="20"/>
      <w:szCs w:val="20"/>
    </w:rPr>
  </w:style>
  <w:style w:type="character" w:customStyle="1" w:styleId="TtuloChar">
    <w:name w:val="Título Char"/>
    <w:basedOn w:val="Fontepargpadro"/>
    <w:rPr>
      <w:rFonts w:ascii="Cambria" w:eastAsia="Calibri" w:hAnsi="Cambria" w:cs="Tahoma"/>
      <w:color w:val="17365D"/>
      <w:spacing w:val="5"/>
      <w:sz w:val="52"/>
      <w:szCs w:val="52"/>
    </w:rPr>
  </w:style>
  <w:style w:type="character" w:customStyle="1" w:styleId="SubttuloChar">
    <w:name w:val="Subtítulo Char"/>
    <w:basedOn w:val="Fontepargpadro"/>
    <w:rPr>
      <w:rFonts w:ascii="Cambria" w:eastAsia="Calibri" w:hAnsi="Cambria" w:cs="Tahoma"/>
      <w:i/>
      <w:iCs/>
      <w:color w:val="4F81BD"/>
      <w:spacing w:val="15"/>
      <w:sz w:val="24"/>
      <w:szCs w:val="24"/>
    </w:rPr>
  </w:style>
  <w:style w:type="character" w:styleId="nfaseSutil">
    <w:name w:val="Subtle Emphasis"/>
    <w:basedOn w:val="Fontepargpadro"/>
    <w:rPr>
      <w:i/>
      <w:iCs/>
      <w:color w:val="808080"/>
    </w:rPr>
  </w:style>
  <w:style w:type="character" w:styleId="nfase">
    <w:name w:val="Emphasis"/>
    <w:basedOn w:val="Fontepargpadro"/>
    <w:rPr>
      <w:i/>
      <w:iCs/>
    </w:rPr>
  </w:style>
  <w:style w:type="character" w:styleId="nfaseIntensa">
    <w:name w:val="Intense Emphasis"/>
    <w:basedOn w:val="Fontepargpadro"/>
    <w:rPr>
      <w:b/>
      <w:bCs/>
      <w:i/>
      <w:iCs/>
      <w:color w:val="4F81BD"/>
    </w:rPr>
  </w:style>
  <w:style w:type="character" w:styleId="Forte">
    <w:name w:val="Strong"/>
    <w:basedOn w:val="Fontepargpadro"/>
    <w:rPr>
      <w:b/>
      <w:bCs/>
    </w:rPr>
  </w:style>
  <w:style w:type="character" w:customStyle="1" w:styleId="CitaoChar">
    <w:name w:val="Citação Char"/>
    <w:basedOn w:val="Fontepargpadro"/>
    <w:rPr>
      <w:i/>
      <w:iCs/>
      <w:color w:val="000000"/>
    </w:rPr>
  </w:style>
  <w:style w:type="character" w:customStyle="1" w:styleId="CitaoIntensaChar">
    <w:name w:val="Citação Intensa Char"/>
    <w:basedOn w:val="Fontepargpadro"/>
    <w:rPr>
      <w:b/>
      <w:bCs/>
      <w:i/>
      <w:iCs/>
      <w:color w:val="4F81BD"/>
    </w:rPr>
  </w:style>
  <w:style w:type="character" w:styleId="RefernciaSutil">
    <w:name w:val="Subtle Reference"/>
    <w:basedOn w:val="Fontepargpadro"/>
    <w:rPr>
      <w:smallCaps/>
      <w:color w:val="C0504D"/>
      <w:u w:val="single"/>
    </w:rPr>
  </w:style>
  <w:style w:type="character" w:styleId="RefernciaIntensa">
    <w:name w:val="Intense Reference"/>
    <w:basedOn w:val="Fontepargpadro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rPr>
      <w:b/>
      <w:bCs/>
      <w:smallCaps/>
      <w:spacing w:val="5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2610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helma guimarães</dc:creator>
  <cp:lastModifiedBy>Defensoria</cp:lastModifiedBy>
  <cp:revision>2</cp:revision>
  <cp:lastPrinted>2013-10-16T21:13:00Z</cp:lastPrinted>
  <dcterms:created xsi:type="dcterms:W3CDTF">2016-08-17T12:29:00Z</dcterms:created>
  <dcterms:modified xsi:type="dcterms:W3CDTF">2016-08-17T12:29:00Z</dcterms:modified>
</cp:coreProperties>
</file>