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40E3D" w14:textId="6B788F1C" w:rsidR="0074076C" w:rsidRPr="00671F72" w:rsidRDefault="000956AE" w:rsidP="00C73370">
      <w:pPr>
        <w:ind w:firstLine="0"/>
        <w:jc w:val="center"/>
        <w:rPr>
          <w:b/>
          <w:sz w:val="28"/>
          <w:szCs w:val="28"/>
        </w:rPr>
      </w:pPr>
      <w:bookmarkStart w:id="0" w:name="_GoBack"/>
      <w:bookmarkEnd w:id="0"/>
      <w:r>
        <w:rPr>
          <w:b/>
          <w:sz w:val="28"/>
          <w:szCs w:val="28"/>
        </w:rPr>
        <w:t>A</w:t>
      </w:r>
      <w:r w:rsidR="003F2610" w:rsidRPr="00671F72">
        <w:rPr>
          <w:b/>
          <w:sz w:val="28"/>
          <w:szCs w:val="28"/>
        </w:rPr>
        <w:t xml:space="preserve"> </w:t>
      </w:r>
      <w:r w:rsidR="001E2561" w:rsidRPr="00671F72">
        <w:rPr>
          <w:b/>
          <w:sz w:val="28"/>
          <w:szCs w:val="28"/>
        </w:rPr>
        <w:t xml:space="preserve">Súmula </w:t>
      </w:r>
      <w:r w:rsidR="00C73370" w:rsidRPr="00671F72">
        <w:rPr>
          <w:b/>
          <w:sz w:val="28"/>
          <w:szCs w:val="28"/>
        </w:rPr>
        <w:t xml:space="preserve">n. </w:t>
      </w:r>
      <w:r w:rsidR="001E2561" w:rsidRPr="00671F72">
        <w:rPr>
          <w:b/>
          <w:sz w:val="28"/>
          <w:szCs w:val="28"/>
        </w:rPr>
        <w:t>410</w:t>
      </w:r>
      <w:r>
        <w:rPr>
          <w:b/>
          <w:sz w:val="28"/>
          <w:szCs w:val="28"/>
        </w:rPr>
        <w:t>/</w:t>
      </w:r>
      <w:r w:rsidR="001E2561" w:rsidRPr="00671F72">
        <w:rPr>
          <w:b/>
          <w:sz w:val="28"/>
          <w:szCs w:val="28"/>
        </w:rPr>
        <w:t>S</w:t>
      </w:r>
      <w:r w:rsidR="00AE6A02" w:rsidRPr="00671F72">
        <w:rPr>
          <w:b/>
          <w:sz w:val="28"/>
          <w:szCs w:val="28"/>
        </w:rPr>
        <w:t>TJ</w:t>
      </w:r>
      <w:r>
        <w:rPr>
          <w:b/>
          <w:sz w:val="28"/>
          <w:szCs w:val="28"/>
        </w:rPr>
        <w:t xml:space="preserve"> no novo CPC</w:t>
      </w:r>
    </w:p>
    <w:p w14:paraId="1A0BE331" w14:textId="3032ABFE" w:rsidR="00EA365C" w:rsidRPr="00977DF2" w:rsidRDefault="00EA365C" w:rsidP="004F4AAD">
      <w:pPr>
        <w:ind w:firstLine="0"/>
        <w:jc w:val="left"/>
      </w:pPr>
      <w:r w:rsidRPr="00217B3B">
        <w:t>Felice Balzano</w:t>
      </w:r>
      <w:r w:rsidR="004F4AAD">
        <w:t xml:space="preserve">. </w:t>
      </w:r>
      <w:r w:rsidRPr="00977DF2">
        <w:t>Doutorando, Mestre</w:t>
      </w:r>
      <w:r w:rsidR="00257933">
        <w:t xml:space="preserve"> e</w:t>
      </w:r>
      <w:r w:rsidRPr="00977DF2">
        <w:t xml:space="preserve"> </w:t>
      </w:r>
      <w:r w:rsidR="00257933">
        <w:t>E</w:t>
      </w:r>
      <w:r w:rsidRPr="00977DF2">
        <w:t xml:space="preserve">specialista em </w:t>
      </w:r>
      <w:r w:rsidR="00217B3B" w:rsidRPr="00977DF2">
        <w:t xml:space="preserve">Direito Processual Civil </w:t>
      </w:r>
      <w:r w:rsidRPr="00977DF2">
        <w:t xml:space="preserve">pela </w:t>
      </w:r>
      <w:r w:rsidR="00257933">
        <w:t>Pontifícia Universidade Católica de São Paulo (</w:t>
      </w:r>
      <w:r w:rsidRPr="00977DF2">
        <w:t>PUC</w:t>
      </w:r>
      <w:r w:rsidR="00257933">
        <w:t>-</w:t>
      </w:r>
      <w:r w:rsidRPr="00977DF2">
        <w:t>SP</w:t>
      </w:r>
      <w:r w:rsidR="00257933">
        <w:t>)</w:t>
      </w:r>
      <w:r w:rsidRPr="00977DF2">
        <w:t>. Advogado.</w:t>
      </w:r>
    </w:p>
    <w:p w14:paraId="55177D08" w14:textId="77777777" w:rsidR="00EA365C" w:rsidRPr="00977DF2" w:rsidRDefault="00EA365C" w:rsidP="00671F72">
      <w:pPr>
        <w:ind w:firstLine="0"/>
      </w:pPr>
    </w:p>
    <w:p w14:paraId="01247886" w14:textId="5D1C4CB6" w:rsidR="00EA365C" w:rsidRPr="00217B3B" w:rsidRDefault="00EA365C" w:rsidP="00A71842">
      <w:pPr>
        <w:ind w:firstLine="0"/>
      </w:pPr>
      <w:r w:rsidRPr="00671F72">
        <w:rPr>
          <w:b/>
        </w:rPr>
        <w:t>Área do Direito</w:t>
      </w:r>
      <w:r w:rsidRPr="00217B3B">
        <w:t>: Processual Civil e Jurisprudencial.</w:t>
      </w:r>
    </w:p>
    <w:p w14:paraId="6F304D45" w14:textId="1A1DEE1A" w:rsidR="00EA365C" w:rsidRPr="00217B3B" w:rsidRDefault="00EA365C" w:rsidP="00A71842">
      <w:pPr>
        <w:ind w:firstLine="0"/>
      </w:pPr>
      <w:r w:rsidRPr="00671F72">
        <w:rPr>
          <w:b/>
        </w:rPr>
        <w:t>Resumo</w:t>
      </w:r>
      <w:r w:rsidRPr="00217B3B">
        <w:t xml:space="preserve">: Este artigo tem por escopo traçar um panorama doutrinário e jurisprudencial acerca do conteúdo da Súmula </w:t>
      </w:r>
      <w:r w:rsidR="00257933" w:rsidRPr="00217B3B">
        <w:t xml:space="preserve">n. </w:t>
      </w:r>
      <w:r w:rsidRPr="00217B3B">
        <w:t xml:space="preserve">410 do STJ, especificamente sobre a possibilidade de intimação de decisões mandamentais direcionadas à parte, na pessoa de seu advogado, via publicação no </w:t>
      </w:r>
      <w:r w:rsidRPr="00217B3B">
        <w:rPr>
          <w:i/>
        </w:rPr>
        <w:t>Diário Oficial</w:t>
      </w:r>
      <w:r w:rsidRPr="00217B3B">
        <w:t>.</w:t>
      </w:r>
    </w:p>
    <w:p w14:paraId="2B1150CC" w14:textId="17783567" w:rsidR="00EA365C" w:rsidRPr="00EA365C" w:rsidRDefault="00EA365C" w:rsidP="00A71842">
      <w:pPr>
        <w:ind w:firstLine="0"/>
      </w:pPr>
      <w:r w:rsidRPr="00671F72">
        <w:rPr>
          <w:b/>
        </w:rPr>
        <w:t>Palavras-chave</w:t>
      </w:r>
      <w:r w:rsidRPr="00217B3B">
        <w:t xml:space="preserve">: Obrigação de fazer </w:t>
      </w:r>
      <w:r w:rsidR="00D45390" w:rsidRPr="00217B3B">
        <w:t>−</w:t>
      </w:r>
      <w:r w:rsidRPr="00217B3B">
        <w:t xml:space="preserve"> </w:t>
      </w:r>
      <w:r w:rsidR="00257933" w:rsidRPr="00217B3B">
        <w:t>D</w:t>
      </w:r>
      <w:r w:rsidRPr="00217B3B">
        <w:t xml:space="preserve">ecisão </w:t>
      </w:r>
      <w:r w:rsidR="00D45390" w:rsidRPr="00217B3B">
        <w:t>−</w:t>
      </w:r>
      <w:r w:rsidRPr="00217B3B">
        <w:t xml:space="preserve"> </w:t>
      </w:r>
      <w:r w:rsidR="00257933" w:rsidRPr="00217B3B">
        <w:t>M</w:t>
      </w:r>
      <w:r w:rsidRPr="00217B3B">
        <w:t xml:space="preserve">ulta </w:t>
      </w:r>
      <w:r w:rsidR="00D45390" w:rsidRPr="00217B3B">
        <w:t>−</w:t>
      </w:r>
      <w:r w:rsidRPr="00217B3B">
        <w:t xml:space="preserve"> </w:t>
      </w:r>
      <w:r w:rsidR="00257933" w:rsidRPr="00217B3B">
        <w:t>I</w:t>
      </w:r>
      <w:r w:rsidRPr="00217B3B">
        <w:t xml:space="preserve">ntimação </w:t>
      </w:r>
      <w:r w:rsidR="00D45390" w:rsidRPr="00217B3B">
        <w:t>−</w:t>
      </w:r>
      <w:r w:rsidRPr="00217B3B">
        <w:t xml:space="preserve"> </w:t>
      </w:r>
      <w:r w:rsidR="00257933" w:rsidRPr="00217B3B">
        <w:t>A</w:t>
      </w:r>
      <w:r w:rsidRPr="00217B3B">
        <w:t xml:space="preserve">dvogado </w:t>
      </w:r>
      <w:r w:rsidR="00D45390" w:rsidRPr="00217B3B">
        <w:t>−</w:t>
      </w:r>
      <w:r w:rsidRPr="00217B3B">
        <w:t xml:space="preserve"> Devido</w:t>
      </w:r>
      <w:r>
        <w:t xml:space="preserve"> </w:t>
      </w:r>
      <w:r w:rsidR="00257933">
        <w:t>p</w:t>
      </w:r>
      <w:r>
        <w:t xml:space="preserve">rocesso </w:t>
      </w:r>
      <w:r w:rsidR="00257933">
        <w:t>l</w:t>
      </w:r>
      <w:r>
        <w:t>egal.</w:t>
      </w:r>
    </w:p>
    <w:p w14:paraId="1D1FD24E" w14:textId="2C07AF1D" w:rsidR="00EA365C" w:rsidRPr="00217B3B" w:rsidRDefault="00EA365C" w:rsidP="00A71842">
      <w:pPr>
        <w:ind w:firstLine="0"/>
        <w:rPr>
          <w:rFonts w:cs="Times New Roman"/>
        </w:rPr>
      </w:pPr>
      <w:r w:rsidRPr="00671F72">
        <w:rPr>
          <w:rFonts w:cs="Times New Roman"/>
          <w:b/>
        </w:rPr>
        <w:t>Sumário</w:t>
      </w:r>
      <w:r w:rsidRPr="00217B3B">
        <w:rPr>
          <w:rFonts w:cs="Times New Roman"/>
        </w:rPr>
        <w:t>:</w:t>
      </w:r>
      <w:r w:rsidR="00257933" w:rsidRPr="00217B3B">
        <w:rPr>
          <w:rFonts w:cs="Times New Roman"/>
        </w:rPr>
        <w:t xml:space="preserve"> </w:t>
      </w:r>
      <w:r w:rsidR="002612C9">
        <w:rPr>
          <w:rFonts w:cs="Times New Roman"/>
        </w:rPr>
        <w:t>1. Introdução</w:t>
      </w:r>
      <w:r w:rsidRPr="00217B3B">
        <w:rPr>
          <w:rFonts w:cs="Times New Roman"/>
        </w:rPr>
        <w:t xml:space="preserve"> </w:t>
      </w:r>
      <w:r w:rsidR="00D45390" w:rsidRPr="00217B3B">
        <w:rPr>
          <w:rFonts w:cs="Times New Roman"/>
        </w:rPr>
        <w:t>−</w:t>
      </w:r>
      <w:r w:rsidRPr="00217B3B">
        <w:rPr>
          <w:rFonts w:cs="Times New Roman"/>
        </w:rPr>
        <w:t xml:space="preserve"> 2.</w:t>
      </w:r>
      <w:r w:rsidRPr="00217B3B">
        <w:t xml:space="preserve"> A necessidade de modulação de efeitos</w:t>
      </w:r>
      <w:r w:rsidRPr="00217B3B">
        <w:rPr>
          <w:rFonts w:cs="Times New Roman"/>
        </w:rPr>
        <w:t xml:space="preserve"> </w:t>
      </w:r>
      <w:r w:rsidR="00D45390" w:rsidRPr="00217B3B">
        <w:rPr>
          <w:rFonts w:cs="Times New Roman"/>
        </w:rPr>
        <w:t>−</w:t>
      </w:r>
      <w:r w:rsidRPr="00217B3B">
        <w:rPr>
          <w:rFonts w:cs="Times New Roman"/>
        </w:rPr>
        <w:t xml:space="preserve"> 3.</w:t>
      </w:r>
      <w:r w:rsidR="002612C9">
        <w:t xml:space="preserve"> A parcial modificação no quadro</w:t>
      </w:r>
      <w:r w:rsidRPr="00217B3B">
        <w:rPr>
          <w:rFonts w:cs="Times New Roman"/>
        </w:rPr>
        <w:t xml:space="preserve"> </w:t>
      </w:r>
      <w:r w:rsidR="00D45390" w:rsidRPr="00217B3B">
        <w:rPr>
          <w:rFonts w:cs="Times New Roman"/>
        </w:rPr>
        <w:t>−</w:t>
      </w:r>
      <w:r w:rsidRPr="00217B3B">
        <w:rPr>
          <w:rFonts w:cs="Times New Roman"/>
        </w:rPr>
        <w:t xml:space="preserve"> 4.</w:t>
      </w:r>
      <w:r w:rsidRPr="00217B3B">
        <w:t xml:space="preserve"> A </w:t>
      </w:r>
      <w:r w:rsidR="002612C9" w:rsidRPr="00217B3B">
        <w:t>insegurança</w:t>
      </w:r>
      <w:r w:rsidR="002612C9" w:rsidRPr="00217B3B">
        <w:rPr>
          <w:rFonts w:cs="Times New Roman"/>
        </w:rPr>
        <w:t xml:space="preserve"> </w:t>
      </w:r>
      <w:r w:rsidR="002612C9">
        <w:rPr>
          <w:rFonts w:cs="Times New Roman"/>
        </w:rPr>
        <w:t>ainda persiste</w:t>
      </w:r>
      <w:r w:rsidRPr="00217B3B">
        <w:t xml:space="preserve"> </w:t>
      </w:r>
      <w:r w:rsidR="00D45390" w:rsidRPr="00217B3B">
        <w:rPr>
          <w:rFonts w:cs="Times New Roman"/>
        </w:rPr>
        <w:t>−</w:t>
      </w:r>
      <w:r w:rsidRPr="00217B3B">
        <w:rPr>
          <w:rFonts w:cs="Times New Roman"/>
        </w:rPr>
        <w:t xml:space="preserve"> 5.</w:t>
      </w:r>
      <w:r w:rsidRPr="00217B3B">
        <w:t xml:space="preserve"> O direito jurisprudencial no CPC/2015</w:t>
      </w:r>
      <w:r w:rsidRPr="00217B3B">
        <w:rPr>
          <w:rFonts w:cs="Times New Roman"/>
        </w:rPr>
        <w:t xml:space="preserve"> </w:t>
      </w:r>
      <w:r w:rsidR="00D45390" w:rsidRPr="00217B3B">
        <w:rPr>
          <w:rFonts w:cs="Times New Roman"/>
        </w:rPr>
        <w:t>−</w:t>
      </w:r>
      <w:r w:rsidRPr="00217B3B">
        <w:rPr>
          <w:rFonts w:cs="Times New Roman"/>
        </w:rPr>
        <w:t xml:space="preserve"> 6.</w:t>
      </w:r>
      <w:r w:rsidRPr="00217B3B">
        <w:t xml:space="preserve"> O cumprimento de sentença</w:t>
      </w:r>
      <w:r w:rsidRPr="00217B3B">
        <w:rPr>
          <w:rFonts w:cs="Times New Roman"/>
        </w:rPr>
        <w:t xml:space="preserve"> </w:t>
      </w:r>
      <w:r w:rsidR="002612C9">
        <w:rPr>
          <w:rFonts w:cs="Times New Roman"/>
        </w:rPr>
        <w:t xml:space="preserve">no CPC/15 </w:t>
      </w:r>
      <w:r w:rsidR="00D45390" w:rsidRPr="00217B3B">
        <w:rPr>
          <w:rFonts w:cs="Times New Roman"/>
        </w:rPr>
        <w:t>−</w:t>
      </w:r>
      <w:r w:rsidRPr="00217B3B">
        <w:rPr>
          <w:rFonts w:cs="Times New Roman"/>
        </w:rPr>
        <w:t xml:space="preserve"> 7.</w:t>
      </w:r>
      <w:r w:rsidR="00495DA3">
        <w:t xml:space="preserve"> </w:t>
      </w:r>
      <w:r w:rsidR="00D841B2">
        <w:t>Diferenças entre a</w:t>
      </w:r>
      <w:r w:rsidR="00495DA3">
        <w:t xml:space="preserve">s </w:t>
      </w:r>
      <w:r w:rsidRPr="00217B3B">
        <w:t>obrigações de pagar e de fazer</w:t>
      </w:r>
      <w:r w:rsidRPr="00217B3B">
        <w:rPr>
          <w:rFonts w:cs="Times New Roman"/>
        </w:rPr>
        <w:t xml:space="preserve"> </w:t>
      </w:r>
      <w:r w:rsidR="00D45390" w:rsidRPr="00217B3B">
        <w:rPr>
          <w:rFonts w:cs="Times New Roman"/>
        </w:rPr>
        <w:t>−</w:t>
      </w:r>
      <w:r w:rsidRPr="00217B3B">
        <w:rPr>
          <w:rFonts w:cs="Times New Roman"/>
        </w:rPr>
        <w:t xml:space="preserve"> 8. </w:t>
      </w:r>
      <w:r w:rsidRPr="00217B3B">
        <w:t>As atribuições do advogado</w:t>
      </w:r>
      <w:r w:rsidRPr="00217B3B">
        <w:rPr>
          <w:rFonts w:cs="Times New Roman"/>
        </w:rPr>
        <w:t xml:space="preserve">. </w:t>
      </w:r>
      <w:r w:rsidR="00D45390" w:rsidRPr="00217B3B">
        <w:rPr>
          <w:rFonts w:cs="Times New Roman"/>
        </w:rPr>
        <w:t>−</w:t>
      </w:r>
      <w:r w:rsidR="00541C88" w:rsidRPr="00217B3B">
        <w:rPr>
          <w:rFonts w:cs="Times New Roman"/>
        </w:rPr>
        <w:t xml:space="preserve"> </w:t>
      </w:r>
      <w:r w:rsidRPr="00217B3B">
        <w:rPr>
          <w:rFonts w:cs="Times New Roman"/>
        </w:rPr>
        <w:t>9.</w:t>
      </w:r>
      <w:r w:rsidRPr="00217B3B">
        <w:t xml:space="preserve"> Considerações finais</w:t>
      </w:r>
      <w:r w:rsidRPr="00217B3B">
        <w:rPr>
          <w:rFonts w:cs="Times New Roman"/>
        </w:rPr>
        <w:t xml:space="preserve"> </w:t>
      </w:r>
      <w:r w:rsidR="00D45390" w:rsidRPr="00217B3B">
        <w:rPr>
          <w:rFonts w:cs="Times New Roman"/>
        </w:rPr>
        <w:t>−</w:t>
      </w:r>
      <w:r w:rsidRPr="00217B3B">
        <w:rPr>
          <w:rFonts w:cs="Times New Roman"/>
        </w:rPr>
        <w:t xml:space="preserve"> 10. Referências.</w:t>
      </w:r>
    </w:p>
    <w:p w14:paraId="68D3AB60" w14:textId="77777777" w:rsidR="00EA365C" w:rsidRPr="00217B3B" w:rsidRDefault="00EA365C" w:rsidP="00EA365C"/>
    <w:p w14:paraId="3AFA9CFE" w14:textId="769E768D" w:rsidR="001E2561" w:rsidRPr="00671F72" w:rsidRDefault="00D95F0C" w:rsidP="00C73370">
      <w:pPr>
        <w:ind w:firstLine="0"/>
        <w:rPr>
          <w:b/>
          <w:sz w:val="28"/>
          <w:szCs w:val="28"/>
        </w:rPr>
      </w:pPr>
      <w:r w:rsidRPr="00671F72">
        <w:rPr>
          <w:b/>
          <w:sz w:val="28"/>
          <w:szCs w:val="28"/>
        </w:rPr>
        <w:t>1</w:t>
      </w:r>
      <w:r w:rsidR="00541C88" w:rsidRPr="00671F72">
        <w:rPr>
          <w:b/>
          <w:sz w:val="28"/>
          <w:szCs w:val="28"/>
        </w:rPr>
        <w:t>.</w:t>
      </w:r>
      <w:r w:rsidRPr="00671F72">
        <w:rPr>
          <w:b/>
          <w:sz w:val="28"/>
          <w:szCs w:val="28"/>
        </w:rPr>
        <w:t xml:space="preserve"> </w:t>
      </w:r>
      <w:r w:rsidR="00F94BBE" w:rsidRPr="00671F72">
        <w:rPr>
          <w:b/>
          <w:sz w:val="28"/>
          <w:szCs w:val="28"/>
        </w:rPr>
        <w:t>Intro</w:t>
      </w:r>
      <w:r w:rsidR="002612C9">
        <w:rPr>
          <w:b/>
          <w:sz w:val="28"/>
          <w:szCs w:val="28"/>
        </w:rPr>
        <w:t>dução</w:t>
      </w:r>
    </w:p>
    <w:p w14:paraId="3B65A2A0" w14:textId="77777777" w:rsidR="003030EB" w:rsidRDefault="003030EB" w:rsidP="0059674F"/>
    <w:p w14:paraId="020FED6E" w14:textId="7D3F8309" w:rsidR="00EE4310" w:rsidRDefault="00085F5B" w:rsidP="00217B3B">
      <w:pPr>
        <w:ind w:firstLine="0"/>
      </w:pPr>
      <w:r>
        <w:t xml:space="preserve">Recentemente, </w:t>
      </w:r>
      <w:r w:rsidR="0014666D">
        <w:t xml:space="preserve">veiculamos </w:t>
      </w:r>
      <w:r>
        <w:t xml:space="preserve">breve </w:t>
      </w:r>
      <w:r w:rsidR="00CF1EFF">
        <w:t>panorama</w:t>
      </w:r>
      <w:r w:rsidR="00197C05">
        <w:rPr>
          <w:rStyle w:val="Refdenotaderodap"/>
        </w:rPr>
        <w:footnoteReference w:id="1"/>
      </w:r>
      <w:r w:rsidR="00270883">
        <w:t xml:space="preserve"> acerca </w:t>
      </w:r>
      <w:r w:rsidR="006C6AD0">
        <w:t>d</w:t>
      </w:r>
      <w:r w:rsidR="00CF1EFF">
        <w:t xml:space="preserve">o </w:t>
      </w:r>
      <w:r>
        <w:t xml:space="preserve">enunciado da Súmula </w:t>
      </w:r>
      <w:r w:rsidR="00A71842">
        <w:t xml:space="preserve">n. </w:t>
      </w:r>
      <w:r>
        <w:t>410 do STJ</w:t>
      </w:r>
      <w:r w:rsidR="003E6EA4">
        <w:t xml:space="preserve">, onde enfatizamos </w:t>
      </w:r>
      <w:r w:rsidR="0014666D">
        <w:t>a</w:t>
      </w:r>
      <w:r w:rsidR="00CF1EFF" w:rsidRPr="00BB7079">
        <w:t xml:space="preserve"> polêmica sobre a possibilidade ou </w:t>
      </w:r>
      <w:r w:rsidR="007332E6" w:rsidRPr="00BB7079">
        <w:t xml:space="preserve">não </w:t>
      </w:r>
      <w:r w:rsidR="00CF1EFF" w:rsidRPr="00BB7079">
        <w:t>de o advogado ser intimado em nome de seu consti</w:t>
      </w:r>
      <w:r w:rsidR="00F94BBE" w:rsidRPr="00BB7079">
        <w:t>tuinte</w:t>
      </w:r>
      <w:r w:rsidR="00CF1EFF" w:rsidRPr="00BB7079">
        <w:t xml:space="preserve">, </w:t>
      </w:r>
      <w:r w:rsidR="003E6EA4">
        <w:t xml:space="preserve">via </w:t>
      </w:r>
      <w:r w:rsidR="00CF1EFF" w:rsidRPr="00A71842">
        <w:rPr>
          <w:i/>
        </w:rPr>
        <w:t>Diário Oficial</w:t>
      </w:r>
      <w:r w:rsidR="00CF1EFF" w:rsidRPr="00BB7079">
        <w:t xml:space="preserve">, </w:t>
      </w:r>
      <w:r w:rsidR="001A5547" w:rsidRPr="00BB7079">
        <w:t xml:space="preserve">a fim de </w:t>
      </w:r>
      <w:r w:rsidR="00260F18" w:rsidRPr="00BB7079">
        <w:t xml:space="preserve">satisfazer </w:t>
      </w:r>
      <w:r w:rsidR="00640D3D" w:rsidRPr="00BB7079">
        <w:t>sentença que reconheça</w:t>
      </w:r>
      <w:r w:rsidR="00F94BBE" w:rsidRPr="00BB7079">
        <w:t xml:space="preserve"> </w:t>
      </w:r>
      <w:r w:rsidR="00CF1EFF" w:rsidRPr="00BB7079">
        <w:t>obrigação de fazer ou não fazer</w:t>
      </w:r>
      <w:r w:rsidR="00DF16C1">
        <w:t xml:space="preserve"> (</w:t>
      </w:r>
      <w:r w:rsidR="00DF16C1" w:rsidRPr="00BB7079">
        <w:t>CPC/73</w:t>
      </w:r>
      <w:r w:rsidR="00CF1EFF" w:rsidRPr="00BB7079">
        <w:t xml:space="preserve">, </w:t>
      </w:r>
      <w:r w:rsidR="00DF16C1">
        <w:t xml:space="preserve">art. </w:t>
      </w:r>
      <w:r w:rsidR="00CF1EFF" w:rsidRPr="00BB7079">
        <w:t>461</w:t>
      </w:r>
      <w:r w:rsidR="00DF16C1">
        <w:t>)</w:t>
      </w:r>
      <w:r w:rsidR="00CF1EFF" w:rsidRPr="00BB7079">
        <w:t>.</w:t>
      </w:r>
      <w:r w:rsidRPr="00BB7079">
        <w:t xml:space="preserve"> </w:t>
      </w:r>
      <w:r w:rsidR="0014666D">
        <w:t>Em razão da positivação no novo CPC remanesce</w:t>
      </w:r>
      <w:r w:rsidR="006C5AA9" w:rsidRPr="00BB7079">
        <w:t xml:space="preserve"> a necessidade</w:t>
      </w:r>
      <w:r w:rsidR="00DF16C1">
        <w:t xml:space="preserve"> </w:t>
      </w:r>
      <w:r w:rsidR="00EE4310">
        <w:t xml:space="preserve">de </w:t>
      </w:r>
      <w:r w:rsidR="00DF16C1">
        <w:t>nova abordagem</w:t>
      </w:r>
      <w:r w:rsidR="00EE4310">
        <w:t xml:space="preserve"> sobre o tema</w:t>
      </w:r>
      <w:r w:rsidR="006C5AA9" w:rsidRPr="00BB7079">
        <w:t>.</w:t>
      </w:r>
      <w:r w:rsidR="003E6EA4">
        <w:t xml:space="preserve"> </w:t>
      </w:r>
      <w:r w:rsidR="00CD5F4B">
        <w:t xml:space="preserve">Antes, </w:t>
      </w:r>
      <w:r w:rsidR="003E6EA4">
        <w:t xml:space="preserve">porém, </w:t>
      </w:r>
      <w:r w:rsidR="00CA20E2">
        <w:t xml:space="preserve">mostra-se </w:t>
      </w:r>
      <w:r w:rsidR="00EE4310">
        <w:t xml:space="preserve">válida </w:t>
      </w:r>
      <w:r w:rsidR="00CD5F4B">
        <w:t xml:space="preserve">uma abordagem </w:t>
      </w:r>
      <w:r w:rsidR="003E6EA4">
        <w:t xml:space="preserve">acerca do </w:t>
      </w:r>
      <w:r w:rsidR="00CD5F4B">
        <w:t>regime anterior.</w:t>
      </w:r>
      <w:r w:rsidR="009D63E5">
        <w:t xml:space="preserve"> </w:t>
      </w:r>
    </w:p>
    <w:p w14:paraId="58720609" w14:textId="38144D9C" w:rsidR="00E21EF1" w:rsidRDefault="00E21EF1" w:rsidP="00217B3B">
      <w:pPr>
        <w:ind w:firstLine="0"/>
      </w:pPr>
      <w:r>
        <w:t xml:space="preserve">Desde a positivação da Lei </w:t>
      </w:r>
      <w:r w:rsidR="00C73370">
        <w:t xml:space="preserve">n. </w:t>
      </w:r>
      <w:r>
        <w:t xml:space="preserve">8.952/94, a jurisprudência do STJ era conservadora quanto ao termo inicial das </w:t>
      </w:r>
      <w:r w:rsidRPr="00C251BA">
        <w:rPr>
          <w:i/>
        </w:rPr>
        <w:t>astreintes</w:t>
      </w:r>
      <w:r>
        <w:t xml:space="preserve">, exigindo, conforme a disposição legal, a </w:t>
      </w:r>
      <w:r w:rsidRPr="009B00F1">
        <w:rPr>
          <w:i/>
        </w:rPr>
        <w:t>citação do devedor</w:t>
      </w:r>
      <w:r>
        <w:t xml:space="preserve"> para o cumprimento da obrigação de fazer</w:t>
      </w:r>
      <w:r w:rsidR="00CE1E3C">
        <w:t>.</w:t>
      </w:r>
      <w:r>
        <w:rPr>
          <w:rStyle w:val="Refdenotaderodap"/>
        </w:rPr>
        <w:footnoteReference w:id="2"/>
      </w:r>
    </w:p>
    <w:p w14:paraId="109733EA" w14:textId="7BC235DC" w:rsidR="001E24E7" w:rsidRDefault="00CA20E2" w:rsidP="00217B3B">
      <w:pPr>
        <w:ind w:firstLine="0"/>
      </w:pPr>
      <w:r>
        <w:t>A</w:t>
      </w:r>
      <w:r w:rsidR="009D63E5">
        <w:t xml:space="preserve"> </w:t>
      </w:r>
      <w:r w:rsidR="005739FA">
        <w:t>Lei n</w:t>
      </w:r>
      <w:r w:rsidR="00C73370">
        <w:t>.</w:t>
      </w:r>
      <w:r w:rsidR="005739FA">
        <w:t xml:space="preserve"> 11.232</w:t>
      </w:r>
      <w:r w:rsidR="009D63E5">
        <w:t>/200</w:t>
      </w:r>
      <w:r w:rsidR="005739FA">
        <w:t xml:space="preserve"> </w:t>
      </w:r>
      <w:r w:rsidR="009D63E5">
        <w:t>positivou</w:t>
      </w:r>
      <w:r w:rsidR="00E21EF1">
        <w:t xml:space="preserve"> </w:t>
      </w:r>
      <w:r w:rsidR="006C5AA9">
        <w:t xml:space="preserve">a possibilidade de </w:t>
      </w:r>
      <w:r w:rsidR="00674570">
        <w:t xml:space="preserve">concessão de </w:t>
      </w:r>
      <w:r w:rsidR="003E6EA4">
        <w:t>tutela específica da obrigação</w:t>
      </w:r>
      <w:r w:rsidR="006C5AA9">
        <w:t xml:space="preserve"> reunindo</w:t>
      </w:r>
      <w:r w:rsidR="005739FA">
        <w:t xml:space="preserve"> no mesmo processo, sem solução de continuidade</w:t>
      </w:r>
      <w:r w:rsidR="00674570">
        <w:t xml:space="preserve">, </w:t>
      </w:r>
      <w:r w:rsidR="006C5AA9">
        <w:t xml:space="preserve">as </w:t>
      </w:r>
      <w:r w:rsidR="00674570">
        <w:t xml:space="preserve">etapas </w:t>
      </w:r>
      <w:r w:rsidR="006C5AA9">
        <w:t>de cognição</w:t>
      </w:r>
      <w:r w:rsidR="00674570">
        <w:t>, quantificação</w:t>
      </w:r>
      <w:r w:rsidR="006C5AA9">
        <w:t xml:space="preserve"> e realização</w:t>
      </w:r>
      <w:r w:rsidR="00DF638B">
        <w:t xml:space="preserve"> do direito</w:t>
      </w:r>
      <w:r w:rsidR="00CF6048">
        <w:t xml:space="preserve">, possibilitando </w:t>
      </w:r>
      <w:r w:rsidR="009D63E5">
        <w:t>. Possibilitou</w:t>
      </w:r>
      <w:r w:rsidR="00640D3D">
        <w:t>-se</w:t>
      </w:r>
      <w:r w:rsidR="009D63E5">
        <w:t xml:space="preserve"> ao juiz</w:t>
      </w:r>
      <w:r>
        <w:t xml:space="preserve"> </w:t>
      </w:r>
      <w:r w:rsidR="009D63E5">
        <w:t xml:space="preserve"> </w:t>
      </w:r>
      <w:r w:rsidR="004E7E0F">
        <w:t>proferir decisões mandamentais</w:t>
      </w:r>
      <w:r w:rsidR="00982466">
        <w:t>,</w:t>
      </w:r>
      <w:r w:rsidR="004E7E0F">
        <w:t xml:space="preserve"> a fim de compelir o devedor a cumprir voluntariamente</w:t>
      </w:r>
      <w:r w:rsidR="009D63E5">
        <w:t xml:space="preserve"> a decisão</w:t>
      </w:r>
      <w:r w:rsidR="00640D3D" w:rsidRPr="00982466">
        <w:rPr>
          <w:lang w:val="lv-LV"/>
        </w:rPr>
        <w:t>,</w:t>
      </w:r>
      <w:r w:rsidR="00640D3D">
        <w:rPr>
          <w:i/>
          <w:lang w:val="lv-LV"/>
        </w:rPr>
        <w:t xml:space="preserve"> </w:t>
      </w:r>
      <w:r w:rsidR="004E7E0F">
        <w:t>utiliza</w:t>
      </w:r>
      <w:r w:rsidR="00640D3D">
        <w:t>ndo-</w:t>
      </w:r>
      <w:r w:rsidR="00640D3D">
        <w:lastRenderedPageBreak/>
        <w:t xml:space="preserve">se </w:t>
      </w:r>
      <w:r w:rsidR="00CF2951">
        <w:t xml:space="preserve">de </w:t>
      </w:r>
      <w:r w:rsidR="00CF2951" w:rsidRPr="00761774">
        <w:rPr>
          <w:i/>
        </w:rPr>
        <w:t>meios executivos atípicos</w:t>
      </w:r>
      <w:r w:rsidR="00761774" w:rsidRPr="00982466">
        <w:rPr>
          <w:rStyle w:val="Refdenotaderodap"/>
        </w:rPr>
        <w:footnoteReference w:id="3"/>
      </w:r>
      <w:r w:rsidR="00F34E32">
        <w:t xml:space="preserve"> para, pri</w:t>
      </w:r>
      <w:r w:rsidR="000F2D79">
        <w:t>orita</w:t>
      </w:r>
      <w:r w:rsidR="00F34E32">
        <w:t>riamente, obter a tutela específica da obrigação</w:t>
      </w:r>
      <w:r w:rsidR="00674570">
        <w:t xml:space="preserve"> </w:t>
      </w:r>
      <w:r w:rsidR="00183FA1">
        <w:t>ou o resultado prático equivalente</w:t>
      </w:r>
      <w:r w:rsidR="00F34E32">
        <w:t>.</w:t>
      </w:r>
    </w:p>
    <w:p w14:paraId="3E29278A" w14:textId="56392F3C" w:rsidR="00711420" w:rsidRDefault="00766BA1" w:rsidP="00217B3B">
      <w:pPr>
        <w:ind w:firstLine="0"/>
      </w:pPr>
      <w:r>
        <w:rPr>
          <w:rFonts w:cs="Times"/>
          <w:lang w:eastAsia="en-US"/>
        </w:rPr>
        <w:t>F</w:t>
      </w:r>
      <w:r w:rsidR="00FB259A" w:rsidRPr="00BB7079">
        <w:t xml:space="preserve">oi no </w:t>
      </w:r>
      <w:r w:rsidR="00FB259A" w:rsidRPr="00766BA1">
        <w:rPr>
          <w:i/>
        </w:rPr>
        <w:t xml:space="preserve">precedente </w:t>
      </w:r>
      <w:r w:rsidRPr="00766BA1">
        <w:rPr>
          <w:i/>
        </w:rPr>
        <w:t>judicial</w:t>
      </w:r>
      <w:r>
        <w:rPr>
          <w:rStyle w:val="Refdenotaderodap"/>
        </w:rPr>
        <w:footnoteReference w:id="4"/>
      </w:r>
      <w:r>
        <w:t xml:space="preserve"> </w:t>
      </w:r>
      <w:r w:rsidR="00FB259A" w:rsidRPr="00BB7079">
        <w:t xml:space="preserve">firmado </w:t>
      </w:r>
      <w:r>
        <w:t xml:space="preserve">pelo STJ </w:t>
      </w:r>
      <w:r w:rsidR="00FB259A" w:rsidRPr="00BB7079">
        <w:t xml:space="preserve">no REsp </w:t>
      </w:r>
      <w:r w:rsidR="00A71842">
        <w:t xml:space="preserve">n. </w:t>
      </w:r>
      <w:r w:rsidR="00FB259A" w:rsidRPr="00BB7079">
        <w:t>692.386/PB</w:t>
      </w:r>
      <w:r w:rsidR="00FB259A" w:rsidRPr="00BB7079">
        <w:rPr>
          <w:rStyle w:val="Refdenotaderodap"/>
        </w:rPr>
        <w:footnoteReference w:id="5"/>
      </w:r>
      <w:r w:rsidR="00FB259A" w:rsidRPr="00BB7079">
        <w:t xml:space="preserve"> que se criaram as linhas mestras da interpretação </w:t>
      </w:r>
      <w:r>
        <w:t xml:space="preserve">quanto </w:t>
      </w:r>
      <w:r w:rsidR="00FB259A" w:rsidRPr="00BB7079">
        <w:t>à forma e o destinatário d</w:t>
      </w:r>
      <w:r w:rsidR="00CA20E2">
        <w:t>ess</w:t>
      </w:r>
      <w:r w:rsidR="00FB259A" w:rsidRPr="00BB7079">
        <w:t>as intimações</w:t>
      </w:r>
      <w:r>
        <w:t xml:space="preserve">, </w:t>
      </w:r>
      <w:r w:rsidR="00B10E63" w:rsidRPr="00B10E63">
        <w:rPr>
          <w:i/>
          <w:lang w:val="lv-LV"/>
        </w:rPr>
        <w:t xml:space="preserve">ratio iuris </w:t>
      </w:r>
      <w:r>
        <w:t xml:space="preserve">que veio a dar ensejo à </w:t>
      </w:r>
      <w:r w:rsidR="00F25E0F">
        <w:rPr>
          <w:rFonts w:cs="Times"/>
          <w:color w:val="000000"/>
          <w:lang w:eastAsia="en-US"/>
        </w:rPr>
        <w:t xml:space="preserve">edição da </w:t>
      </w:r>
      <w:r w:rsidR="00F25E0F" w:rsidRPr="00F25E0F">
        <w:rPr>
          <w:rFonts w:cs="Times"/>
          <w:color w:val="000000"/>
          <w:lang w:eastAsia="en-US"/>
        </w:rPr>
        <w:t xml:space="preserve">Súmula </w:t>
      </w:r>
      <w:r w:rsidR="00982466">
        <w:rPr>
          <w:rFonts w:cs="Times"/>
          <w:color w:val="000000"/>
          <w:lang w:eastAsia="en-US"/>
        </w:rPr>
        <w:t xml:space="preserve">n. </w:t>
      </w:r>
      <w:r w:rsidR="00F25E0F" w:rsidRPr="00F25E0F">
        <w:rPr>
          <w:rFonts w:cs="Times"/>
          <w:color w:val="000000"/>
          <w:lang w:eastAsia="en-US"/>
        </w:rPr>
        <w:t>410</w:t>
      </w:r>
      <w:r w:rsidR="00B10E63">
        <w:rPr>
          <w:rFonts w:cs="Times"/>
          <w:color w:val="000000"/>
          <w:lang w:eastAsia="en-US"/>
        </w:rPr>
        <w:t>.</w:t>
      </w:r>
      <w:r w:rsidR="00AB42C5">
        <w:rPr>
          <w:rStyle w:val="Refdenotaderodap"/>
        </w:rPr>
        <w:footnoteReference w:id="6"/>
      </w:r>
    </w:p>
    <w:p w14:paraId="6C738357" w14:textId="5FD66AE6" w:rsidR="00297ED1" w:rsidRDefault="00B16B4A" w:rsidP="00217B3B">
      <w:pPr>
        <w:ind w:firstLine="0"/>
      </w:pPr>
      <w:r>
        <w:t>A</w:t>
      </w:r>
      <w:r w:rsidR="00766BA1">
        <w:t xml:space="preserve"> partir daí a súmula foi </w:t>
      </w:r>
      <w:r w:rsidR="009B506C">
        <w:t xml:space="preserve">cumprindo seu </w:t>
      </w:r>
      <w:r w:rsidR="00B10E63">
        <w:t>pape</w:t>
      </w:r>
      <w:r w:rsidR="00934396">
        <w:t>l</w:t>
      </w:r>
      <w:r w:rsidR="009B506C">
        <w:t xml:space="preserve">, </w:t>
      </w:r>
      <w:r>
        <w:t xml:space="preserve">até o advento do julgamento </w:t>
      </w:r>
      <w:r w:rsidR="00CA20E2">
        <w:t xml:space="preserve">dos </w:t>
      </w:r>
      <w:r>
        <w:t>Embargos de Divergência em Agravo</w:t>
      </w:r>
      <w:r w:rsidR="00A9772F">
        <w:t xml:space="preserve"> (EAg)</w:t>
      </w:r>
      <w:r>
        <w:t xml:space="preserve"> n</w:t>
      </w:r>
      <w:r w:rsidR="00C73370">
        <w:t>.</w:t>
      </w:r>
      <w:r>
        <w:t xml:space="preserve"> 857.758/RS</w:t>
      </w:r>
      <w:r w:rsidR="00E91360">
        <w:rPr>
          <w:rStyle w:val="Refdenotaderodap"/>
        </w:rPr>
        <w:footnoteReference w:id="7"/>
      </w:r>
      <w:r>
        <w:t xml:space="preserve">, </w:t>
      </w:r>
      <w:r w:rsidR="007B5AE8">
        <w:t xml:space="preserve">que </w:t>
      </w:r>
      <w:r w:rsidR="009B506C">
        <w:t>alterou esse norte</w:t>
      </w:r>
      <w:r w:rsidR="00934396">
        <w:t xml:space="preserve">, onde o posicionamento sumulado </w:t>
      </w:r>
      <w:r w:rsidR="001F760F">
        <w:t>passou a ser motivo de constante instabilidade.</w:t>
      </w:r>
      <w:r w:rsidR="00CA20E2">
        <w:t xml:space="preserve"> </w:t>
      </w:r>
      <w:r w:rsidR="00EE4310">
        <w:t>Esse precedente teve apoio n</w:t>
      </w:r>
      <w:r w:rsidR="00746679">
        <w:t>o REsp n. 940.274/MS</w:t>
      </w:r>
      <w:r w:rsidR="00746679">
        <w:rPr>
          <w:rStyle w:val="Refdenotaderodap"/>
        </w:rPr>
        <w:footnoteReference w:id="8"/>
      </w:r>
      <w:r w:rsidR="00746679">
        <w:t xml:space="preserve"> – que definiu a forma da intimação para pagamento da multa de 10% prevista no art. 475-J do CPC/73 para obrigações de pagamento. Considerou-se </w:t>
      </w:r>
      <w:r w:rsidR="002B388B">
        <w:t xml:space="preserve">– aparentando ter havido </w:t>
      </w:r>
      <w:r w:rsidR="002B388B" w:rsidRPr="002B388B">
        <w:rPr>
          <w:i/>
          <w:lang w:val="en-US"/>
        </w:rPr>
        <w:t>overruling</w:t>
      </w:r>
      <w:r w:rsidR="002B388B">
        <w:rPr>
          <w:rStyle w:val="Refdenotaderodap"/>
        </w:rPr>
        <w:footnoteReference w:id="9"/>
      </w:r>
      <w:r w:rsidR="002B388B">
        <w:t xml:space="preserve"> – </w:t>
      </w:r>
      <w:r w:rsidR="00746679">
        <w:t xml:space="preserve">que </w:t>
      </w:r>
      <w:r w:rsidR="00AF44E0">
        <w:rPr>
          <w:szCs w:val="20"/>
        </w:rPr>
        <w:t>a</w:t>
      </w:r>
      <w:r w:rsidR="00AF44E0" w:rsidRPr="00C96659">
        <w:rPr>
          <w:szCs w:val="20"/>
        </w:rPr>
        <w:t xml:space="preserve"> </w:t>
      </w:r>
      <w:r w:rsidR="00AF44E0" w:rsidRPr="00C96659">
        <w:rPr>
          <w:rStyle w:val="highlightbrs"/>
          <w:bCs/>
          <w:szCs w:val="20"/>
        </w:rPr>
        <w:t>intimação</w:t>
      </w:r>
      <w:r w:rsidR="00AF44E0" w:rsidRPr="00C96659">
        <w:rPr>
          <w:szCs w:val="20"/>
        </w:rPr>
        <w:t xml:space="preserve"> do devedor </w:t>
      </w:r>
      <w:r w:rsidR="00746679">
        <w:rPr>
          <w:szCs w:val="20"/>
        </w:rPr>
        <w:t>para fins de imposição de</w:t>
      </w:r>
      <w:r w:rsidR="00AF44E0" w:rsidRPr="00C96659">
        <w:rPr>
          <w:szCs w:val="20"/>
        </w:rPr>
        <w:t xml:space="preserve"> multa </w:t>
      </w:r>
      <w:r w:rsidR="00746679">
        <w:rPr>
          <w:szCs w:val="20"/>
        </w:rPr>
        <w:t xml:space="preserve">processual – </w:t>
      </w:r>
      <w:r w:rsidR="00AF44E0" w:rsidRPr="00C96659">
        <w:rPr>
          <w:szCs w:val="20"/>
        </w:rPr>
        <w:t xml:space="preserve">para o caso de descumprimento de </w:t>
      </w:r>
      <w:r w:rsidR="00AF44E0" w:rsidRPr="00C96659">
        <w:rPr>
          <w:rStyle w:val="highlightbrs"/>
          <w:bCs/>
          <w:szCs w:val="20"/>
        </w:rPr>
        <w:t>obrigação de fazer</w:t>
      </w:r>
      <w:r w:rsidR="00AF44E0" w:rsidRPr="00C96659">
        <w:rPr>
          <w:szCs w:val="20"/>
        </w:rPr>
        <w:t xml:space="preserve"> ou não fazer</w:t>
      </w:r>
      <w:r w:rsidR="00746679">
        <w:rPr>
          <w:szCs w:val="20"/>
        </w:rPr>
        <w:t xml:space="preserve"> – </w:t>
      </w:r>
      <w:r w:rsidR="00AF44E0" w:rsidRPr="00C96659">
        <w:rPr>
          <w:szCs w:val="20"/>
        </w:rPr>
        <w:t>pode</w:t>
      </w:r>
      <w:r w:rsidR="00297ED1">
        <w:rPr>
          <w:szCs w:val="20"/>
        </w:rPr>
        <w:t>ria</w:t>
      </w:r>
      <w:r w:rsidR="00AF44E0" w:rsidRPr="00C96659">
        <w:rPr>
          <w:szCs w:val="20"/>
        </w:rPr>
        <w:t xml:space="preserve"> ser </w:t>
      </w:r>
      <w:r w:rsidR="00465CA0">
        <w:rPr>
          <w:szCs w:val="20"/>
        </w:rPr>
        <w:t xml:space="preserve">igualmente </w:t>
      </w:r>
      <w:r w:rsidR="00AF44E0" w:rsidRPr="00C96659">
        <w:rPr>
          <w:szCs w:val="20"/>
        </w:rPr>
        <w:t xml:space="preserve">feita </w:t>
      </w:r>
      <w:r w:rsidR="00746679">
        <w:rPr>
          <w:szCs w:val="20"/>
        </w:rPr>
        <w:t xml:space="preserve">na pessoa do </w:t>
      </w:r>
      <w:r w:rsidR="00AF44E0" w:rsidRPr="00C96659">
        <w:rPr>
          <w:szCs w:val="20"/>
        </w:rPr>
        <w:t>advogado</w:t>
      </w:r>
      <w:r w:rsidR="002B388B">
        <w:rPr>
          <w:szCs w:val="20"/>
        </w:rPr>
        <w:t xml:space="preserve">, nas execuções iniciadas </w:t>
      </w:r>
      <w:r w:rsidR="00DB6366">
        <w:t xml:space="preserve">após a </w:t>
      </w:r>
      <w:r w:rsidR="00297ED1">
        <w:t xml:space="preserve">vigência </w:t>
      </w:r>
      <w:r w:rsidR="00DB6366">
        <w:t xml:space="preserve">da Lei </w:t>
      </w:r>
      <w:r w:rsidR="00297ED1">
        <w:t>n</w:t>
      </w:r>
      <w:r w:rsidR="00C73370">
        <w:t>.</w:t>
      </w:r>
      <w:r w:rsidR="00297ED1">
        <w:t xml:space="preserve"> </w:t>
      </w:r>
      <w:r w:rsidR="00DB6366">
        <w:t>11.232/2005.</w:t>
      </w:r>
    </w:p>
    <w:p w14:paraId="3BC325BB" w14:textId="6FD1FC6B" w:rsidR="008B4EAA" w:rsidRDefault="002B388B" w:rsidP="00217B3B">
      <w:pPr>
        <w:ind w:firstLine="0"/>
      </w:pPr>
      <w:r>
        <w:t xml:space="preserve">Instalou-se, por conta disso, um clima de </w:t>
      </w:r>
      <w:r w:rsidR="00497C01" w:rsidRPr="005F3202">
        <w:t xml:space="preserve">insegurança </w:t>
      </w:r>
      <w:r w:rsidR="00D663D7" w:rsidRPr="005F3202">
        <w:t>jurídica</w:t>
      </w:r>
      <w:r>
        <w:t xml:space="preserve">, haja vista a </w:t>
      </w:r>
      <w:r w:rsidR="00020F38">
        <w:t>abrupta</w:t>
      </w:r>
      <w:r w:rsidR="000F209B">
        <w:t xml:space="preserve"> alteração</w:t>
      </w:r>
      <w:r w:rsidR="002F4967">
        <w:t xml:space="preserve"> </w:t>
      </w:r>
      <w:r w:rsidR="00020F38">
        <w:t>d</w:t>
      </w:r>
      <w:r>
        <w:t>a jurisprudência</w:t>
      </w:r>
      <w:r w:rsidR="00E80867">
        <w:t xml:space="preserve"> e o desrespeito d</w:t>
      </w:r>
      <w:r w:rsidR="00E9749E">
        <w:t xml:space="preserve">a dogmática na superação dos </w:t>
      </w:r>
      <w:r w:rsidR="00866335">
        <w:t>precedentes</w:t>
      </w:r>
      <w:r w:rsidR="00D35614" w:rsidRPr="00CE1E3C">
        <w:rPr>
          <w:i/>
        </w:rPr>
        <w:t>.</w:t>
      </w:r>
      <w:r w:rsidR="00E80867">
        <w:rPr>
          <w:i/>
        </w:rPr>
        <w:t xml:space="preserve"> </w:t>
      </w:r>
      <w:r w:rsidR="00AA593B">
        <w:t xml:space="preserve">Somente em um </w:t>
      </w:r>
      <w:r w:rsidR="00F82B7B">
        <w:t>único precedente</w:t>
      </w:r>
      <w:r w:rsidR="00E80867">
        <w:t xml:space="preserve"> </w:t>
      </w:r>
      <w:r w:rsidR="00AA593B">
        <w:t xml:space="preserve">se </w:t>
      </w:r>
      <w:r w:rsidR="00F82B7B">
        <w:t>fez a ressalva de que a hipótese retratava obrigação anterior</w:t>
      </w:r>
      <w:r w:rsidR="00F82B7B" w:rsidRPr="001D61D0">
        <w:t xml:space="preserve"> ao novo regime processual, </w:t>
      </w:r>
      <w:r w:rsidR="00F82B7B">
        <w:t>justificando a não aplicação do novo entendimento</w:t>
      </w:r>
      <w:r w:rsidR="008066E8">
        <w:rPr>
          <w:rStyle w:val="Refdenotaderodap"/>
        </w:rPr>
        <w:footnoteReference w:id="10"/>
      </w:r>
      <w:r w:rsidR="00F82B7B">
        <w:t>.</w:t>
      </w:r>
      <w:r w:rsidR="00AA593B">
        <w:t xml:space="preserve"> </w:t>
      </w:r>
      <w:r w:rsidR="00A3543D">
        <w:t>Por outro lado, e</w:t>
      </w:r>
      <w:r w:rsidR="002260B0">
        <w:t xml:space="preserve">m </w:t>
      </w:r>
      <w:r w:rsidR="005D574B">
        <w:t xml:space="preserve">reiterados </w:t>
      </w:r>
      <w:r w:rsidR="00A3543D">
        <w:t xml:space="preserve">outros </w:t>
      </w:r>
      <w:r w:rsidR="005D574B">
        <w:t>casos</w:t>
      </w:r>
      <w:r w:rsidR="00FB259A">
        <w:t>,</w:t>
      </w:r>
      <w:r w:rsidR="00A3543D">
        <w:t xml:space="preserve"> </w:t>
      </w:r>
      <w:r w:rsidR="005D574B">
        <w:t xml:space="preserve">o STJ </w:t>
      </w:r>
      <w:r w:rsidR="00C03D8B">
        <w:t xml:space="preserve">aplicou </w:t>
      </w:r>
      <w:r w:rsidR="005D574B">
        <w:t xml:space="preserve">a </w:t>
      </w:r>
      <w:r w:rsidR="00FB259A">
        <w:t xml:space="preserve">Súmula </w:t>
      </w:r>
      <w:r w:rsidR="00A71842">
        <w:t xml:space="preserve">n. </w:t>
      </w:r>
      <w:r w:rsidR="00FB259A">
        <w:t>410</w:t>
      </w:r>
      <w:r w:rsidR="00C03D8B">
        <w:t xml:space="preserve"> sem qualquer menção acerca da </w:t>
      </w:r>
      <w:r w:rsidR="00813C03">
        <w:t xml:space="preserve">aplicabilidade </w:t>
      </w:r>
      <w:r w:rsidR="005D574B">
        <w:t xml:space="preserve">ou não </w:t>
      </w:r>
      <w:r w:rsidR="00813C03">
        <w:t xml:space="preserve">da </w:t>
      </w:r>
      <w:r w:rsidR="00C03D8B">
        <w:t xml:space="preserve">Lei </w:t>
      </w:r>
      <w:r w:rsidR="00813C03">
        <w:t>n</w:t>
      </w:r>
      <w:r w:rsidR="00C73370">
        <w:t>.</w:t>
      </w:r>
      <w:r w:rsidR="00813C03">
        <w:t xml:space="preserve"> </w:t>
      </w:r>
      <w:r w:rsidR="00C03D8B">
        <w:t>11.232/</w:t>
      </w:r>
      <w:r w:rsidR="00C73370">
        <w:t>20</w:t>
      </w:r>
      <w:r w:rsidR="00C03D8B">
        <w:t>05</w:t>
      </w:r>
      <w:r w:rsidR="00E9749E">
        <w:t>.</w:t>
      </w:r>
      <w:r w:rsidR="005D574B">
        <w:rPr>
          <w:rStyle w:val="Refdenotaderodap"/>
        </w:rPr>
        <w:footnoteReference w:id="11"/>
      </w:r>
      <w:r w:rsidR="00432D0F">
        <w:t xml:space="preserve"> E em </w:t>
      </w:r>
      <w:r w:rsidR="003D7168">
        <w:t xml:space="preserve">diversos </w:t>
      </w:r>
      <w:r w:rsidR="00FB259A">
        <w:t>outros casos</w:t>
      </w:r>
      <w:r w:rsidR="00432D0F">
        <w:t xml:space="preserve"> </w:t>
      </w:r>
      <w:r w:rsidR="00CC05BF" w:rsidRPr="00CC05BF">
        <w:t xml:space="preserve">houve a aplicação </w:t>
      </w:r>
      <w:r w:rsidR="00CC05BF" w:rsidRPr="00CC05BF">
        <w:lastRenderedPageBreak/>
        <w:t xml:space="preserve">do entendimento sumular para hipóteses cujo cumprimento de sentença </w:t>
      </w:r>
      <w:r w:rsidR="00742CB3">
        <w:t>era</w:t>
      </w:r>
      <w:r w:rsidR="00AB42C5">
        <w:t xml:space="preserve"> </w:t>
      </w:r>
      <w:r w:rsidR="00CC05BF" w:rsidRPr="00CC05BF">
        <w:t xml:space="preserve">posterior à positivação da Lei </w:t>
      </w:r>
      <w:r w:rsidR="00C73370">
        <w:t xml:space="preserve">n. </w:t>
      </w:r>
      <w:r w:rsidR="00CC05BF" w:rsidRPr="00CC05BF">
        <w:t>11.232/</w:t>
      </w:r>
      <w:r w:rsidR="00C73370">
        <w:t>20</w:t>
      </w:r>
      <w:r w:rsidR="00CC05BF" w:rsidRPr="00CC05BF">
        <w:t>05</w:t>
      </w:r>
      <w:r w:rsidR="00CE1E3C">
        <w:t>.</w:t>
      </w:r>
      <w:r w:rsidR="00442D15">
        <w:rPr>
          <w:rStyle w:val="Refdenotaderodap"/>
        </w:rPr>
        <w:footnoteReference w:id="12"/>
      </w:r>
    </w:p>
    <w:p w14:paraId="0697D454" w14:textId="3FCFE560" w:rsidR="00B7520E" w:rsidRDefault="00DF5E51" w:rsidP="00217B3B">
      <w:pPr>
        <w:ind w:firstLine="0"/>
      </w:pPr>
      <w:r>
        <w:t>Es</w:t>
      </w:r>
      <w:r w:rsidR="00BE401B">
        <w:t>s</w:t>
      </w:r>
      <w:r>
        <w:t xml:space="preserve">a balbúrdia </w:t>
      </w:r>
      <w:r w:rsidR="00442D15">
        <w:t xml:space="preserve">nos remete à </w:t>
      </w:r>
      <w:r w:rsidR="00442D15" w:rsidRPr="00E012CF">
        <w:t>autocontradição</w:t>
      </w:r>
      <w:r w:rsidR="00E012CF" w:rsidRPr="00E012CF">
        <w:t xml:space="preserve"> de uma jurisprudência lotérica, contribuindo para o </w:t>
      </w:r>
      <w:r w:rsidR="005A534B" w:rsidRPr="005A534B">
        <w:t>descrédito do Judiciário</w:t>
      </w:r>
      <w:r w:rsidR="009C4745">
        <w:t>.</w:t>
      </w:r>
      <w:r w:rsidR="00F87AFC">
        <w:t xml:space="preserve"> </w:t>
      </w:r>
      <w:r w:rsidR="00C47ABC">
        <w:t>Nesse caso, a</w:t>
      </w:r>
      <w:r w:rsidR="00E9749E">
        <w:t xml:space="preserve"> sorte prepondera sobre o bom direito</w:t>
      </w:r>
      <w:r w:rsidR="00442D15">
        <w:t xml:space="preserve">, fato que retrata </w:t>
      </w:r>
      <w:r w:rsidR="0003572C">
        <w:t>ausência de boa-fé objetiva por parte do Estado</w:t>
      </w:r>
      <w:r w:rsidR="00BE401B">
        <w:t>,</w:t>
      </w:r>
      <w:r w:rsidR="0003572C">
        <w:t xml:space="preserve"> além de </w:t>
      </w:r>
      <w:r w:rsidR="00CC05BF">
        <w:t xml:space="preserve">descaso </w:t>
      </w:r>
      <w:r w:rsidR="00E9749E">
        <w:t>com a sociedade</w:t>
      </w:r>
      <w:r w:rsidR="00362886">
        <w:t>.</w:t>
      </w:r>
    </w:p>
    <w:p w14:paraId="4D950A0F" w14:textId="4FF99D84" w:rsidR="00836380" w:rsidRDefault="00836380" w:rsidP="00217B3B">
      <w:pPr>
        <w:ind w:firstLine="0"/>
      </w:pPr>
      <w:r>
        <w:rPr>
          <w:rFonts w:cs="Times"/>
          <w:color w:val="000000"/>
          <w:lang w:eastAsia="en-US"/>
        </w:rPr>
        <w:t>Relativamente ao princípio da tutela da confiança, cabe uma digressão. Es</w:t>
      </w:r>
      <w:r w:rsidR="00BE401B">
        <w:rPr>
          <w:rFonts w:cs="Times"/>
          <w:color w:val="000000"/>
          <w:lang w:eastAsia="en-US"/>
        </w:rPr>
        <w:t>s</w:t>
      </w:r>
      <w:r>
        <w:rPr>
          <w:rFonts w:cs="Times"/>
          <w:color w:val="000000"/>
          <w:lang w:eastAsia="en-US"/>
        </w:rPr>
        <w:t>e princípio se destina a tutelar interesses individuais do ente privado quando este, não estando juridicamente amparado – por ato jurídico perfeito, direito adquirido ou coisa julgada –, de alguma forma exerce sua liberdade fiando-se na validade, real ou aparente, de um ato normativo geral ou individual, tendo essa confiança traída por ato posterior, cuja vigência ou eficácia tenham sido descontinuadas por alteração, revogação, anulação ou nulidade declarada</w:t>
      </w:r>
      <w:r>
        <w:rPr>
          <w:rStyle w:val="Refdenotaderodap"/>
          <w:rFonts w:cs="Times"/>
          <w:color w:val="000000"/>
          <w:lang w:eastAsia="en-US"/>
        </w:rPr>
        <w:footnoteReference w:id="13"/>
      </w:r>
      <w:r w:rsidR="00CE1E3C">
        <w:rPr>
          <w:rFonts w:cs="Times"/>
          <w:color w:val="000000"/>
          <w:lang w:eastAsia="en-US"/>
        </w:rPr>
        <w:t>.</w:t>
      </w:r>
      <w:r>
        <w:rPr>
          <w:rFonts w:cs="Times"/>
          <w:color w:val="000000"/>
          <w:lang w:eastAsia="en-US"/>
        </w:rPr>
        <w:t xml:space="preserve"> </w:t>
      </w:r>
      <w:r>
        <w:t xml:space="preserve">Sendo a proteção da confiança uma eficácia reflexa da segurança jurídica, derivando dos direitos fundamentais de liberdade e propriedade, integra o rol de direitos e garantias protegidos pela </w:t>
      </w:r>
      <w:r w:rsidR="00C72386">
        <w:t>CF/</w:t>
      </w:r>
      <w:r>
        <w:t>88</w:t>
      </w:r>
      <w:r w:rsidR="00CE1E3C">
        <w:t>.</w:t>
      </w:r>
      <w:r>
        <w:rPr>
          <w:rStyle w:val="Refdenotaderodap"/>
        </w:rPr>
        <w:footnoteReference w:id="14"/>
      </w:r>
    </w:p>
    <w:p w14:paraId="69AFC2A1" w14:textId="06BF692D" w:rsidR="00836380" w:rsidRDefault="00836380" w:rsidP="00217B3B">
      <w:pPr>
        <w:ind w:firstLine="0"/>
      </w:pPr>
      <w:r>
        <w:t>Cabe à ordem jurídica o dever de manter a pacífica convivência social e propiciar segurança jurídica aos jurisdicionados, criando meios à manutenção de uma confiável atmosfera em toda sociedade civil</w:t>
      </w:r>
      <w:r w:rsidR="00CE1E3C">
        <w:t>.</w:t>
      </w:r>
    </w:p>
    <w:p w14:paraId="21335836" w14:textId="77777777" w:rsidR="00836380" w:rsidRDefault="00836380" w:rsidP="00217B3B">
      <w:pPr>
        <w:ind w:firstLine="0"/>
      </w:pPr>
    </w:p>
    <w:p w14:paraId="488B406C" w14:textId="0FD587E0" w:rsidR="00836380" w:rsidRPr="00C73370" w:rsidRDefault="00836380" w:rsidP="00217B3B">
      <w:pPr>
        <w:ind w:firstLine="0"/>
        <w:rPr>
          <w:b/>
          <w:sz w:val="28"/>
          <w:szCs w:val="28"/>
        </w:rPr>
      </w:pPr>
      <w:r w:rsidRPr="00C73370">
        <w:rPr>
          <w:b/>
          <w:sz w:val="28"/>
          <w:szCs w:val="28"/>
        </w:rPr>
        <w:t>2. A necessidade de modulação de efeitos</w:t>
      </w:r>
    </w:p>
    <w:p w14:paraId="59A69ABE" w14:textId="77777777" w:rsidR="00836380" w:rsidRDefault="00836380" w:rsidP="00217B3B">
      <w:pPr>
        <w:ind w:firstLine="0"/>
      </w:pPr>
    </w:p>
    <w:p w14:paraId="5328C119" w14:textId="2B6EF474" w:rsidR="0081240E" w:rsidRPr="00BB7079" w:rsidRDefault="00836380" w:rsidP="00217B3B">
      <w:pPr>
        <w:ind w:firstLine="0"/>
      </w:pPr>
      <w:r w:rsidRPr="00BB7079">
        <w:t xml:space="preserve">Não houve </w:t>
      </w:r>
      <w:r w:rsidR="00A52902" w:rsidRPr="00BB7079">
        <w:t xml:space="preserve">preocupação </w:t>
      </w:r>
      <w:r w:rsidR="00464040">
        <w:t xml:space="preserve">no julgamento </w:t>
      </w:r>
      <w:r w:rsidR="00A52902" w:rsidRPr="00BB7079">
        <w:t>com os efeitos nefastos propiciados pela repentina “mudança jurisprudencial”</w:t>
      </w:r>
      <w:r w:rsidR="00634901">
        <w:t xml:space="preserve">, implementada </w:t>
      </w:r>
      <w:r w:rsidR="008D5D4A" w:rsidRPr="00BB7079">
        <w:t xml:space="preserve">sem </w:t>
      </w:r>
      <w:r w:rsidR="00E770F4" w:rsidRPr="00BB7079">
        <w:t>imposição de regras de t</w:t>
      </w:r>
      <w:r w:rsidR="00742CB3" w:rsidRPr="00BB7079">
        <w:t>ransição</w:t>
      </w:r>
      <w:r w:rsidR="00E770F4" w:rsidRPr="00BB7079">
        <w:t xml:space="preserve">. </w:t>
      </w:r>
    </w:p>
    <w:p w14:paraId="49DBF288" w14:textId="7F243436" w:rsidR="0081240E" w:rsidRPr="00B71054" w:rsidRDefault="0081240E" w:rsidP="00217B3B">
      <w:pPr>
        <w:ind w:firstLine="0"/>
      </w:pPr>
      <w:r>
        <w:rPr>
          <w:rFonts w:cs="Times"/>
          <w:lang w:eastAsia="en-US"/>
        </w:rPr>
        <w:t xml:space="preserve">A </w:t>
      </w:r>
      <w:r w:rsidR="00742CB3">
        <w:rPr>
          <w:rFonts w:cs="Times"/>
          <w:lang w:eastAsia="en-US"/>
        </w:rPr>
        <w:t>súbita</w:t>
      </w:r>
      <w:r>
        <w:rPr>
          <w:rFonts w:cs="Times"/>
          <w:lang w:eastAsia="en-US"/>
        </w:rPr>
        <w:t xml:space="preserve"> mudança </w:t>
      </w:r>
      <w:r w:rsidR="00634901">
        <w:rPr>
          <w:rFonts w:cs="Times"/>
          <w:lang w:eastAsia="en-US"/>
        </w:rPr>
        <w:t>na jurisprudência atingiu</w:t>
      </w:r>
      <w:r>
        <w:rPr>
          <w:rFonts w:cs="Times"/>
          <w:lang w:eastAsia="en-US"/>
        </w:rPr>
        <w:t xml:space="preserve"> a </w:t>
      </w:r>
      <w:r w:rsidR="00585226">
        <w:rPr>
          <w:rFonts w:cs="Times"/>
          <w:lang w:eastAsia="en-US"/>
        </w:rPr>
        <w:t xml:space="preserve">boa-fé e </w:t>
      </w:r>
      <w:r>
        <w:rPr>
          <w:rFonts w:cs="Times"/>
          <w:lang w:eastAsia="en-US"/>
        </w:rPr>
        <w:t xml:space="preserve">legítima expectativa dos jurisdicionados, erigida exatamente com espeque nas reiteradas decisões </w:t>
      </w:r>
      <w:r w:rsidR="00742CB3">
        <w:rPr>
          <w:rFonts w:cs="Times"/>
          <w:lang w:eastAsia="en-US"/>
        </w:rPr>
        <w:t xml:space="preserve">que precederam a edição da </w:t>
      </w:r>
      <w:r>
        <w:rPr>
          <w:rFonts w:cs="Times"/>
          <w:lang w:eastAsia="en-US"/>
        </w:rPr>
        <w:t>súmula</w:t>
      </w:r>
      <w:r w:rsidR="00585226">
        <w:rPr>
          <w:rFonts w:cs="Times"/>
          <w:lang w:eastAsia="en-US"/>
        </w:rPr>
        <w:t>.</w:t>
      </w:r>
    </w:p>
    <w:p w14:paraId="16B9F634" w14:textId="259F7C54" w:rsidR="00E9566A" w:rsidRPr="00585226" w:rsidRDefault="00F43529" w:rsidP="00217B3B">
      <w:pPr>
        <w:ind w:firstLine="0"/>
        <w:rPr>
          <w:lang w:eastAsia="en-US"/>
        </w:rPr>
      </w:pPr>
      <w:r w:rsidRPr="00585226">
        <w:lastRenderedPageBreak/>
        <w:t>Ao assim proceder</w:t>
      </w:r>
      <w:r w:rsidR="000F1817">
        <w:t>,</w:t>
      </w:r>
      <w:r w:rsidRPr="00585226">
        <w:t xml:space="preserve"> o Estado </w:t>
      </w:r>
      <w:r w:rsidR="00464040">
        <w:rPr>
          <w:rFonts w:cs="Times"/>
          <w:lang w:eastAsia="en-US"/>
        </w:rPr>
        <w:t>atingiu</w:t>
      </w:r>
      <w:r w:rsidR="00585226" w:rsidRPr="00585226">
        <w:rPr>
          <w:rFonts w:cs="Times"/>
          <w:lang w:eastAsia="en-US"/>
        </w:rPr>
        <w:t xml:space="preserve"> aqueles </w:t>
      </w:r>
      <w:r w:rsidR="00EE4310">
        <w:rPr>
          <w:rFonts w:cs="Times"/>
          <w:lang w:eastAsia="en-US"/>
        </w:rPr>
        <w:t xml:space="preserve">que </w:t>
      </w:r>
      <w:r w:rsidR="00634901">
        <w:rPr>
          <w:rFonts w:cs="Times"/>
          <w:lang w:eastAsia="en-US"/>
        </w:rPr>
        <w:t xml:space="preserve">acreditaram estar procedendo </w:t>
      </w:r>
      <w:r w:rsidR="00585226" w:rsidRPr="00585226">
        <w:rPr>
          <w:rFonts w:cs="Times"/>
          <w:lang w:eastAsia="en-US"/>
        </w:rPr>
        <w:t>de acordo com a lei</w:t>
      </w:r>
      <w:r w:rsidR="00585226" w:rsidRPr="00585226">
        <w:rPr>
          <w:rStyle w:val="Refdenotaderodap"/>
        </w:rPr>
        <w:footnoteReference w:id="15"/>
      </w:r>
      <w:r w:rsidR="00CE1E3C">
        <w:rPr>
          <w:rFonts w:cs="Times"/>
          <w:lang w:eastAsia="en-US"/>
        </w:rPr>
        <w:t>.</w:t>
      </w:r>
      <w:r w:rsidRPr="00585226">
        <w:t xml:space="preserve"> </w:t>
      </w:r>
      <w:r w:rsidR="001A2637" w:rsidRPr="00585226">
        <w:t>Sob essa perspectiva, d</w:t>
      </w:r>
      <w:r w:rsidR="00121387" w:rsidRPr="00585226">
        <w:rPr>
          <w:rFonts w:cs="Times"/>
          <w:lang w:eastAsia="en-US"/>
        </w:rPr>
        <w:t xml:space="preserve">everia </w:t>
      </w:r>
      <w:r w:rsidR="00861844" w:rsidRPr="00585226">
        <w:rPr>
          <w:rFonts w:cs="Times"/>
          <w:lang w:eastAsia="en-US"/>
        </w:rPr>
        <w:t xml:space="preserve">o STJ </w:t>
      </w:r>
      <w:r w:rsidR="00686182" w:rsidRPr="00585226">
        <w:rPr>
          <w:rFonts w:cs="Times"/>
          <w:lang w:eastAsia="en-US"/>
        </w:rPr>
        <w:t xml:space="preserve">atribuir </w:t>
      </w:r>
      <w:r w:rsidR="00686182" w:rsidRPr="00585226">
        <w:rPr>
          <w:rFonts w:cs="Times"/>
          <w:i/>
          <w:lang w:eastAsia="en-US"/>
        </w:rPr>
        <w:t xml:space="preserve">eficácia prospectiva </w:t>
      </w:r>
      <w:r w:rsidR="00686182" w:rsidRPr="00585226">
        <w:rPr>
          <w:rFonts w:cs="Times"/>
          <w:lang w:eastAsia="en-US"/>
        </w:rPr>
        <w:t xml:space="preserve">à alteração, procedendo </w:t>
      </w:r>
      <w:r w:rsidR="001A2637" w:rsidRPr="00585226">
        <w:rPr>
          <w:rFonts w:cs="Times"/>
          <w:lang w:eastAsia="en-US"/>
        </w:rPr>
        <w:t xml:space="preserve">à </w:t>
      </w:r>
      <w:r w:rsidR="001A2637" w:rsidRPr="00585226">
        <w:rPr>
          <w:rFonts w:cs="Times"/>
          <w:i/>
          <w:lang w:eastAsia="en-US"/>
        </w:rPr>
        <w:t xml:space="preserve">modulação dos efeitos </w:t>
      </w:r>
      <w:r w:rsidR="001A2637" w:rsidRPr="00585226">
        <w:rPr>
          <w:rFonts w:cs="Times"/>
          <w:lang w:eastAsia="en-US"/>
        </w:rPr>
        <w:t xml:space="preserve">provenientes </w:t>
      </w:r>
      <w:r w:rsidR="00121387" w:rsidRPr="00585226">
        <w:rPr>
          <w:rFonts w:cs="Times"/>
          <w:lang w:eastAsia="en-US"/>
        </w:rPr>
        <w:t xml:space="preserve">da </w:t>
      </w:r>
      <w:r w:rsidR="005E76A5">
        <w:rPr>
          <w:rFonts w:cs="Times"/>
          <w:lang w:eastAsia="en-US"/>
        </w:rPr>
        <w:t>superação</w:t>
      </w:r>
      <w:r w:rsidR="00121387" w:rsidRPr="00585226">
        <w:rPr>
          <w:rFonts w:cs="Times"/>
          <w:lang w:eastAsia="en-US"/>
        </w:rPr>
        <w:t xml:space="preserve"> jurisprudencial, preservando fatos e situações </w:t>
      </w:r>
      <w:r w:rsidR="00861844" w:rsidRPr="00585226">
        <w:rPr>
          <w:rFonts w:cs="Times"/>
          <w:lang w:eastAsia="en-US"/>
        </w:rPr>
        <w:t xml:space="preserve">jurídicas </w:t>
      </w:r>
      <w:r w:rsidR="00121387" w:rsidRPr="00585226">
        <w:rPr>
          <w:rFonts w:cs="Times"/>
          <w:lang w:eastAsia="en-US"/>
        </w:rPr>
        <w:t>ocorridos sob a ori</w:t>
      </w:r>
      <w:r w:rsidR="00E9566A" w:rsidRPr="00585226">
        <w:rPr>
          <w:rFonts w:cs="Times"/>
          <w:lang w:eastAsia="en-US"/>
        </w:rPr>
        <w:t>entação anterior</w:t>
      </w:r>
      <w:r w:rsidR="00121387" w:rsidRPr="00585226">
        <w:rPr>
          <w:rFonts w:cs="Times"/>
          <w:lang w:eastAsia="en-US"/>
        </w:rPr>
        <w:t>.</w:t>
      </w:r>
      <w:r w:rsidR="00E9566A" w:rsidRPr="00585226">
        <w:rPr>
          <w:rStyle w:val="Refdenotaderodap"/>
          <w:rFonts w:cs="Times"/>
          <w:lang w:eastAsia="en-US"/>
        </w:rPr>
        <w:footnoteReference w:id="16"/>
      </w:r>
    </w:p>
    <w:p w14:paraId="5494251E" w14:textId="64185B3B" w:rsidR="005C6271" w:rsidRPr="00585226" w:rsidRDefault="005C6271" w:rsidP="00217B3B">
      <w:pPr>
        <w:ind w:firstLine="0"/>
      </w:pPr>
      <w:r w:rsidRPr="00585226">
        <w:rPr>
          <w:lang w:eastAsia="en-US"/>
        </w:rPr>
        <w:t xml:space="preserve">Atentaria contra a lógica do </w:t>
      </w:r>
      <w:r w:rsidR="00F62031">
        <w:rPr>
          <w:lang w:eastAsia="en-US"/>
        </w:rPr>
        <w:t xml:space="preserve">sistema objetivo </w:t>
      </w:r>
      <w:r w:rsidRPr="00585226">
        <w:rPr>
          <w:lang w:eastAsia="en-US"/>
        </w:rPr>
        <w:t xml:space="preserve">o STJ deter poderes para reformar uma decisão contrária </w:t>
      </w:r>
      <w:r w:rsidR="00F62031">
        <w:rPr>
          <w:lang w:eastAsia="en-US"/>
        </w:rPr>
        <w:t>a tratado ou lei federal</w:t>
      </w:r>
      <w:r w:rsidR="00B864EE">
        <w:rPr>
          <w:lang w:eastAsia="en-US"/>
        </w:rPr>
        <w:t>,</w:t>
      </w:r>
      <w:r w:rsidR="00F62031">
        <w:rPr>
          <w:lang w:eastAsia="en-US"/>
        </w:rPr>
        <w:t xml:space="preserve"> </w:t>
      </w:r>
      <w:r w:rsidRPr="00585226">
        <w:rPr>
          <w:lang w:eastAsia="en-US"/>
        </w:rPr>
        <w:t xml:space="preserve">ou rever um posicionamento </w:t>
      </w:r>
      <w:r w:rsidR="00F62031">
        <w:rPr>
          <w:lang w:eastAsia="en-US"/>
        </w:rPr>
        <w:t xml:space="preserve">adotado por um tribunal </w:t>
      </w:r>
      <w:r w:rsidRPr="00585226">
        <w:rPr>
          <w:lang w:eastAsia="en-US"/>
        </w:rPr>
        <w:t>sobre determinada lei federal</w:t>
      </w:r>
      <w:r w:rsidR="00B864EE">
        <w:rPr>
          <w:lang w:eastAsia="en-US"/>
        </w:rPr>
        <w:t>,</w:t>
      </w:r>
      <w:r w:rsidRPr="00585226">
        <w:rPr>
          <w:lang w:eastAsia="en-US"/>
        </w:rPr>
        <w:t xml:space="preserve"> e não poder resguardar os jurisdicionados dos efeitos irradiados sobre aqueles que se pautaram no entendimento transposto.</w:t>
      </w:r>
      <w:r w:rsidR="00CF4D81" w:rsidRPr="00585226">
        <w:rPr>
          <w:rStyle w:val="Refdenotaderodap"/>
          <w:lang w:eastAsia="en-US"/>
        </w:rPr>
        <w:footnoteReference w:id="17"/>
      </w:r>
    </w:p>
    <w:p w14:paraId="38906279" w14:textId="2BC0F22A" w:rsidR="009859BB" w:rsidRDefault="009859BB" w:rsidP="00217B3B">
      <w:pPr>
        <w:ind w:firstLine="0"/>
      </w:pPr>
      <w:r>
        <w:t xml:space="preserve">O princípio da irretroatividade </w:t>
      </w:r>
      <w:r w:rsidR="009E311D">
        <w:t xml:space="preserve">– </w:t>
      </w:r>
      <w:r>
        <w:t>subprincípio da segurança jurídica</w:t>
      </w:r>
      <w:r w:rsidR="009E311D">
        <w:t xml:space="preserve"> –</w:t>
      </w:r>
      <w:r>
        <w:t xml:space="preserve"> </w:t>
      </w:r>
      <w:r w:rsidR="009E311D">
        <w:t xml:space="preserve">considera que as situações jurídicas consolidadas </w:t>
      </w:r>
      <w:r>
        <w:t>não deve</w:t>
      </w:r>
      <w:r w:rsidR="009E311D">
        <w:t>m</w:t>
      </w:r>
      <w:r>
        <w:t xml:space="preserve"> ser novamente objeto de que</w:t>
      </w:r>
      <w:r w:rsidR="00585226">
        <w:t>stionamentos jurídicos</w:t>
      </w:r>
      <w:r w:rsidR="00AE7487">
        <w:t xml:space="preserve">, razão pela qual impede retroações indevidas contra atos sedimentados. </w:t>
      </w:r>
      <w:r w:rsidR="00585226">
        <w:t xml:space="preserve">Evidentemente, isso </w:t>
      </w:r>
      <w:r w:rsidR="004550A9">
        <w:t xml:space="preserve">abrange o respeito às posições jurídicas </w:t>
      </w:r>
      <w:r w:rsidR="00E34193">
        <w:t>estabilizadas</w:t>
      </w:r>
      <w:r w:rsidR="004550A9">
        <w:t xml:space="preserve"> sob a orientação </w:t>
      </w:r>
      <w:r w:rsidR="00585226">
        <w:t>jurisprudencial superada</w:t>
      </w:r>
      <w:r w:rsidR="004550A9">
        <w:t xml:space="preserve">, </w:t>
      </w:r>
      <w:r>
        <w:t>sob pena de se perpetuar o conflito e a perturbação social.</w:t>
      </w:r>
      <w:r>
        <w:rPr>
          <w:rStyle w:val="Refdenotaderodap"/>
        </w:rPr>
        <w:footnoteReference w:id="18"/>
      </w:r>
    </w:p>
    <w:p w14:paraId="30B65E4F" w14:textId="65CD8EB4" w:rsidR="00F83761" w:rsidRPr="00BB7079" w:rsidRDefault="00F83761" w:rsidP="00217B3B">
      <w:pPr>
        <w:ind w:firstLine="0"/>
        <w:rPr>
          <w:rFonts w:cs="Times"/>
          <w:lang w:eastAsia="en-US"/>
        </w:rPr>
      </w:pPr>
      <w:r w:rsidRPr="00BB7079">
        <w:rPr>
          <w:rFonts w:cs="Times"/>
          <w:lang w:eastAsia="en-US"/>
        </w:rPr>
        <w:t xml:space="preserve">Se </w:t>
      </w:r>
      <w:r w:rsidR="00B864EE">
        <w:rPr>
          <w:rFonts w:cs="Times"/>
          <w:lang w:eastAsia="en-US"/>
        </w:rPr>
        <w:t xml:space="preserve">o </w:t>
      </w:r>
      <w:r w:rsidRPr="00BB7079">
        <w:rPr>
          <w:rFonts w:cs="Times"/>
          <w:lang w:eastAsia="en-US"/>
        </w:rPr>
        <w:t>princípio da irretroatividade</w:t>
      </w:r>
      <w:r w:rsidRPr="00BB7079">
        <w:rPr>
          <w:rStyle w:val="Refdenotaderodap"/>
          <w:rFonts w:cs="Times"/>
          <w:lang w:eastAsia="en-US"/>
        </w:rPr>
        <w:footnoteReference w:id="19"/>
      </w:r>
      <w:r w:rsidRPr="00BB7079">
        <w:rPr>
          <w:rFonts w:cs="Times"/>
          <w:lang w:eastAsia="en-US"/>
        </w:rPr>
        <w:t xml:space="preserve"> veda a retroação indevida da lei a ponto de</w:t>
      </w:r>
      <w:r w:rsidR="009522A1" w:rsidRPr="00BB7079">
        <w:rPr>
          <w:rFonts w:cs="Times"/>
          <w:lang w:eastAsia="en-US"/>
        </w:rPr>
        <w:t xml:space="preserve"> se</w:t>
      </w:r>
      <w:r w:rsidRPr="00BB7079">
        <w:rPr>
          <w:rFonts w:cs="Times"/>
          <w:lang w:eastAsia="en-US"/>
        </w:rPr>
        <w:t xml:space="preserve"> vergastar </w:t>
      </w:r>
      <w:r w:rsidR="009522A1" w:rsidRPr="00BB7079">
        <w:rPr>
          <w:rFonts w:cs="Times"/>
          <w:lang w:eastAsia="en-US"/>
        </w:rPr>
        <w:t>um</w:t>
      </w:r>
      <w:r w:rsidRPr="00BB7079">
        <w:rPr>
          <w:rFonts w:cs="Times"/>
          <w:lang w:eastAsia="en-US"/>
        </w:rPr>
        <w:t xml:space="preserve"> ato jurídico perfeito, </w:t>
      </w:r>
      <w:r w:rsidR="009522A1" w:rsidRPr="00BB7079">
        <w:rPr>
          <w:rFonts w:cs="Times"/>
          <w:lang w:eastAsia="en-US"/>
        </w:rPr>
        <w:t xml:space="preserve">um </w:t>
      </w:r>
      <w:r w:rsidRPr="00BB7079">
        <w:rPr>
          <w:rFonts w:cs="Times"/>
          <w:lang w:eastAsia="en-US"/>
        </w:rPr>
        <w:t xml:space="preserve">direito adquirido e a coisa julgada, a interpretação da lei, via de regra, </w:t>
      </w:r>
      <w:r w:rsidR="009522A1" w:rsidRPr="00BB7079">
        <w:rPr>
          <w:rFonts w:cs="Times"/>
          <w:lang w:eastAsia="en-US"/>
        </w:rPr>
        <w:t xml:space="preserve">deve receber a mesma sorte, </w:t>
      </w:r>
      <w:r w:rsidRPr="00BB7079">
        <w:rPr>
          <w:rFonts w:cs="Times"/>
          <w:lang w:eastAsia="en-US"/>
        </w:rPr>
        <w:t>não pode</w:t>
      </w:r>
      <w:r w:rsidR="009522A1" w:rsidRPr="00BB7079">
        <w:rPr>
          <w:rFonts w:cs="Times"/>
          <w:lang w:eastAsia="en-US"/>
        </w:rPr>
        <w:t>ndo</w:t>
      </w:r>
      <w:r w:rsidRPr="00BB7079">
        <w:rPr>
          <w:rFonts w:cs="Times"/>
          <w:lang w:eastAsia="en-US"/>
        </w:rPr>
        <w:t xml:space="preserve"> ter eficácia </w:t>
      </w:r>
      <w:r w:rsidRPr="00BB7079">
        <w:rPr>
          <w:rFonts w:cs="Times"/>
          <w:i/>
          <w:lang w:eastAsia="en-US"/>
        </w:rPr>
        <w:t xml:space="preserve">ex </w:t>
      </w:r>
      <w:r w:rsidRPr="00BB7079">
        <w:rPr>
          <w:rFonts w:cs="Times"/>
          <w:i/>
          <w:lang w:val="lv-LV" w:eastAsia="en-US"/>
        </w:rPr>
        <w:t>tunc</w:t>
      </w:r>
      <w:r w:rsidRPr="00B864EE">
        <w:rPr>
          <w:rFonts w:cs="Times"/>
          <w:lang w:eastAsia="en-US"/>
        </w:rPr>
        <w:t>,</w:t>
      </w:r>
      <w:r w:rsidRPr="00BB7079">
        <w:rPr>
          <w:rFonts w:cs="Times"/>
          <w:i/>
          <w:lang w:eastAsia="en-US"/>
        </w:rPr>
        <w:t xml:space="preserve"> </w:t>
      </w:r>
      <w:r w:rsidRPr="00BB7079">
        <w:t xml:space="preserve">sob pena de afronta aos </w:t>
      </w:r>
      <w:r w:rsidRPr="00BB7079">
        <w:rPr>
          <w:i/>
        </w:rPr>
        <w:t xml:space="preserve">princípios da confiança e da segurança jurídica </w:t>
      </w:r>
      <w:r w:rsidRPr="00BB7079">
        <w:t>do cidadão frente ao Estado</w:t>
      </w:r>
      <w:r w:rsidRPr="00BB7079">
        <w:rPr>
          <w:rFonts w:cs="Times"/>
          <w:i/>
          <w:lang w:eastAsia="en-US"/>
        </w:rPr>
        <w:t>.</w:t>
      </w:r>
    </w:p>
    <w:p w14:paraId="61ACF3AF" w14:textId="77777777" w:rsidR="00A10210" w:rsidRDefault="00A10210" w:rsidP="00217B3B">
      <w:pPr>
        <w:ind w:firstLine="0"/>
      </w:pPr>
    </w:p>
    <w:p w14:paraId="430D74DE" w14:textId="485D62FE" w:rsidR="00A10210" w:rsidRDefault="00836380" w:rsidP="00217B3B">
      <w:pPr>
        <w:pStyle w:val="Barra"/>
      </w:pPr>
      <w:r>
        <w:t>3</w:t>
      </w:r>
      <w:r w:rsidR="002612C9">
        <w:t>. A parcial modificação no quadro</w:t>
      </w:r>
    </w:p>
    <w:p w14:paraId="76492F87" w14:textId="77777777" w:rsidR="00A10210" w:rsidRDefault="00A10210" w:rsidP="00217B3B">
      <w:pPr>
        <w:ind w:firstLine="0"/>
      </w:pPr>
    </w:p>
    <w:p w14:paraId="2C7E1208" w14:textId="312F346E" w:rsidR="00833B2B" w:rsidRDefault="00577E79" w:rsidP="00217B3B">
      <w:pPr>
        <w:ind w:firstLine="0"/>
      </w:pPr>
      <w:r>
        <w:t xml:space="preserve">Em 25/09/2013, </w:t>
      </w:r>
      <w:r w:rsidR="00F34A97">
        <w:t>n</w:t>
      </w:r>
      <w:r>
        <w:t xml:space="preserve">o julgamento do </w:t>
      </w:r>
      <w:r w:rsidR="00D844D0">
        <w:t xml:space="preserve">REsp </w:t>
      </w:r>
      <w:r>
        <w:t>n</w:t>
      </w:r>
      <w:r w:rsidR="00C73370">
        <w:t>.</w:t>
      </w:r>
      <w:r>
        <w:t xml:space="preserve"> 1.349.790/RJ</w:t>
      </w:r>
      <w:r w:rsidR="00C129A0">
        <w:rPr>
          <w:rStyle w:val="Refdenotaderodap"/>
        </w:rPr>
        <w:footnoteReference w:id="20"/>
      </w:r>
      <w:r w:rsidR="00B864EE">
        <w:t>,</w:t>
      </w:r>
      <w:r>
        <w:t xml:space="preserve"> a 2ª Seção do STJ modificou parcialmente esse quadro, realinhando a temática.</w:t>
      </w:r>
      <w:r w:rsidR="00E8104D">
        <w:t xml:space="preserve"> Na ocasião, a </w:t>
      </w:r>
      <w:r w:rsidR="00DC0F3F">
        <w:t xml:space="preserve">relatora, </w:t>
      </w:r>
      <w:r w:rsidR="00B864EE">
        <w:t>m</w:t>
      </w:r>
      <w:r w:rsidR="00E8104D">
        <w:t>in</w:t>
      </w:r>
      <w:r w:rsidR="00B864EE">
        <w:t>istra</w:t>
      </w:r>
      <w:r w:rsidR="00E8104D">
        <w:t xml:space="preserve"> Maria Isabel Gallot</w:t>
      </w:r>
      <w:r w:rsidR="00464040">
        <w:t>ti, considerando a divergência envolvendo a súmula</w:t>
      </w:r>
      <w:r w:rsidR="00E8104D">
        <w:t>, propôs a afetação do recurso especial para a 2ª Seção</w:t>
      </w:r>
      <w:r w:rsidR="008A6A9F">
        <w:t xml:space="preserve">, </w:t>
      </w:r>
      <w:r w:rsidR="00C214FF">
        <w:t xml:space="preserve">reabrindo </w:t>
      </w:r>
      <w:r w:rsidR="008A6A9F">
        <w:t xml:space="preserve">a </w:t>
      </w:r>
      <w:r w:rsidR="002C63B7">
        <w:t>discussão</w:t>
      </w:r>
      <w:r w:rsidR="00CE1E3C">
        <w:t>.</w:t>
      </w:r>
      <w:r w:rsidR="00EE4310">
        <w:t xml:space="preserve"> </w:t>
      </w:r>
      <w:r w:rsidR="00DC0F3F">
        <w:t>R</w:t>
      </w:r>
      <w:r w:rsidR="007440B2">
        <w:t xml:space="preserve">esgatando as notas taquigráficas, </w:t>
      </w:r>
      <w:r w:rsidR="00C56585">
        <w:lastRenderedPageBreak/>
        <w:t xml:space="preserve">explicou a </w:t>
      </w:r>
      <w:r w:rsidR="0068584B">
        <w:t xml:space="preserve">relatora </w:t>
      </w:r>
      <w:r w:rsidR="00717C3F">
        <w:t>que n</w:t>
      </w:r>
      <w:r w:rsidR="00B12916">
        <w:t>a</w:t>
      </w:r>
      <w:r w:rsidR="00DC0F3F">
        <w:t>quel</w:t>
      </w:r>
      <w:r w:rsidR="0068584B">
        <w:t xml:space="preserve">e </w:t>
      </w:r>
      <w:r w:rsidR="00B12916">
        <w:t xml:space="preserve">julgamento </w:t>
      </w:r>
      <w:r w:rsidR="00717C3F">
        <w:t xml:space="preserve">a </w:t>
      </w:r>
      <w:r w:rsidR="00B864EE">
        <w:t>m</w:t>
      </w:r>
      <w:r w:rsidR="00833B2B">
        <w:t>in</w:t>
      </w:r>
      <w:r w:rsidR="00B864EE">
        <w:t>istra</w:t>
      </w:r>
      <w:r w:rsidR="00833B2B">
        <w:t xml:space="preserve"> Nancy Andrighi </w:t>
      </w:r>
      <w:r w:rsidR="00717C3F">
        <w:t>propôs a revisão d</w:t>
      </w:r>
      <w:r w:rsidR="00771664">
        <w:t>a súmula</w:t>
      </w:r>
      <w:r w:rsidR="00464040">
        <w:t xml:space="preserve">, </w:t>
      </w:r>
      <w:r w:rsidR="00EE4310">
        <w:t>o que foi recusado</w:t>
      </w:r>
      <w:r w:rsidR="0068584B">
        <w:t xml:space="preserve"> pel</w:t>
      </w:r>
      <w:r w:rsidR="00BC4501">
        <w:t xml:space="preserve">os </w:t>
      </w:r>
      <w:r w:rsidR="00B12916">
        <w:t>integrantes</w:t>
      </w:r>
      <w:r w:rsidR="00BC4501">
        <w:t xml:space="preserve"> da Seção</w:t>
      </w:r>
      <w:r w:rsidR="00EE4310">
        <w:t xml:space="preserve">. </w:t>
      </w:r>
      <w:r w:rsidR="00464040">
        <w:t xml:space="preserve">Com isso, </w:t>
      </w:r>
      <w:r w:rsidR="00BC4501">
        <w:t xml:space="preserve">retirou </w:t>
      </w:r>
      <w:r w:rsidR="00464040">
        <w:t xml:space="preserve">a relatora </w:t>
      </w:r>
      <w:r w:rsidR="00BC4501">
        <w:t>do voto a</w:t>
      </w:r>
      <w:r w:rsidR="00AF3483">
        <w:t xml:space="preserve"> questão </w:t>
      </w:r>
      <w:r w:rsidR="00833B2B">
        <w:t xml:space="preserve">relativa à </w:t>
      </w:r>
      <w:r w:rsidR="00AF3483">
        <w:t xml:space="preserve">revisão </w:t>
      </w:r>
      <w:r w:rsidR="00833B2B">
        <w:t>da súmula</w:t>
      </w:r>
      <w:r w:rsidR="0012315A">
        <w:t>, prosseguindo no julgamento d</w:t>
      </w:r>
      <w:r w:rsidR="001F33B9">
        <w:t xml:space="preserve">o caso </w:t>
      </w:r>
      <w:r w:rsidR="0012315A">
        <w:t>concret</w:t>
      </w:r>
      <w:r w:rsidR="001F33B9">
        <w:t>o</w:t>
      </w:r>
      <w:r w:rsidR="00833B2B">
        <w:t>.</w:t>
      </w:r>
    </w:p>
    <w:p w14:paraId="7F833E9E" w14:textId="4249CFB5" w:rsidR="00577E79" w:rsidRDefault="00F17020" w:rsidP="00217B3B">
      <w:pPr>
        <w:ind w:firstLine="0"/>
      </w:pPr>
      <w:r>
        <w:t xml:space="preserve">Não obstante, na ementa do acórdão ficou </w:t>
      </w:r>
      <w:r w:rsidR="00EE4310">
        <w:t xml:space="preserve">erroneamente </w:t>
      </w:r>
      <w:r>
        <w:t>consignada</w:t>
      </w:r>
      <w:r w:rsidR="00683F7C">
        <w:t xml:space="preserve"> </w:t>
      </w:r>
      <w:r w:rsidR="00EE4310">
        <w:t xml:space="preserve">a </w:t>
      </w:r>
      <w:r w:rsidR="0068584B">
        <w:t xml:space="preserve">alteração no conteúdo </w:t>
      </w:r>
      <w:r w:rsidR="00683F7C">
        <w:t xml:space="preserve">da Súmula </w:t>
      </w:r>
      <w:r w:rsidR="00A71842">
        <w:t xml:space="preserve">n. </w:t>
      </w:r>
      <w:r w:rsidR="00683F7C">
        <w:t>410</w:t>
      </w:r>
      <w:r w:rsidR="00762B30">
        <w:t>, dando a entender</w:t>
      </w:r>
      <w:r w:rsidR="001F33B9">
        <w:t>,</w:t>
      </w:r>
      <w:r w:rsidR="00762B30">
        <w:t xml:space="preserve"> </w:t>
      </w:r>
      <w:r w:rsidR="001F33B9">
        <w:t xml:space="preserve">equivocadamente, </w:t>
      </w:r>
      <w:r w:rsidR="00762B30">
        <w:t xml:space="preserve">que a orientação havia sido </w:t>
      </w:r>
      <w:r w:rsidR="00A83AED">
        <w:t>superada</w:t>
      </w:r>
      <w:r w:rsidR="00683F7C">
        <w:t>.</w:t>
      </w:r>
      <w:r>
        <w:t xml:space="preserve"> </w:t>
      </w:r>
      <w:r w:rsidR="00883D78">
        <w:t>P</w:t>
      </w:r>
      <w:r w:rsidR="00602D7F">
        <w:t>ara fins</w:t>
      </w:r>
      <w:r w:rsidR="00D65FF8">
        <w:t xml:space="preserve"> do julgamento do caso concreto</w:t>
      </w:r>
      <w:r w:rsidR="00B864EE">
        <w:t>,</w:t>
      </w:r>
      <w:r w:rsidR="00602D7F">
        <w:t xml:space="preserve"> houve unanimidade de votos da </w:t>
      </w:r>
      <w:r w:rsidR="00B864EE">
        <w:t>S</w:t>
      </w:r>
      <w:r w:rsidR="00602D7F">
        <w:t>eção</w:t>
      </w:r>
      <w:r w:rsidR="008E6F8C">
        <w:t xml:space="preserve"> </w:t>
      </w:r>
      <w:r w:rsidR="00810C36">
        <w:t>favorável ao voto condutor</w:t>
      </w:r>
      <w:r w:rsidR="00D65FF8">
        <w:t xml:space="preserve">, mas </w:t>
      </w:r>
      <w:r w:rsidR="00142A07">
        <w:t>no que respeita à intervenção na</w:t>
      </w:r>
      <w:r w:rsidR="00602D7F">
        <w:t xml:space="preserve"> </w:t>
      </w:r>
      <w:r w:rsidR="00602D7F" w:rsidRPr="00602D7F">
        <w:rPr>
          <w:i/>
          <w:lang w:val="lv-LV"/>
        </w:rPr>
        <w:t xml:space="preserve">ratio </w:t>
      </w:r>
      <w:r w:rsidR="000F6D08">
        <w:t>da súmula</w:t>
      </w:r>
      <w:r w:rsidR="00602D7F">
        <w:t xml:space="preserve"> não houve adesão dos </w:t>
      </w:r>
      <w:r w:rsidR="00142A07">
        <w:t>pares</w:t>
      </w:r>
      <w:r w:rsidR="00810C36">
        <w:t>, ficando vencida a relatora</w:t>
      </w:r>
      <w:r w:rsidR="008E6F8C">
        <w:t xml:space="preserve">. </w:t>
      </w:r>
      <w:r w:rsidR="00AE731A">
        <w:t>Essa conjuntura</w:t>
      </w:r>
      <w:r w:rsidR="00211E13">
        <w:t xml:space="preserve"> </w:t>
      </w:r>
      <w:r w:rsidR="00AE731A">
        <w:t xml:space="preserve">– que </w:t>
      </w:r>
      <w:r w:rsidR="0049038F">
        <w:t xml:space="preserve">até </w:t>
      </w:r>
      <w:r w:rsidR="00AE731A">
        <w:t>causou um certo desconforto entre os ministros presentes</w:t>
      </w:r>
      <w:r w:rsidR="0049038F">
        <w:t xml:space="preserve"> –</w:t>
      </w:r>
      <w:r w:rsidR="00B864EE">
        <w:t xml:space="preserve"> </w:t>
      </w:r>
      <w:r w:rsidR="00211E13">
        <w:t xml:space="preserve">levou a julgamento vários precedentes com base </w:t>
      </w:r>
      <w:r w:rsidR="005F73BA">
        <w:t xml:space="preserve">nessa </w:t>
      </w:r>
      <w:r w:rsidR="00211E13">
        <w:t xml:space="preserve">pseudoalteração da Súmula </w:t>
      </w:r>
      <w:r w:rsidR="00C73370">
        <w:t xml:space="preserve">n. </w:t>
      </w:r>
      <w:r w:rsidR="00211E13">
        <w:t>410</w:t>
      </w:r>
      <w:r w:rsidR="001C0E39">
        <w:t>, inclusive n</w:t>
      </w:r>
      <w:r w:rsidR="00810C36">
        <w:t>o âmbito d</w:t>
      </w:r>
      <w:r w:rsidR="001C0E39">
        <w:t xml:space="preserve">a própria </w:t>
      </w:r>
      <w:r w:rsidR="00B864EE">
        <w:t>3ª</w:t>
      </w:r>
      <w:r w:rsidR="001C0E39">
        <w:t xml:space="preserve"> Turma</w:t>
      </w:r>
      <w:r w:rsidR="008E6F8C">
        <w:t>.</w:t>
      </w:r>
    </w:p>
    <w:p w14:paraId="5C16AA8F" w14:textId="77777777" w:rsidR="00C129A0" w:rsidRDefault="00C129A0" w:rsidP="00217B3B">
      <w:pPr>
        <w:ind w:firstLine="0"/>
      </w:pPr>
    </w:p>
    <w:p w14:paraId="30233712" w14:textId="164DE44A" w:rsidR="00496EC3" w:rsidRPr="00C73370" w:rsidRDefault="00836380" w:rsidP="00217B3B">
      <w:pPr>
        <w:ind w:firstLine="0"/>
        <w:rPr>
          <w:b/>
          <w:sz w:val="28"/>
          <w:szCs w:val="28"/>
        </w:rPr>
      </w:pPr>
      <w:r w:rsidRPr="00C73370">
        <w:rPr>
          <w:b/>
          <w:sz w:val="28"/>
          <w:szCs w:val="28"/>
        </w:rPr>
        <w:t>4</w:t>
      </w:r>
      <w:r w:rsidR="00496EC3" w:rsidRPr="00C73370">
        <w:rPr>
          <w:b/>
          <w:sz w:val="28"/>
          <w:szCs w:val="28"/>
        </w:rPr>
        <w:t xml:space="preserve">. A </w:t>
      </w:r>
      <w:r w:rsidR="002612C9">
        <w:rPr>
          <w:b/>
          <w:sz w:val="28"/>
          <w:szCs w:val="28"/>
        </w:rPr>
        <w:t>insegurança ainda persiste</w:t>
      </w:r>
    </w:p>
    <w:p w14:paraId="4AD991B0" w14:textId="77777777" w:rsidR="00432AB6" w:rsidRDefault="00432AB6" w:rsidP="00217B3B">
      <w:pPr>
        <w:ind w:firstLine="0"/>
      </w:pPr>
    </w:p>
    <w:p w14:paraId="17B6F863" w14:textId="2CEBB3B1" w:rsidR="00432AB6" w:rsidRDefault="000F6D08" w:rsidP="00217B3B">
      <w:pPr>
        <w:ind w:firstLine="0"/>
      </w:pPr>
      <w:r>
        <w:t xml:space="preserve">Malgrado </w:t>
      </w:r>
      <w:r w:rsidR="001D17DC">
        <w:t xml:space="preserve">os </w:t>
      </w:r>
      <w:r w:rsidR="008F5BB3">
        <w:t>precedentes posterior</w:t>
      </w:r>
      <w:r w:rsidR="001D17DC">
        <w:t>es da 2ª Seção</w:t>
      </w:r>
      <w:r w:rsidR="00FF1C5E">
        <w:t xml:space="preserve"> </w:t>
      </w:r>
      <w:r w:rsidR="00445A3A">
        <w:t xml:space="preserve">prestigiarem a </w:t>
      </w:r>
      <w:r w:rsidR="00FF1C5E">
        <w:t>súmula</w:t>
      </w:r>
      <w:r w:rsidR="00445A3A">
        <w:t xml:space="preserve">, manifestando-se pela </w:t>
      </w:r>
      <w:r w:rsidR="001D17DC">
        <w:t>necessidade de intimação pessoal</w:t>
      </w:r>
      <w:r w:rsidR="001D17DC">
        <w:rPr>
          <w:rStyle w:val="Refdenotaderodap"/>
        </w:rPr>
        <w:footnoteReference w:id="21"/>
      </w:r>
      <w:r w:rsidR="001D17DC">
        <w:t>, na 1ª Seção</w:t>
      </w:r>
      <w:r w:rsidR="000E4452">
        <w:t xml:space="preserve"> há consenso </w:t>
      </w:r>
      <w:r w:rsidR="001D17DC">
        <w:t>quase un</w:t>
      </w:r>
      <w:r w:rsidR="000E4452">
        <w:t>â</w:t>
      </w:r>
      <w:r w:rsidR="001D17DC">
        <w:t>nim</w:t>
      </w:r>
      <w:r w:rsidR="000E4452">
        <w:t>e</w:t>
      </w:r>
      <w:r w:rsidR="009E4A03">
        <w:rPr>
          <w:rStyle w:val="Refdenotaderodap"/>
        </w:rPr>
        <w:footnoteReference w:id="22"/>
      </w:r>
      <w:r w:rsidR="001D17DC">
        <w:t xml:space="preserve"> </w:t>
      </w:r>
      <w:r w:rsidR="00803D56">
        <w:t>de</w:t>
      </w:r>
      <w:r w:rsidR="00B973F1">
        <w:t xml:space="preserve"> sua </w:t>
      </w:r>
      <w:r w:rsidR="000E4452">
        <w:t>desnecessidade</w:t>
      </w:r>
      <w:r w:rsidR="00CE1E3C">
        <w:t>.</w:t>
      </w:r>
      <w:r w:rsidR="00934419">
        <w:rPr>
          <w:rStyle w:val="Refdenotaderodap"/>
        </w:rPr>
        <w:footnoteReference w:id="23"/>
      </w:r>
    </w:p>
    <w:p w14:paraId="304F960C" w14:textId="779896F4" w:rsidR="00A21EA7" w:rsidRDefault="00A21EA7" w:rsidP="00217B3B">
      <w:pPr>
        <w:ind w:firstLine="0"/>
      </w:pPr>
      <w:r>
        <w:lastRenderedPageBreak/>
        <w:t>Esse equivocado entendimento da 1ª Seção se respalda num precedente da Corte Especial</w:t>
      </w:r>
      <w:r w:rsidR="009A5844">
        <w:t xml:space="preserve"> – o </w:t>
      </w:r>
      <w:r w:rsidR="009A5844" w:rsidRPr="005210B6">
        <w:t xml:space="preserve">AgRg nos EAREsp </w:t>
      </w:r>
      <w:r w:rsidR="00A71842">
        <w:t xml:space="preserve">n. </w:t>
      </w:r>
      <w:r w:rsidR="009A5844" w:rsidRPr="005210B6">
        <w:t>260</w:t>
      </w:r>
      <w:r w:rsidR="009A5844">
        <w:t>.</w:t>
      </w:r>
      <w:r w:rsidR="009A5844" w:rsidRPr="005210B6">
        <w:t>190/RS</w:t>
      </w:r>
      <w:r w:rsidR="009A5844">
        <w:rPr>
          <w:rStyle w:val="Refdenotaderodap"/>
        </w:rPr>
        <w:footnoteReference w:id="24"/>
      </w:r>
      <w:r w:rsidR="009A5844">
        <w:t xml:space="preserve"> </w:t>
      </w:r>
      <w:r w:rsidR="00CE1E3C">
        <w:t>−</w:t>
      </w:r>
      <w:r w:rsidR="009A5844">
        <w:t xml:space="preserve"> </w:t>
      </w:r>
      <w:r>
        <w:t xml:space="preserve">que, por sua vez, faz alusão direta </w:t>
      </w:r>
      <w:r w:rsidR="00810C36">
        <w:t>ao EA</w:t>
      </w:r>
      <w:r w:rsidR="00CC3D38">
        <w:t>g</w:t>
      </w:r>
      <w:r>
        <w:t xml:space="preserve"> </w:t>
      </w:r>
      <w:r w:rsidR="00C73370">
        <w:t xml:space="preserve">n. </w:t>
      </w:r>
      <w:r>
        <w:t>857.758/RS</w:t>
      </w:r>
      <w:r w:rsidR="00FD2A84">
        <w:t xml:space="preserve">, </w:t>
      </w:r>
      <w:r>
        <w:t>foco de toda a problemática</w:t>
      </w:r>
      <w:r w:rsidR="00CE1E3C">
        <w:t>.</w:t>
      </w:r>
    </w:p>
    <w:p w14:paraId="4E028086" w14:textId="2DD62E03" w:rsidR="009A63C2" w:rsidRDefault="00CC4342" w:rsidP="00217B3B">
      <w:pPr>
        <w:ind w:firstLine="0"/>
      </w:pPr>
      <w:r>
        <w:t>Assim, a</w:t>
      </w:r>
      <w:r w:rsidR="00560DCC">
        <w:t xml:space="preserve"> insegurança ainda persiste, malgrado haver sido </w:t>
      </w:r>
      <w:r w:rsidR="00F03996">
        <w:t>relativizada</w:t>
      </w:r>
      <w:r w:rsidR="00803D56">
        <w:t>,</w:t>
      </w:r>
      <w:r w:rsidR="00FC57A3">
        <w:t xml:space="preserve"> </w:t>
      </w:r>
      <w:r w:rsidR="00560DCC">
        <w:t xml:space="preserve">com a unificação </w:t>
      </w:r>
      <w:r w:rsidR="00F43C28">
        <w:t xml:space="preserve">da </w:t>
      </w:r>
      <w:r w:rsidR="00F43C28" w:rsidRPr="00F43C28">
        <w:rPr>
          <w:i/>
          <w:lang w:val="lv-LV"/>
        </w:rPr>
        <w:t>ratio</w:t>
      </w:r>
      <w:r w:rsidR="005861EB">
        <w:rPr>
          <w:i/>
          <w:lang w:val="lv-LV"/>
        </w:rPr>
        <w:t xml:space="preserve"> decidendi</w:t>
      </w:r>
      <w:r w:rsidR="00F43C28" w:rsidRPr="00F43C28">
        <w:rPr>
          <w:i/>
          <w:lang w:val="lv-LV"/>
        </w:rPr>
        <w:t xml:space="preserve"> </w:t>
      </w:r>
      <w:r w:rsidR="00560DCC">
        <w:t>por parte da 2ª Seção</w:t>
      </w:r>
      <w:r w:rsidR="005861EB">
        <w:t xml:space="preserve"> do STJ</w:t>
      </w:r>
      <w:r w:rsidR="007B3B57">
        <w:t>, mas a</w:t>
      </w:r>
      <w:r w:rsidR="009A63C2">
        <w:t xml:space="preserve">inda </w:t>
      </w:r>
      <w:r w:rsidR="004C4595">
        <w:t xml:space="preserve">subsiste </w:t>
      </w:r>
      <w:r w:rsidR="00C57492">
        <w:t xml:space="preserve">um </w:t>
      </w:r>
      <w:r w:rsidR="00C57492" w:rsidRPr="00952502">
        <w:rPr>
          <w:i/>
        </w:rPr>
        <w:t>cipoal</w:t>
      </w:r>
      <w:r w:rsidR="00E80F25">
        <w:rPr>
          <w:i/>
        </w:rPr>
        <w:t xml:space="preserve"> </w:t>
      </w:r>
      <w:r w:rsidR="00E80F25" w:rsidRPr="00E80F25">
        <w:t>envolvendo a matéria</w:t>
      </w:r>
      <w:r w:rsidR="000A52B1">
        <w:t xml:space="preserve">, na medida que a </w:t>
      </w:r>
      <w:r w:rsidR="005861EB">
        <w:t xml:space="preserve">súmula </w:t>
      </w:r>
      <w:r w:rsidR="00D2408D">
        <w:t xml:space="preserve">foi, de fato, </w:t>
      </w:r>
      <w:r w:rsidR="005861EB">
        <w:t xml:space="preserve">relativizada por </w:t>
      </w:r>
      <w:r w:rsidR="00791E77">
        <w:t xml:space="preserve">um </w:t>
      </w:r>
      <w:r w:rsidR="007B3B57">
        <w:t xml:space="preserve">mero </w:t>
      </w:r>
      <w:r w:rsidR="00791E77" w:rsidRPr="00791E77">
        <w:rPr>
          <w:i/>
        </w:rPr>
        <w:t>erro de comunicação</w:t>
      </w:r>
      <w:r w:rsidR="00791E77">
        <w:t xml:space="preserve">, </w:t>
      </w:r>
      <w:r w:rsidR="009A63C2">
        <w:t>fato inaceitável</w:t>
      </w:r>
      <w:r w:rsidR="00803D56">
        <w:t>,</w:t>
      </w:r>
      <w:r w:rsidR="009A63C2">
        <w:t xml:space="preserve"> considerando-se a relevância daquilo que está em jogo.</w:t>
      </w:r>
    </w:p>
    <w:p w14:paraId="3DC74AAF" w14:textId="2E04A940" w:rsidR="003C12D7" w:rsidRDefault="009A63C2" w:rsidP="00217B3B">
      <w:pPr>
        <w:ind w:firstLine="0"/>
      </w:pPr>
      <w:r>
        <w:t xml:space="preserve">Essa falha </w:t>
      </w:r>
      <w:r w:rsidR="00D2408D">
        <w:t xml:space="preserve">culminou </w:t>
      </w:r>
      <w:r w:rsidR="000A52B1">
        <w:t>n</w:t>
      </w:r>
      <w:r w:rsidR="00F52039">
        <w:t>uma</w:t>
      </w:r>
      <w:r w:rsidR="000A52B1">
        <w:t xml:space="preserve"> </w:t>
      </w:r>
      <w:r w:rsidR="00791E77" w:rsidRPr="00791E77">
        <w:rPr>
          <w:i/>
        </w:rPr>
        <w:t xml:space="preserve">alteração de fato </w:t>
      </w:r>
      <w:r w:rsidR="00803D56">
        <w:t>d</w:t>
      </w:r>
      <w:r w:rsidR="00D2408D">
        <w:t>o entendimento</w:t>
      </w:r>
      <w:r w:rsidR="00E038E2">
        <w:t xml:space="preserve"> </w:t>
      </w:r>
      <w:r>
        <w:t xml:space="preserve">sumular, porém </w:t>
      </w:r>
      <w:r w:rsidR="005861EB">
        <w:t xml:space="preserve">não </w:t>
      </w:r>
      <w:r w:rsidR="00791E77" w:rsidRPr="00791E77">
        <w:rPr>
          <w:i/>
        </w:rPr>
        <w:t>de direito</w:t>
      </w:r>
      <w:r w:rsidR="005861EB">
        <w:t>.</w:t>
      </w:r>
      <w:r w:rsidR="004058A6">
        <w:t xml:space="preserve"> </w:t>
      </w:r>
      <w:r w:rsidR="007B3B57">
        <w:t>O julgamento proferido no EAg</w:t>
      </w:r>
      <w:r w:rsidR="00C73370">
        <w:t xml:space="preserve">. </w:t>
      </w:r>
      <w:r w:rsidR="004058A6">
        <w:t>857.758/RS</w:t>
      </w:r>
      <w:r w:rsidR="00725F03">
        <w:t xml:space="preserve"> </w:t>
      </w:r>
      <w:r w:rsidR="00F33533">
        <w:t xml:space="preserve">se </w:t>
      </w:r>
      <w:r w:rsidR="004058A6">
        <w:t xml:space="preserve">justifica apenas nas </w:t>
      </w:r>
      <w:r w:rsidR="00F33533">
        <w:t xml:space="preserve">particularidades </w:t>
      </w:r>
      <w:r w:rsidR="004058A6">
        <w:t xml:space="preserve">do caso </w:t>
      </w:r>
      <w:r w:rsidR="00260B8A" w:rsidRPr="00260B8A">
        <w:rPr>
          <w:i/>
        </w:rPr>
        <w:t>sub judice</w:t>
      </w:r>
      <w:r w:rsidR="007B3B57" w:rsidRPr="00F44805">
        <w:rPr>
          <w:rStyle w:val="Refdenotaderodap"/>
        </w:rPr>
        <w:footnoteReference w:id="25"/>
      </w:r>
      <w:r w:rsidR="005F0354">
        <w:t>.</w:t>
      </w:r>
    </w:p>
    <w:p w14:paraId="6E09658E" w14:textId="03DDB726" w:rsidR="00560DCC" w:rsidRDefault="003C12D7" w:rsidP="00217B3B">
      <w:pPr>
        <w:ind w:firstLine="0"/>
      </w:pPr>
      <w:r>
        <w:t>Evidentemente, esse único apontamento n</w:t>
      </w:r>
      <w:r w:rsidR="00483382">
        <w:t xml:space="preserve">ão </w:t>
      </w:r>
      <w:r w:rsidR="00FA40AB">
        <w:t>tem</w:t>
      </w:r>
      <w:r>
        <w:t xml:space="preserve"> </w:t>
      </w:r>
      <w:r w:rsidR="00FA40AB">
        <w:t xml:space="preserve">o condão de </w:t>
      </w:r>
      <w:r w:rsidR="00483382">
        <w:t xml:space="preserve">atender à vertente dinâmica da segurança jurídica, de conferir </w:t>
      </w:r>
      <w:r w:rsidR="00E038E2">
        <w:rPr>
          <w:i/>
        </w:rPr>
        <w:t xml:space="preserve">confiabilidade e </w:t>
      </w:r>
      <w:r w:rsidR="00483382" w:rsidRPr="007B57AE">
        <w:rPr>
          <w:i/>
        </w:rPr>
        <w:t>calculabilidade</w:t>
      </w:r>
      <w:r w:rsidR="00483382">
        <w:t xml:space="preserve"> para a sociedade, </w:t>
      </w:r>
      <w:r w:rsidR="009A63C2">
        <w:t xml:space="preserve">de modo a fornecer a </w:t>
      </w:r>
      <w:r w:rsidR="00483382">
        <w:t>pauta de conduta para hipóteses prospectivas</w:t>
      </w:r>
      <w:r w:rsidR="00CE1E3C">
        <w:t>.</w:t>
      </w:r>
      <w:r w:rsidR="00D50645">
        <w:t xml:space="preserve"> </w:t>
      </w:r>
    </w:p>
    <w:p w14:paraId="7F816E40" w14:textId="37EC26DA" w:rsidR="00B97695" w:rsidRDefault="005F3438" w:rsidP="00217B3B">
      <w:pPr>
        <w:ind w:firstLine="0"/>
      </w:pPr>
      <w:r>
        <w:t xml:space="preserve">O </w:t>
      </w:r>
      <w:r w:rsidR="00F11C05">
        <w:t xml:space="preserve">fato é que </w:t>
      </w:r>
      <w:r w:rsidR="00F11F37">
        <w:t>subsiste</w:t>
      </w:r>
      <w:r w:rsidR="00F11C05">
        <w:t xml:space="preserve">m </w:t>
      </w:r>
      <w:r w:rsidR="00F11F37">
        <w:t>duas interpretações para um mesmo dispositivo legal, sobre uma idêntica base fática, uma preconizando a intimação pessoal do devedor, outra a do advogado.</w:t>
      </w:r>
    </w:p>
    <w:p w14:paraId="16FE4DDC" w14:textId="6CF14AFE" w:rsidR="004C1502" w:rsidRDefault="008F4A85" w:rsidP="00217B3B">
      <w:pPr>
        <w:ind w:firstLine="0"/>
      </w:pPr>
      <w:r>
        <w:t>Um quadro sombrio, vindo de quem vem, o órgão jurisdicional má</w:t>
      </w:r>
      <w:r w:rsidR="007F484E">
        <w:t>ximo da</w:t>
      </w:r>
      <w:r>
        <w:t xml:space="preserve"> interpretação de tratados e de lei federal (art. 105, III, </w:t>
      </w:r>
      <w:r w:rsidR="00803D56">
        <w:t>“</w:t>
      </w:r>
      <w:r w:rsidRPr="008F4A85">
        <w:rPr>
          <w:i/>
        </w:rPr>
        <w:t>c</w:t>
      </w:r>
      <w:r w:rsidR="00803D56">
        <w:t>”</w:t>
      </w:r>
      <w:r w:rsidR="00C73370">
        <w:t>, da CF</w:t>
      </w:r>
      <w:r>
        <w:t>)</w:t>
      </w:r>
      <w:r w:rsidR="00803D56">
        <w:t>,</w:t>
      </w:r>
      <w:r>
        <w:t xml:space="preserve"> e de unificação da </w:t>
      </w:r>
      <w:r w:rsidR="00472325">
        <w:t xml:space="preserve">jurisprudência advinda dos </w:t>
      </w:r>
      <w:r>
        <w:t xml:space="preserve">demais tribunais infraconstitucionais da federação (art. 105, III, </w:t>
      </w:r>
      <w:r w:rsidR="00803D56">
        <w:t>“</w:t>
      </w:r>
      <w:r w:rsidRPr="008F4A85">
        <w:rPr>
          <w:i/>
        </w:rPr>
        <w:t>c</w:t>
      </w:r>
      <w:r w:rsidR="00803D56">
        <w:t>”</w:t>
      </w:r>
      <w:r w:rsidR="00C73370">
        <w:t>, da CF</w:t>
      </w:r>
      <w:r>
        <w:t>).</w:t>
      </w:r>
      <w:r w:rsidR="00332239">
        <w:t xml:space="preserve"> </w:t>
      </w:r>
      <w:r w:rsidR="004C1502">
        <w:t>A vinculação do tribunal aos seus próprios precedentes é uma decorrência d</w:t>
      </w:r>
      <w:r w:rsidR="004A3744">
        <w:t>a isonomia</w:t>
      </w:r>
      <w:r w:rsidR="004C1502">
        <w:t xml:space="preserve">, isto é, onde subsistirem as mesmas razões, devem ser proferidas </w:t>
      </w:r>
      <w:r w:rsidR="00032B39">
        <w:t xml:space="preserve">as mesmas </w:t>
      </w:r>
      <w:r w:rsidR="004C1502">
        <w:t>decisões, salvo se as circunstâncias justificarem resultado diverso.</w:t>
      </w:r>
      <w:r w:rsidR="004C1502">
        <w:rPr>
          <w:rStyle w:val="Refdenotaderodap"/>
        </w:rPr>
        <w:footnoteReference w:id="26"/>
      </w:r>
    </w:p>
    <w:p w14:paraId="6D401169" w14:textId="3208E5AF" w:rsidR="00206FA7" w:rsidRDefault="00206FA7" w:rsidP="00217B3B">
      <w:pPr>
        <w:ind w:firstLine="0"/>
        <w:rPr>
          <w:rFonts w:cs="Times"/>
          <w:color w:val="000000"/>
          <w:lang w:eastAsia="en-US"/>
        </w:rPr>
      </w:pPr>
      <w:r>
        <w:rPr>
          <w:rFonts w:cs="Times"/>
          <w:color w:val="000000"/>
          <w:lang w:eastAsia="en-US"/>
        </w:rPr>
        <w:t xml:space="preserve">Não que o tribunal não possa rever seu entendimento sobre uma determinada questão. O que é condenável é </w:t>
      </w:r>
      <w:r w:rsidR="00CC4342">
        <w:rPr>
          <w:rFonts w:cs="Times"/>
          <w:color w:val="000000"/>
          <w:lang w:eastAsia="en-US"/>
        </w:rPr>
        <w:t xml:space="preserve">que não se atentaram ao </w:t>
      </w:r>
      <w:r w:rsidR="001D06C2">
        <w:rPr>
          <w:rFonts w:cs="Times"/>
          <w:color w:val="000000"/>
          <w:lang w:eastAsia="en-US"/>
        </w:rPr>
        <w:t xml:space="preserve">quanto restou efetivamente decidido. </w:t>
      </w:r>
    </w:p>
    <w:p w14:paraId="440ADE7B" w14:textId="77777777" w:rsidR="00206FA7" w:rsidRDefault="00206FA7" w:rsidP="00217B3B">
      <w:pPr>
        <w:ind w:firstLine="0"/>
      </w:pPr>
    </w:p>
    <w:p w14:paraId="32BB1B34" w14:textId="0989DABA" w:rsidR="00E1258C" w:rsidRDefault="00836380" w:rsidP="00217B3B">
      <w:pPr>
        <w:pStyle w:val="Barra"/>
      </w:pPr>
      <w:r>
        <w:lastRenderedPageBreak/>
        <w:t>5</w:t>
      </w:r>
      <w:r w:rsidR="00671F72">
        <w:t>.</w:t>
      </w:r>
      <w:r w:rsidR="00340100">
        <w:t xml:space="preserve"> </w:t>
      </w:r>
      <w:r w:rsidR="00593B42">
        <w:t xml:space="preserve">O direito jurisprudencial no </w:t>
      </w:r>
      <w:r w:rsidR="00E1258C">
        <w:t>CPC/2015</w:t>
      </w:r>
    </w:p>
    <w:p w14:paraId="647B44BA" w14:textId="77777777" w:rsidR="00D5760B" w:rsidRDefault="00D5760B" w:rsidP="00217B3B">
      <w:pPr>
        <w:ind w:firstLine="0"/>
      </w:pPr>
    </w:p>
    <w:p w14:paraId="6A76BF52" w14:textId="15EAB12E" w:rsidR="007F01AB" w:rsidRDefault="00FC7C3E" w:rsidP="003E3CDB">
      <w:pPr>
        <w:ind w:firstLine="0"/>
      </w:pPr>
      <w:r>
        <w:t>O</w:t>
      </w:r>
      <w:r w:rsidR="00A341F1">
        <w:t xml:space="preserve"> novo CPC</w:t>
      </w:r>
      <w:r>
        <w:t xml:space="preserve"> entrou em vigor </w:t>
      </w:r>
      <w:r w:rsidR="007F01AB">
        <w:t>com viés nitidamente democrático</w:t>
      </w:r>
      <w:r>
        <w:t xml:space="preserve">, contando </w:t>
      </w:r>
      <w:r w:rsidR="00BD0233">
        <w:t xml:space="preserve">com ampla </w:t>
      </w:r>
      <w:r w:rsidR="002510B2">
        <w:t xml:space="preserve">discussão </w:t>
      </w:r>
      <w:r w:rsidR="00A341F1">
        <w:t>na sociedade</w:t>
      </w:r>
      <w:r w:rsidR="00CE1E3C">
        <w:t>.</w:t>
      </w:r>
      <w:r w:rsidR="003E3CDB">
        <w:t xml:space="preserve"> T</w:t>
      </w:r>
      <w:r w:rsidR="00A341F1">
        <w:t xml:space="preserve">rouxe </w:t>
      </w:r>
      <w:r w:rsidR="007F01AB">
        <w:t xml:space="preserve">alterações </w:t>
      </w:r>
      <w:r>
        <w:t>significativas</w:t>
      </w:r>
      <w:r w:rsidR="00221C57">
        <w:t xml:space="preserve">, propiciando a simplificação da </w:t>
      </w:r>
      <w:r w:rsidR="007F01AB">
        <w:t>entrega da</w:t>
      </w:r>
      <w:r w:rsidR="00A64D46">
        <w:t xml:space="preserve"> </w:t>
      </w:r>
      <w:r w:rsidR="00F546DC">
        <w:t xml:space="preserve">prestação </w:t>
      </w:r>
      <w:r w:rsidR="00A64D46">
        <w:t>jurisdicional</w:t>
      </w:r>
      <w:r w:rsidR="00CE1E3C">
        <w:t>.</w:t>
      </w:r>
      <w:r w:rsidR="003E3CDB">
        <w:t xml:space="preserve"> R</w:t>
      </w:r>
      <w:r w:rsidR="007F01AB">
        <w:t xml:space="preserve">eafirma, </w:t>
      </w:r>
      <w:r w:rsidR="0060063E">
        <w:t xml:space="preserve">em </w:t>
      </w:r>
      <w:r w:rsidR="007F01AB">
        <w:t xml:space="preserve">nível infraconstitucional, o princípio do contraditório, </w:t>
      </w:r>
      <w:r w:rsidR="00F546DC">
        <w:t>favorecendo</w:t>
      </w:r>
      <w:r w:rsidR="007F01AB">
        <w:t xml:space="preserve"> a transparência </w:t>
      </w:r>
      <w:r w:rsidR="00221C57">
        <w:t xml:space="preserve">com a adequada </w:t>
      </w:r>
      <w:r w:rsidR="007F01AB">
        <w:t xml:space="preserve">fundamentação das decisões judiciais, além </w:t>
      </w:r>
      <w:r>
        <w:t xml:space="preserve">permitir </w:t>
      </w:r>
      <w:r w:rsidR="007F01AB">
        <w:t>uma maior cooperação dos litigantes</w:t>
      </w:r>
      <w:r w:rsidR="001212A5">
        <w:t>,</w:t>
      </w:r>
      <w:r w:rsidR="007F01AB">
        <w:t xml:space="preserve"> na busca de uma decisão justa, tempestiva e efetiva (art. 5º, XXXV</w:t>
      </w:r>
      <w:r w:rsidR="00C73370">
        <w:t>, da CF</w:t>
      </w:r>
      <w:r w:rsidR="007F01AB">
        <w:t>; art. 6º</w:t>
      </w:r>
      <w:r w:rsidR="00C73370" w:rsidRPr="00C73370">
        <w:t xml:space="preserve"> </w:t>
      </w:r>
      <w:r w:rsidR="00C73370">
        <w:t>do CPC/2015</w:t>
      </w:r>
      <w:r w:rsidR="007F01AB">
        <w:t>).</w:t>
      </w:r>
    </w:p>
    <w:p w14:paraId="1525451E" w14:textId="44BBE4B9" w:rsidR="00CC2BCC" w:rsidRDefault="00C72E42" w:rsidP="00217B3B">
      <w:pPr>
        <w:ind w:firstLine="0"/>
      </w:pPr>
      <w:r>
        <w:t>O princípio da eficiência, no CPC/2015</w:t>
      </w:r>
      <w:r w:rsidR="00B9593E">
        <w:t>,</w:t>
      </w:r>
      <w:r>
        <w:t xml:space="preserve"> foi alçado à condição de norma fundamental do processo, </w:t>
      </w:r>
      <w:r w:rsidR="00064D26">
        <w:t xml:space="preserve">incorporando </w:t>
      </w:r>
      <w:r>
        <w:t xml:space="preserve">valores </w:t>
      </w:r>
      <w:r w:rsidR="003E3CDB">
        <w:t xml:space="preserve">latentes na </w:t>
      </w:r>
      <w:r>
        <w:t>C</w:t>
      </w:r>
      <w:r w:rsidR="001212A5">
        <w:t>F</w:t>
      </w:r>
      <w:r>
        <w:t xml:space="preserve"> (art. 1º</w:t>
      </w:r>
      <w:r w:rsidR="00C73370" w:rsidRPr="00C73370">
        <w:t xml:space="preserve"> </w:t>
      </w:r>
      <w:r w:rsidR="00C73370">
        <w:t>do CPC/2015</w:t>
      </w:r>
      <w:r w:rsidR="003E3CDB">
        <w:t xml:space="preserve">), impondo à </w:t>
      </w:r>
      <w:r w:rsidR="001212A5">
        <w:t>A</w:t>
      </w:r>
      <w:r>
        <w:t xml:space="preserve">dministração </w:t>
      </w:r>
      <w:r w:rsidR="001212A5">
        <w:t>P</w:t>
      </w:r>
      <w:r>
        <w:t>ública</w:t>
      </w:r>
      <w:r w:rsidR="009F7B6C">
        <w:t>,</w:t>
      </w:r>
      <w:r>
        <w:t xml:space="preserve"> em todos os seus níveis e conformações</w:t>
      </w:r>
      <w:r w:rsidR="003E3CDB">
        <w:t xml:space="preserve">, obediência </w:t>
      </w:r>
      <w:r>
        <w:t xml:space="preserve">à eficiência no desempenho do </w:t>
      </w:r>
      <w:r w:rsidRPr="003E3CDB">
        <w:t xml:space="preserve">múnus </w:t>
      </w:r>
      <w:r>
        <w:t>público (art. 37</w:t>
      </w:r>
      <w:r w:rsidR="009F7B6C">
        <w:t xml:space="preserve"> da CF</w:t>
      </w:r>
      <w:r>
        <w:t>).</w:t>
      </w:r>
      <w:r w:rsidR="00FC7C3E">
        <w:t xml:space="preserve"> </w:t>
      </w:r>
      <w:r w:rsidR="00AB193C" w:rsidRPr="00684D5C">
        <w:t>Não há</w:t>
      </w:r>
      <w:r w:rsidR="00E47D47" w:rsidRPr="00684D5C">
        <w:t>, como vimos,</w:t>
      </w:r>
      <w:r w:rsidR="00AB193C" w:rsidRPr="00684D5C">
        <w:t xml:space="preserve"> estado de eficiência </w:t>
      </w:r>
      <w:r w:rsidR="007C6D12">
        <w:t>diante de in</w:t>
      </w:r>
      <w:r w:rsidR="009D2623">
        <w:t>coerência</w:t>
      </w:r>
      <w:r w:rsidR="00AB193C">
        <w:t xml:space="preserve"> </w:t>
      </w:r>
      <w:r w:rsidR="00CE5739">
        <w:t>d</w:t>
      </w:r>
      <w:r w:rsidR="007C6D12">
        <w:t>a</w:t>
      </w:r>
      <w:r w:rsidR="00CE5739">
        <w:t xml:space="preserve"> </w:t>
      </w:r>
      <w:r w:rsidR="00AB193C">
        <w:t>jurisprudência.</w:t>
      </w:r>
      <w:r w:rsidR="00FB2FC4">
        <w:t xml:space="preserve"> </w:t>
      </w:r>
    </w:p>
    <w:p w14:paraId="401493FA" w14:textId="679BEA94" w:rsidR="00AB193C" w:rsidRDefault="0061308C" w:rsidP="00500E91">
      <w:pPr>
        <w:ind w:firstLine="0"/>
      </w:pPr>
      <w:r>
        <w:t>Já sob a vigência do CPC/73</w:t>
      </w:r>
      <w:r w:rsidR="00500E91">
        <w:t xml:space="preserve">, </w:t>
      </w:r>
      <w:r>
        <w:t xml:space="preserve">vimos um módico </w:t>
      </w:r>
      <w:r w:rsidR="00F77835">
        <w:t>fortalecimento do precedente judicial</w:t>
      </w:r>
      <w:r w:rsidR="005903EE">
        <w:t xml:space="preserve">, principalmente dos </w:t>
      </w:r>
      <w:r w:rsidR="00684D5C">
        <w:t>T</w:t>
      </w:r>
      <w:r w:rsidR="005903EE">
        <w:t xml:space="preserve">ribunais </w:t>
      </w:r>
      <w:r w:rsidR="00684D5C">
        <w:t>S</w:t>
      </w:r>
      <w:r w:rsidR="005903EE">
        <w:t>uperiores</w:t>
      </w:r>
      <w:r w:rsidR="00500E91">
        <w:t xml:space="preserve">, </w:t>
      </w:r>
      <w:r w:rsidR="00E5695B">
        <w:t xml:space="preserve">que se mostrou insuficiente a ponto de </w:t>
      </w:r>
      <w:r w:rsidR="00235DE4">
        <w:t>manter a uniform</w:t>
      </w:r>
      <w:r w:rsidR="00E5695B">
        <w:t>idad</w:t>
      </w:r>
      <w:r w:rsidR="00235DE4">
        <w:t xml:space="preserve">e. </w:t>
      </w:r>
      <w:r w:rsidR="00500E91">
        <w:t>P</w:t>
      </w:r>
      <w:r w:rsidR="00814EE6">
        <w:t>reocupado com a inte</w:t>
      </w:r>
      <w:r w:rsidR="003B6365">
        <w:t xml:space="preserve">gridade da interpretação legal, </w:t>
      </w:r>
      <w:r w:rsidR="00D97BFB">
        <w:t xml:space="preserve">o CPC/2015 </w:t>
      </w:r>
      <w:r w:rsidR="00814EE6">
        <w:t xml:space="preserve">impõe a observância a uma </w:t>
      </w:r>
      <w:r w:rsidR="00CE0557">
        <w:t>miríade</w:t>
      </w:r>
      <w:r w:rsidR="00814EE6">
        <w:t xml:space="preserve"> de regras e princípios </w:t>
      </w:r>
      <w:r w:rsidR="009D2623">
        <w:t xml:space="preserve">conformadores de um direito jurisprudencial, </w:t>
      </w:r>
      <w:r w:rsidR="00814EE6">
        <w:t xml:space="preserve">destinados à </w:t>
      </w:r>
      <w:r w:rsidR="00CE0557">
        <w:t>conservação</w:t>
      </w:r>
      <w:r w:rsidR="00814EE6">
        <w:t xml:space="preserve"> da </w:t>
      </w:r>
      <w:r w:rsidR="00CE0557">
        <w:t xml:space="preserve">unidade </w:t>
      </w:r>
      <w:r w:rsidR="00814EE6">
        <w:t xml:space="preserve">da jurisprudência, a fim de mantê-la </w:t>
      </w:r>
      <w:r w:rsidR="00814EE6" w:rsidRPr="00814EE6">
        <w:rPr>
          <w:i/>
        </w:rPr>
        <w:t>estável, íntegra e coerente</w:t>
      </w:r>
      <w:r w:rsidR="00814EE6">
        <w:t xml:space="preserve"> (art. 926</w:t>
      </w:r>
      <w:r w:rsidR="00072286">
        <w:t xml:space="preserve">, </w:t>
      </w:r>
      <w:r w:rsidR="00072286" w:rsidRPr="00072286">
        <w:rPr>
          <w:i/>
        </w:rPr>
        <w:t>caput</w:t>
      </w:r>
      <w:r w:rsidR="00D36796" w:rsidRPr="00D36796">
        <w:t>,</w:t>
      </w:r>
      <w:r w:rsidR="00D36796">
        <w:rPr>
          <w:i/>
        </w:rPr>
        <w:t xml:space="preserve"> </w:t>
      </w:r>
      <w:r w:rsidR="00D36796">
        <w:t>do CPC/2015</w:t>
      </w:r>
      <w:r w:rsidR="00814EE6">
        <w:t>).</w:t>
      </w:r>
    </w:p>
    <w:p w14:paraId="0539CC9B" w14:textId="384920D8" w:rsidR="00682588" w:rsidRDefault="00B74017" w:rsidP="00217B3B">
      <w:pPr>
        <w:ind w:firstLine="0"/>
      </w:pPr>
      <w:r>
        <w:t xml:space="preserve">Trata-se, evidentemente, de um sistema mais rígido de respeito aos precedentes, enfatizando o caráter institucional das manifestações </w:t>
      </w:r>
      <w:r w:rsidR="00235DE4">
        <w:t>colegiadas dos tribunais</w:t>
      </w:r>
      <w:r>
        <w:t>.</w:t>
      </w:r>
      <w:r w:rsidR="001C2F07">
        <w:rPr>
          <w:rStyle w:val="Refdenotaderodap"/>
        </w:rPr>
        <w:footnoteReference w:id="27"/>
      </w:r>
    </w:p>
    <w:p w14:paraId="36BC6103" w14:textId="620D3575" w:rsidR="00B64584" w:rsidRDefault="00B64584" w:rsidP="00217B3B">
      <w:pPr>
        <w:ind w:firstLine="0"/>
      </w:pPr>
      <w:r>
        <w:t xml:space="preserve">Todo esse severo perfil dogmático </w:t>
      </w:r>
      <w:r w:rsidR="00FB6338">
        <w:t xml:space="preserve">voltado à interpretação adequada da norma jurídica </w:t>
      </w:r>
      <w:r>
        <w:t xml:space="preserve">incita o aplicador do </w:t>
      </w:r>
      <w:r w:rsidR="00684D5C">
        <w:t>d</w:t>
      </w:r>
      <w:r>
        <w:t xml:space="preserve">ireito a debelar essa situação de instabilidade </w:t>
      </w:r>
      <w:r w:rsidR="00235DE4">
        <w:t>e insegurança que envolve</w:t>
      </w:r>
      <w:r>
        <w:t xml:space="preserve"> a Súmula </w:t>
      </w:r>
      <w:r w:rsidR="00D36796">
        <w:t xml:space="preserve">n. </w:t>
      </w:r>
      <w:r>
        <w:t>410 do STJ</w:t>
      </w:r>
      <w:r w:rsidR="005B5711">
        <w:t xml:space="preserve">, restabelecendo </w:t>
      </w:r>
      <w:r w:rsidR="00D97BFB">
        <w:t>su</w:t>
      </w:r>
      <w:r w:rsidR="005B5711">
        <w:t xml:space="preserve">a </w:t>
      </w:r>
      <w:r w:rsidR="005B5711" w:rsidRPr="005B5711">
        <w:rPr>
          <w:i/>
        </w:rPr>
        <w:t>mens legis</w:t>
      </w:r>
      <w:r w:rsidR="00851851">
        <w:rPr>
          <w:i/>
        </w:rPr>
        <w:t xml:space="preserve"> </w:t>
      </w:r>
      <w:r w:rsidR="00851851" w:rsidRPr="00851851">
        <w:t>acerca da matéria envolvida</w:t>
      </w:r>
      <w:r w:rsidRPr="00851851">
        <w:t>.</w:t>
      </w:r>
    </w:p>
    <w:p w14:paraId="249E06B5" w14:textId="77777777" w:rsidR="00E1258C" w:rsidRDefault="00E1258C" w:rsidP="00217B3B">
      <w:pPr>
        <w:ind w:firstLine="0"/>
      </w:pPr>
    </w:p>
    <w:p w14:paraId="3268A544" w14:textId="1D65A608" w:rsidR="009B1821" w:rsidRDefault="00836380" w:rsidP="00217B3B">
      <w:pPr>
        <w:pStyle w:val="Barra"/>
      </w:pPr>
      <w:r>
        <w:t>6</w:t>
      </w:r>
      <w:r w:rsidR="00671F72">
        <w:t>.</w:t>
      </w:r>
      <w:r w:rsidR="009B1821">
        <w:t xml:space="preserve"> O </w:t>
      </w:r>
      <w:r w:rsidR="002612C9">
        <w:t xml:space="preserve">cumprimento de sentença no </w:t>
      </w:r>
      <w:r w:rsidR="005C6ACB">
        <w:t xml:space="preserve">CPC/2015 </w:t>
      </w:r>
    </w:p>
    <w:p w14:paraId="792E52F9" w14:textId="77777777" w:rsidR="005739FA" w:rsidRDefault="005739FA" w:rsidP="00217B3B">
      <w:pPr>
        <w:ind w:firstLine="0"/>
      </w:pPr>
    </w:p>
    <w:p w14:paraId="7C6BCFAB" w14:textId="40F56837" w:rsidR="0044513A" w:rsidRDefault="005C6ACB" w:rsidP="00217B3B">
      <w:pPr>
        <w:ind w:firstLine="0"/>
      </w:pPr>
      <w:r>
        <w:t xml:space="preserve">O CPC/2015 </w:t>
      </w:r>
      <w:r w:rsidR="008C52F5">
        <w:t xml:space="preserve">manteve o </w:t>
      </w:r>
      <w:r w:rsidR="00BF7E0B">
        <w:t>sincretismo processual</w:t>
      </w:r>
      <w:r w:rsidR="001610E3">
        <w:t xml:space="preserve">, </w:t>
      </w:r>
      <w:r w:rsidR="00BF7E0B">
        <w:t xml:space="preserve">aglutinando </w:t>
      </w:r>
      <w:r w:rsidR="001610E3">
        <w:t>as fases de cognição e execução</w:t>
      </w:r>
      <w:r w:rsidR="00BF7E0B">
        <w:t xml:space="preserve"> numa mesma relação</w:t>
      </w:r>
      <w:r w:rsidR="001610E3">
        <w:t>.</w:t>
      </w:r>
      <w:r w:rsidR="00BF7E0B">
        <w:t xml:space="preserve"> </w:t>
      </w:r>
      <w:r w:rsidR="001610E3">
        <w:t>D</w:t>
      </w:r>
      <w:r>
        <w:t>ispõe</w:t>
      </w:r>
      <w:r w:rsidR="001610E3">
        <w:t xml:space="preserve"> o novo código</w:t>
      </w:r>
      <w:r w:rsidR="005739FA">
        <w:t>, gen</w:t>
      </w:r>
      <w:r w:rsidR="001610E3">
        <w:t>ericamente, que o cumprimento da</w:t>
      </w:r>
      <w:r w:rsidR="005739FA">
        <w:t xml:space="preserve"> sentença será feito mediante requerimento do exequente</w:t>
      </w:r>
      <w:r w:rsidR="00575E49">
        <w:t xml:space="preserve">, </w:t>
      </w:r>
      <w:r w:rsidR="005739FA">
        <w:t xml:space="preserve">nas sentenças de reconhecimento do dever de </w:t>
      </w:r>
      <w:r w:rsidR="005739FA">
        <w:lastRenderedPageBreak/>
        <w:t>pagar quantia certa</w:t>
      </w:r>
      <w:r w:rsidR="007E52CE">
        <w:t xml:space="preserve"> (art. 513, § 1º</w:t>
      </w:r>
      <w:r w:rsidR="00D36796">
        <w:t>,</w:t>
      </w:r>
      <w:r w:rsidR="00D36796" w:rsidRPr="00D36796">
        <w:t xml:space="preserve"> </w:t>
      </w:r>
      <w:r w:rsidR="00D36796">
        <w:t>do CPC/2015</w:t>
      </w:r>
      <w:r w:rsidR="007E52CE">
        <w:t xml:space="preserve">). </w:t>
      </w:r>
      <w:r w:rsidR="002E295C">
        <w:t xml:space="preserve">Malgrado entendimentos </w:t>
      </w:r>
      <w:r w:rsidR="00946480">
        <w:t>contrários</w:t>
      </w:r>
      <w:r w:rsidR="00575FBE">
        <w:rPr>
          <w:rStyle w:val="Refdenotaderodap"/>
        </w:rPr>
        <w:footnoteReference w:id="28"/>
      </w:r>
      <w:r w:rsidR="002E295C">
        <w:t xml:space="preserve">, a </w:t>
      </w:r>
      <w:r w:rsidR="00946480">
        <w:t xml:space="preserve">lei </w:t>
      </w:r>
      <w:r w:rsidR="00BD35E3">
        <w:t xml:space="preserve">autoriza </w:t>
      </w:r>
      <w:r w:rsidR="002E295C">
        <w:t xml:space="preserve">que o cumprimento de sentença nas demais modalidades – entregar coisa, fazer e não fazer – </w:t>
      </w:r>
      <w:r w:rsidR="0011538B">
        <w:t>seja</w:t>
      </w:r>
      <w:r w:rsidR="002E295C">
        <w:t xml:space="preserve"> feito </w:t>
      </w:r>
      <w:r w:rsidR="002E295C" w:rsidRPr="002E295C">
        <w:rPr>
          <w:i/>
          <w:lang w:val="lv-LV"/>
        </w:rPr>
        <w:t xml:space="preserve">ex officio </w:t>
      </w:r>
      <w:r w:rsidR="002E295C">
        <w:t>pelo juiz.</w:t>
      </w:r>
      <w:r w:rsidR="00946480">
        <w:t xml:space="preserve"> </w:t>
      </w:r>
      <w:r w:rsidR="007E52CE" w:rsidRPr="0098025F">
        <w:t>Dispõe também,</w:t>
      </w:r>
      <w:r w:rsidR="007E52CE">
        <w:t xml:space="preserve"> detalhando melhor o que continha o CPC/73, que no cumprimento de sentença o </w:t>
      </w:r>
      <w:r w:rsidR="005B3C65">
        <w:t xml:space="preserve">devedor </w:t>
      </w:r>
      <w:r w:rsidR="00FC1038">
        <w:t xml:space="preserve">será </w:t>
      </w:r>
      <w:r w:rsidR="005B3C65">
        <w:t>intimado: i) pela imprensa, na pessoa de seu advogado constituído; ii)</w:t>
      </w:r>
      <w:r w:rsidR="00817371">
        <w:t xml:space="preserve"> </w:t>
      </w:r>
      <w:r w:rsidR="005B3C65">
        <w:t>por</w:t>
      </w:r>
      <w:r w:rsidR="00817371">
        <w:t xml:space="preserve"> </w:t>
      </w:r>
      <w:r w:rsidR="005B3C65">
        <w:t>carta</w:t>
      </w:r>
      <w:r w:rsidR="00817371">
        <w:t xml:space="preserve"> </w:t>
      </w:r>
      <w:r w:rsidR="005B3C65">
        <w:t>com</w:t>
      </w:r>
      <w:r w:rsidR="00817371">
        <w:t xml:space="preserve"> </w:t>
      </w:r>
      <w:r w:rsidR="005B3C65">
        <w:t xml:space="preserve">aviso de recebimento, quando não tiver advogado constituído; iii) por </w:t>
      </w:r>
      <w:r w:rsidR="00945C92" w:rsidRPr="00945C92">
        <w:rPr>
          <w:i/>
        </w:rPr>
        <w:t>e-</w:t>
      </w:r>
      <w:r w:rsidR="00323BFC">
        <w:rPr>
          <w:i/>
        </w:rPr>
        <w:t>m</w:t>
      </w:r>
      <w:r w:rsidR="00945C92" w:rsidRPr="00945C92">
        <w:rPr>
          <w:i/>
        </w:rPr>
        <w:t>ail</w:t>
      </w:r>
      <w:r w:rsidR="005B3C65">
        <w:t xml:space="preserve"> fornecido, quando não tiver advogado constituído nos autos; iv) por edital, quando for revel</w:t>
      </w:r>
      <w:r w:rsidR="00575E49">
        <w:t xml:space="preserve"> (art. 513, § 2º</w:t>
      </w:r>
      <w:r w:rsidR="00D36796">
        <w:t>,</w:t>
      </w:r>
      <w:r w:rsidR="00D36796" w:rsidRPr="00D36796">
        <w:t xml:space="preserve"> </w:t>
      </w:r>
      <w:r w:rsidR="00D36796">
        <w:t>do CPC/2015</w:t>
      </w:r>
      <w:r w:rsidR="00575E49">
        <w:t>)</w:t>
      </w:r>
      <w:r w:rsidR="005B3C65">
        <w:t>.</w:t>
      </w:r>
    </w:p>
    <w:p w14:paraId="6F0355C2" w14:textId="1334E13D" w:rsidR="0044513A" w:rsidRDefault="00AF0A5D" w:rsidP="00217B3B">
      <w:pPr>
        <w:ind w:firstLine="0"/>
      </w:pPr>
      <w:r w:rsidRPr="009C0B40">
        <w:t>Não fazendo qualquer ressalva, a disposição</w:t>
      </w:r>
      <w:r w:rsidR="006746FF" w:rsidRPr="009C0B40">
        <w:t xml:space="preserve"> tem vigência</w:t>
      </w:r>
      <w:r w:rsidRPr="009C0B40">
        <w:t xml:space="preserve"> para as </w:t>
      </w:r>
      <w:r w:rsidR="006746FF" w:rsidRPr="009C0B40">
        <w:t>sentenças de reconhecimento de o</w:t>
      </w:r>
      <w:r w:rsidRPr="009C0B40">
        <w:t xml:space="preserve">brigações de </w:t>
      </w:r>
      <w:r w:rsidR="006746FF" w:rsidRPr="009C0B40">
        <w:t xml:space="preserve">pagar e igualmente para as obrigações de </w:t>
      </w:r>
      <w:r w:rsidRPr="009C0B40">
        <w:t>fazer, de não fazer e de entrega de coisa certa</w:t>
      </w:r>
      <w:r w:rsidR="00365DE1">
        <w:t>.</w:t>
      </w:r>
      <w:r w:rsidR="007C6C96">
        <w:t xml:space="preserve"> </w:t>
      </w:r>
      <w:r w:rsidR="001610E3">
        <w:t xml:space="preserve">A doutrina </w:t>
      </w:r>
      <w:r w:rsidR="00B005B2">
        <w:t xml:space="preserve">majoritariamente </w:t>
      </w:r>
      <w:r w:rsidR="001610E3">
        <w:t>também se manifesta no sentido da desnecessidade da intimação pessoal do devedor</w:t>
      </w:r>
      <w:r w:rsidR="007C6C96">
        <w:t xml:space="preserve">, </w:t>
      </w:r>
      <w:r w:rsidR="00492A13">
        <w:t xml:space="preserve">devendo esta </w:t>
      </w:r>
      <w:r w:rsidR="0003685D">
        <w:t>ser feita</w:t>
      </w:r>
      <w:r w:rsidR="007C6C96">
        <w:t xml:space="preserve"> </w:t>
      </w:r>
      <w:r w:rsidR="006203DF">
        <w:t>na pessoa do advogado</w:t>
      </w:r>
      <w:r w:rsidR="001610E3">
        <w:rPr>
          <w:rStyle w:val="Refdenotaderodap"/>
        </w:rPr>
        <w:footnoteReference w:id="29"/>
      </w:r>
      <w:r w:rsidR="00A73146">
        <w:t xml:space="preserve">, não mais se justificando </w:t>
      </w:r>
      <w:r w:rsidR="003522D1">
        <w:t xml:space="preserve">o </w:t>
      </w:r>
      <w:r w:rsidR="00A73146">
        <w:t xml:space="preserve">conteúdo </w:t>
      </w:r>
      <w:r w:rsidR="003522D1">
        <w:t xml:space="preserve">da Súmula </w:t>
      </w:r>
      <w:r w:rsidR="00D36796">
        <w:t xml:space="preserve">n. </w:t>
      </w:r>
      <w:r w:rsidR="003522D1">
        <w:t>410 do STJ.</w:t>
      </w:r>
    </w:p>
    <w:p w14:paraId="6DFDD7BA" w14:textId="4B402F8D" w:rsidR="0044513A" w:rsidRDefault="00EA3100" w:rsidP="00217B3B">
      <w:pPr>
        <w:ind w:firstLine="0"/>
      </w:pPr>
      <w:r>
        <w:t>Entretanto, ousamos discordar do posicionamento</w:t>
      </w:r>
      <w:r w:rsidR="00323BFC">
        <w:t>,</w:t>
      </w:r>
      <w:r>
        <w:t xml:space="preserve"> por entender que não se altera a natureza das coisas por simples </w:t>
      </w:r>
      <w:r w:rsidR="007C6C96">
        <w:t xml:space="preserve">imposição </w:t>
      </w:r>
      <w:r>
        <w:t xml:space="preserve">legislativa. Uma obrigação de pagamento de quantia continua sendo diferente de uma obrigação de fazer e não fazer, não lhes podendo ser atribuído um mesmo </w:t>
      </w:r>
      <w:r w:rsidR="007C6C96">
        <w:t>regramento</w:t>
      </w:r>
      <w:r>
        <w:t>.</w:t>
      </w:r>
    </w:p>
    <w:p w14:paraId="293E9516" w14:textId="77777777" w:rsidR="00EA3100" w:rsidRDefault="00EA3100" w:rsidP="00217B3B">
      <w:pPr>
        <w:ind w:firstLine="0"/>
      </w:pPr>
    </w:p>
    <w:p w14:paraId="1D934A2A" w14:textId="2B82BF07" w:rsidR="004902AB" w:rsidRPr="00D36796" w:rsidRDefault="00836380" w:rsidP="00217B3B">
      <w:pPr>
        <w:ind w:firstLine="0"/>
        <w:rPr>
          <w:b/>
          <w:sz w:val="28"/>
          <w:szCs w:val="28"/>
        </w:rPr>
      </w:pPr>
      <w:r w:rsidRPr="00D36796">
        <w:rPr>
          <w:b/>
          <w:sz w:val="28"/>
          <w:szCs w:val="28"/>
        </w:rPr>
        <w:t>7</w:t>
      </w:r>
      <w:r w:rsidR="00D95F0C" w:rsidRPr="00D36796">
        <w:rPr>
          <w:b/>
          <w:sz w:val="28"/>
          <w:szCs w:val="28"/>
        </w:rPr>
        <w:t xml:space="preserve">. </w:t>
      </w:r>
      <w:r w:rsidR="00D841B2">
        <w:rPr>
          <w:b/>
          <w:sz w:val="28"/>
          <w:szCs w:val="28"/>
        </w:rPr>
        <w:t xml:space="preserve">Diferenças entre as </w:t>
      </w:r>
      <w:r w:rsidR="004902AB" w:rsidRPr="00D36796">
        <w:rPr>
          <w:b/>
          <w:sz w:val="28"/>
          <w:szCs w:val="28"/>
        </w:rPr>
        <w:t>obrigações</w:t>
      </w:r>
      <w:r w:rsidR="005756B8" w:rsidRPr="00D36796">
        <w:rPr>
          <w:b/>
          <w:sz w:val="28"/>
          <w:szCs w:val="28"/>
        </w:rPr>
        <w:t xml:space="preserve"> de pagar e de fazer</w:t>
      </w:r>
    </w:p>
    <w:p w14:paraId="3690E754" w14:textId="77777777" w:rsidR="005756B8" w:rsidRDefault="005756B8" w:rsidP="00217B3B">
      <w:pPr>
        <w:ind w:firstLine="0"/>
      </w:pPr>
    </w:p>
    <w:p w14:paraId="7BB045F3" w14:textId="5EBC55E4" w:rsidR="00842320" w:rsidRDefault="007C2E64" w:rsidP="00217B3B">
      <w:pPr>
        <w:ind w:firstLine="0"/>
      </w:pPr>
      <w:r>
        <w:t>H</w:t>
      </w:r>
      <w:r w:rsidR="00842320">
        <w:t xml:space="preserve">á </w:t>
      </w:r>
      <w:r>
        <w:t xml:space="preserve">nítida </w:t>
      </w:r>
      <w:r w:rsidR="00842320">
        <w:t>diferenciação entre o ato de pagar e o de fazer, pois a</w:t>
      </w:r>
      <w:r w:rsidR="00AB5981">
        <w:t xml:space="preserve">quele </w:t>
      </w:r>
      <w:r w:rsidR="00842320">
        <w:t xml:space="preserve">é naturalmente </w:t>
      </w:r>
      <w:r w:rsidR="00842320" w:rsidRPr="00D14951">
        <w:rPr>
          <w:i/>
        </w:rPr>
        <w:t>simples</w:t>
      </w:r>
      <w:r w:rsidR="00842320">
        <w:t xml:space="preserve">, enquanto </w:t>
      </w:r>
      <w:r>
        <w:t>est</w:t>
      </w:r>
      <w:r w:rsidR="00AB5981">
        <w:t>e</w:t>
      </w:r>
      <w:r>
        <w:t xml:space="preserve"> </w:t>
      </w:r>
      <w:r w:rsidR="00842320">
        <w:t xml:space="preserve">pode conformar uma obrigação </w:t>
      </w:r>
      <w:r w:rsidR="00842320">
        <w:rPr>
          <w:i/>
        </w:rPr>
        <w:t>complexa</w:t>
      </w:r>
      <w:r w:rsidR="00842320">
        <w:t xml:space="preserve">, demandando </w:t>
      </w:r>
      <w:r>
        <w:t xml:space="preserve">seu cumprimento </w:t>
      </w:r>
      <w:r w:rsidR="00842320">
        <w:t>a concreção de uma infinidade de atos.</w:t>
      </w:r>
    </w:p>
    <w:p w14:paraId="5C09DD54" w14:textId="4111E41E" w:rsidR="00842320" w:rsidRDefault="00842320" w:rsidP="00616408">
      <w:pPr>
        <w:ind w:firstLine="0"/>
      </w:pPr>
      <w:r>
        <w:t>Seguindo esse norte, n</w:t>
      </w:r>
      <w:r w:rsidR="001A0CAD">
        <w:t>ão podem ser</w:t>
      </w:r>
      <w:r w:rsidR="007A0271">
        <w:t xml:space="preserve"> </w:t>
      </w:r>
      <w:r w:rsidR="001A0CAD">
        <w:t>equipa</w:t>
      </w:r>
      <w:r w:rsidR="009B6958">
        <w:t>rado</w:t>
      </w:r>
      <w:r w:rsidR="001A0CAD">
        <w:t xml:space="preserve">s </w:t>
      </w:r>
      <w:r w:rsidR="00466047">
        <w:t>o</w:t>
      </w:r>
      <w:r w:rsidR="007A0271">
        <w:t xml:space="preserve">s </w:t>
      </w:r>
      <w:r w:rsidR="00466047">
        <w:t xml:space="preserve">efeitos </w:t>
      </w:r>
      <w:r w:rsidR="007A0271">
        <w:t xml:space="preserve">de uma decisão mandamental, </w:t>
      </w:r>
      <w:r w:rsidR="001306E8">
        <w:t xml:space="preserve">de consequências mais drásticas, inclusive </w:t>
      </w:r>
      <w:r w:rsidR="00BC787D">
        <w:t xml:space="preserve">com implicações no âmbito </w:t>
      </w:r>
      <w:r w:rsidR="00406E0D">
        <w:t>penal</w:t>
      </w:r>
      <w:r w:rsidR="00CC5CDF">
        <w:t xml:space="preserve"> (CP, art. 330) –</w:t>
      </w:r>
      <w:r w:rsidR="001306E8">
        <w:t xml:space="preserve">, </w:t>
      </w:r>
      <w:r w:rsidR="00323BFC">
        <w:t xml:space="preserve">a </w:t>
      </w:r>
      <w:r w:rsidR="007A0271">
        <w:t xml:space="preserve">uma decisão </w:t>
      </w:r>
      <w:r w:rsidR="00CC5CDF">
        <w:t xml:space="preserve">de </w:t>
      </w:r>
      <w:r w:rsidR="001306E8">
        <w:t>pagamento de quantia certa.</w:t>
      </w:r>
      <w:r w:rsidR="00616408">
        <w:t xml:space="preserve"> Estas </w:t>
      </w:r>
      <w:r w:rsidR="00B658A9">
        <w:t>respeita</w:t>
      </w:r>
      <w:r w:rsidR="00497C01">
        <w:t>m o regramento do art</w:t>
      </w:r>
      <w:r w:rsidR="00323BFC">
        <w:t>.</w:t>
      </w:r>
      <w:r w:rsidR="00497C01">
        <w:t xml:space="preserve"> </w:t>
      </w:r>
      <w:r w:rsidR="00946556">
        <w:t>523</w:t>
      </w:r>
      <w:r w:rsidR="00497C01">
        <w:t xml:space="preserve">, enquanto que </w:t>
      </w:r>
      <w:r w:rsidR="00616408">
        <w:t xml:space="preserve">aquelas </w:t>
      </w:r>
      <w:r w:rsidR="00B658A9">
        <w:t xml:space="preserve">obedecem </w:t>
      </w:r>
      <w:r w:rsidR="002269EF">
        <w:t>a técnica especificada pel</w:t>
      </w:r>
      <w:r w:rsidR="00466047">
        <w:t>o</w:t>
      </w:r>
      <w:r w:rsidR="00B658A9">
        <w:t xml:space="preserve"> art</w:t>
      </w:r>
      <w:r w:rsidR="00323BFC">
        <w:t>.</w:t>
      </w:r>
      <w:r w:rsidR="00B658A9">
        <w:t xml:space="preserve"> </w:t>
      </w:r>
      <w:r w:rsidR="00946556">
        <w:t>536, ambos</w:t>
      </w:r>
      <w:r w:rsidR="00B658A9">
        <w:t xml:space="preserve"> do CPC</w:t>
      </w:r>
      <w:r w:rsidR="00946556">
        <w:t>/2015</w:t>
      </w:r>
      <w:r w:rsidR="00B658A9">
        <w:t>.</w:t>
      </w:r>
    </w:p>
    <w:p w14:paraId="09BF5672" w14:textId="5A21A51D" w:rsidR="00C661EC" w:rsidRDefault="004902AB" w:rsidP="00217B3B">
      <w:pPr>
        <w:ind w:firstLine="0"/>
      </w:pPr>
      <w:r>
        <w:t xml:space="preserve">Uma singela aplicação do </w:t>
      </w:r>
      <w:r w:rsidRPr="005052B8">
        <w:rPr>
          <w:i/>
        </w:rPr>
        <w:t>princípio constitucional da legalidade</w:t>
      </w:r>
      <w:r>
        <w:t xml:space="preserve"> (</w:t>
      </w:r>
      <w:r w:rsidR="00323BFC">
        <w:t xml:space="preserve">art. </w:t>
      </w:r>
      <w:r>
        <w:t>5º, II</w:t>
      </w:r>
      <w:r w:rsidR="00323BFC">
        <w:t>, da CF</w:t>
      </w:r>
      <w:r>
        <w:t xml:space="preserve">) nos impede de ultrapassar o texto legal, ainda que </w:t>
      </w:r>
      <w:r w:rsidR="00AB5981">
        <w:t xml:space="preserve">em nome de uma </w:t>
      </w:r>
      <w:r>
        <w:t xml:space="preserve">maior efetividade </w:t>
      </w:r>
      <w:r w:rsidR="00F97CED">
        <w:t>n</w:t>
      </w:r>
      <w:r>
        <w:t xml:space="preserve">os </w:t>
      </w:r>
      <w:r>
        <w:lastRenderedPageBreak/>
        <w:t>provimentos judiciais.</w:t>
      </w:r>
      <w:r w:rsidR="00CC5CDF">
        <w:t xml:space="preserve"> </w:t>
      </w:r>
      <w:r w:rsidR="00842320">
        <w:t xml:space="preserve">Assim, </w:t>
      </w:r>
      <w:r w:rsidR="007C2E64">
        <w:t xml:space="preserve">tratar da mesma forma situações </w:t>
      </w:r>
      <w:r w:rsidR="00C661EC">
        <w:t xml:space="preserve">díspares </w:t>
      </w:r>
      <w:r w:rsidR="007C2E64">
        <w:t xml:space="preserve">é </w:t>
      </w:r>
      <w:r w:rsidR="00C661EC">
        <w:t>ofende</w:t>
      </w:r>
      <w:r w:rsidR="007C2E64">
        <w:t>r</w:t>
      </w:r>
      <w:r w:rsidR="00C661EC">
        <w:t xml:space="preserve"> </w:t>
      </w:r>
      <w:r w:rsidR="00842320">
        <w:t xml:space="preserve">a segunda parte do </w:t>
      </w:r>
      <w:r w:rsidR="00C661EC">
        <w:t xml:space="preserve">princípio da isonomia (especialidade </w:t>
      </w:r>
      <w:r w:rsidR="00F97CED">
        <w:t>–</w:t>
      </w:r>
      <w:r w:rsidR="00C661EC">
        <w:t xml:space="preserve"> </w:t>
      </w:r>
      <w:r w:rsidR="00F97CED">
        <w:t>art.</w:t>
      </w:r>
      <w:r w:rsidR="00C661EC">
        <w:t xml:space="preserve"> 5º, </w:t>
      </w:r>
      <w:r w:rsidR="00C661EC" w:rsidRPr="00C728D4">
        <w:rPr>
          <w:i/>
        </w:rPr>
        <w:t>caput</w:t>
      </w:r>
      <w:r w:rsidR="00F97CED">
        <w:t>, da CF</w:t>
      </w:r>
      <w:r w:rsidR="00C661EC">
        <w:t>).</w:t>
      </w:r>
    </w:p>
    <w:p w14:paraId="71CB44EC" w14:textId="0D75CF36" w:rsidR="00C661EC" w:rsidRDefault="00C661EC" w:rsidP="00217B3B">
      <w:pPr>
        <w:ind w:firstLine="0"/>
      </w:pPr>
      <w:r>
        <w:t xml:space="preserve">Tanto isso é verdade que a lei confere à obrigação de pagar o lapso temporal de 15 dias (art. 523, </w:t>
      </w:r>
      <w:r w:rsidRPr="00C661EC">
        <w:rPr>
          <w:i/>
        </w:rPr>
        <w:t>caput</w:t>
      </w:r>
      <w:r w:rsidR="00D36796" w:rsidRPr="00D36796">
        <w:t xml:space="preserve">, </w:t>
      </w:r>
      <w:r w:rsidR="00D36796">
        <w:t>do CPC/2015</w:t>
      </w:r>
      <w:r>
        <w:t xml:space="preserve">), enquanto que para as obrigações de fazer e não fazer, o prazo respeita </w:t>
      </w:r>
      <w:r w:rsidR="00CC5CDF">
        <w:t>a</w:t>
      </w:r>
      <w:r>
        <w:t xml:space="preserve"> </w:t>
      </w:r>
      <w:r w:rsidR="00CC5CDF">
        <w:t xml:space="preserve">discricionariedade </w:t>
      </w:r>
      <w:r>
        <w:t xml:space="preserve">do juiz, devendo ser fixado segundo </w:t>
      </w:r>
      <w:r w:rsidR="00CE1E3C">
        <w:t>o caso concreto.</w:t>
      </w:r>
    </w:p>
    <w:p w14:paraId="75C4C78B" w14:textId="1CF8461B" w:rsidR="00C661EC" w:rsidRDefault="00CC5CDF" w:rsidP="00217B3B">
      <w:pPr>
        <w:ind w:firstLine="0"/>
      </w:pPr>
      <w:r>
        <w:t>Para as obrigações de pagar</w:t>
      </w:r>
      <w:r w:rsidR="00F97CED">
        <w:t>,</w:t>
      </w:r>
      <w:r w:rsidR="00422C95">
        <w:t xml:space="preserve"> o legislador impõe um</w:t>
      </w:r>
      <w:r w:rsidR="00CA63AD">
        <w:t>a</w:t>
      </w:r>
      <w:r w:rsidR="00422C95">
        <w:t xml:space="preserve"> </w:t>
      </w:r>
      <w:r w:rsidR="00CA63AD">
        <w:t>proposição jurídica hermética</w:t>
      </w:r>
      <w:r w:rsidR="00422C95">
        <w:t>,</w:t>
      </w:r>
      <w:r w:rsidR="00CA63AD">
        <w:t xml:space="preserve"> </w:t>
      </w:r>
      <w:r w:rsidR="00F97CED">
        <w:t xml:space="preserve">pela qual </w:t>
      </w:r>
      <w:r w:rsidR="00CA63AD">
        <w:t>o executado</w:t>
      </w:r>
      <w:r w:rsidR="00E60241">
        <w:t xml:space="preserve"> </w:t>
      </w:r>
      <w:r w:rsidR="00CA63AD">
        <w:t xml:space="preserve">deve </w:t>
      </w:r>
      <w:r w:rsidR="00B010CD">
        <w:t xml:space="preserve">pagar </w:t>
      </w:r>
      <w:r w:rsidR="00CA63AD">
        <w:t xml:space="preserve">o </w:t>
      </w:r>
      <w:r w:rsidR="00CA63AD" w:rsidRPr="00CA63AD">
        <w:rPr>
          <w:i/>
        </w:rPr>
        <w:t xml:space="preserve">quantum </w:t>
      </w:r>
      <w:r w:rsidR="00CA63AD" w:rsidRPr="002269EF">
        <w:rPr>
          <w:i/>
          <w:lang w:val="lv-LV"/>
        </w:rPr>
        <w:t>debeatur</w:t>
      </w:r>
      <w:r w:rsidR="00CA63AD" w:rsidRPr="00CA63AD">
        <w:rPr>
          <w:i/>
        </w:rPr>
        <w:t xml:space="preserve"> </w:t>
      </w:r>
      <w:r w:rsidR="00E60241">
        <w:t>em 15 dias –</w:t>
      </w:r>
      <w:r w:rsidR="001B70CF">
        <w:t xml:space="preserve"> </w:t>
      </w:r>
      <w:r w:rsidR="00B010CD">
        <w:t>inexistindo possibilidade de mudança do prazo</w:t>
      </w:r>
      <w:r w:rsidR="001B70CF">
        <w:t>, ainda que existam circunstâncias excepcionais</w:t>
      </w:r>
      <w:r w:rsidR="00E60241">
        <w:t xml:space="preserve"> –, sob pena de incidência de </w:t>
      </w:r>
      <w:r w:rsidR="00B010CD">
        <w:t xml:space="preserve">multa </w:t>
      </w:r>
      <w:r w:rsidR="001B70CF">
        <w:t xml:space="preserve">de 10% </w:t>
      </w:r>
      <w:r w:rsidR="00B010CD">
        <w:t xml:space="preserve">sobre o </w:t>
      </w:r>
      <w:r w:rsidR="00CB555D">
        <w:t>valor da execução (art. 523, § 1º</w:t>
      </w:r>
      <w:r w:rsidR="00D36796">
        <w:t>,</w:t>
      </w:r>
      <w:r w:rsidR="00D36796" w:rsidRPr="00D36796">
        <w:t xml:space="preserve"> </w:t>
      </w:r>
      <w:r w:rsidR="00D36796">
        <w:t>do CPC/2015</w:t>
      </w:r>
      <w:r w:rsidR="00CB555D">
        <w:t>).</w:t>
      </w:r>
    </w:p>
    <w:p w14:paraId="1279CB60" w14:textId="13B2A79A" w:rsidR="00DF012F" w:rsidRDefault="001B70CF" w:rsidP="00217B3B">
      <w:pPr>
        <w:ind w:firstLine="0"/>
      </w:pPr>
      <w:r>
        <w:t xml:space="preserve">Diferentemente, </w:t>
      </w:r>
      <w:r w:rsidR="00B010CD">
        <w:t xml:space="preserve">nas </w:t>
      </w:r>
      <w:r w:rsidR="00E64592">
        <w:t>obrigações de fazer</w:t>
      </w:r>
      <w:r>
        <w:t xml:space="preserve"> </w:t>
      </w:r>
      <w:r w:rsidR="002B13EF">
        <w:t>a lei é clara ao impor ao juiz que fixe</w:t>
      </w:r>
      <w:r w:rsidR="00E64592">
        <w:t xml:space="preserve"> </w:t>
      </w:r>
      <w:r w:rsidR="002B13EF" w:rsidRPr="00F97CED">
        <w:t>“</w:t>
      </w:r>
      <w:r w:rsidR="002B13EF" w:rsidRPr="00E60241">
        <w:rPr>
          <w:i/>
        </w:rPr>
        <w:t>prazo razoáve</w:t>
      </w:r>
      <w:r w:rsidR="00485B37" w:rsidRPr="00E60241">
        <w:rPr>
          <w:i/>
        </w:rPr>
        <w:t>l para cumprimento do preceito</w:t>
      </w:r>
      <w:r w:rsidR="00485B37">
        <w:t xml:space="preserve">”, que </w:t>
      </w:r>
      <w:r w:rsidR="00B46AF6">
        <w:t xml:space="preserve">pode perfeitamente variar </w:t>
      </w:r>
      <w:r w:rsidR="00BD1324">
        <w:t xml:space="preserve">entre </w:t>
      </w:r>
      <w:r w:rsidR="00A17BCE">
        <w:t xml:space="preserve">horas, </w:t>
      </w:r>
      <w:r w:rsidR="00B46AF6">
        <w:t xml:space="preserve">dias a </w:t>
      </w:r>
      <w:r w:rsidR="00BD1324">
        <w:t xml:space="preserve">até mesmo </w:t>
      </w:r>
      <w:r w:rsidR="00B46AF6">
        <w:t>anos</w:t>
      </w:r>
      <w:r w:rsidR="00927F1A">
        <w:rPr>
          <w:rStyle w:val="Refdenotaderodap"/>
          <w:szCs w:val="20"/>
        </w:rPr>
        <w:footnoteReference w:id="30"/>
      </w:r>
      <w:r w:rsidR="00DF012F">
        <w:t xml:space="preserve">, </w:t>
      </w:r>
      <w:r w:rsidR="00E60241">
        <w:t xml:space="preserve">de acordo com o </w:t>
      </w:r>
      <w:r w:rsidR="00246445">
        <w:t>caso concreto</w:t>
      </w:r>
      <w:r w:rsidR="00E60241">
        <w:t xml:space="preserve">, cenário que se mostra </w:t>
      </w:r>
      <w:r w:rsidR="00653314">
        <w:t>incongruente</w:t>
      </w:r>
      <w:r w:rsidR="00B2192B">
        <w:t xml:space="preserve"> </w:t>
      </w:r>
      <w:r w:rsidR="00AB5981">
        <w:t xml:space="preserve">com a </w:t>
      </w:r>
      <w:r w:rsidR="00DF012F">
        <w:t>intimação ficta do devedor.</w:t>
      </w:r>
    </w:p>
    <w:p w14:paraId="3DE941F0" w14:textId="4836B64D" w:rsidR="001B70CF" w:rsidRDefault="00761511" w:rsidP="00217B3B">
      <w:pPr>
        <w:ind w:firstLine="0"/>
      </w:pPr>
      <w:r>
        <w:t>Há</w:t>
      </w:r>
      <w:r w:rsidR="004E0A6F">
        <w:t>, ademais,</w:t>
      </w:r>
      <w:r>
        <w:t xml:space="preserve"> um paradoxo entre </w:t>
      </w:r>
      <w:r w:rsidR="00D55EF0">
        <w:t>o</w:t>
      </w:r>
      <w:r w:rsidR="00126DD6">
        <w:t>s</w:t>
      </w:r>
      <w:r w:rsidR="00D55EF0">
        <w:t xml:space="preserve"> princípio</w:t>
      </w:r>
      <w:r w:rsidR="00A024A0">
        <w:t>s</w:t>
      </w:r>
      <w:r w:rsidR="00D55EF0">
        <w:t xml:space="preserve"> da formalidade </w:t>
      </w:r>
      <w:r w:rsidR="00174452">
        <w:t xml:space="preserve">do processo </w:t>
      </w:r>
      <w:r>
        <w:t xml:space="preserve">e </w:t>
      </w:r>
      <w:r w:rsidR="00126DD6">
        <w:t>d</w:t>
      </w:r>
      <w:r w:rsidR="00174452">
        <w:t xml:space="preserve">a </w:t>
      </w:r>
      <w:r>
        <w:t xml:space="preserve">instrumentalidade das formas, ambos compondo dois lados de uma mesma </w:t>
      </w:r>
      <w:r w:rsidR="00107438">
        <w:t>moeda</w:t>
      </w:r>
      <w:r>
        <w:t>, ora prevalecendo um sobre o outro, a depender do contexto e características da base empírica</w:t>
      </w:r>
      <w:r w:rsidR="00C651AC">
        <w:t xml:space="preserve"> estabelecida</w:t>
      </w:r>
      <w:r>
        <w:rPr>
          <w:rStyle w:val="Refdenotaderodap"/>
          <w:szCs w:val="20"/>
        </w:rPr>
        <w:footnoteReference w:id="31"/>
      </w:r>
      <w:r w:rsidR="00F97CED">
        <w:t>.</w:t>
      </w:r>
      <w:r>
        <w:t xml:space="preserve"> </w:t>
      </w:r>
      <w:r w:rsidR="00107438">
        <w:t>Nesse sentido, a</w:t>
      </w:r>
      <w:r w:rsidR="00B2192B">
        <w:t xml:space="preserve"> possibilidade de se intimar o devedor </w:t>
      </w:r>
      <w:r w:rsidR="00A64AE3">
        <w:t xml:space="preserve">na pessoa </w:t>
      </w:r>
      <w:r w:rsidR="00107438">
        <w:t xml:space="preserve">do </w:t>
      </w:r>
      <w:r w:rsidR="00EB3255">
        <w:t>advogado constituído</w:t>
      </w:r>
      <w:r w:rsidR="00A64AE3">
        <w:t>,</w:t>
      </w:r>
      <w:r w:rsidR="00EB3255">
        <w:t xml:space="preserve"> </w:t>
      </w:r>
      <w:r>
        <w:t>representa um</w:t>
      </w:r>
      <w:r w:rsidR="00A64AE3">
        <w:t>a</w:t>
      </w:r>
      <w:r w:rsidR="00107438">
        <w:t xml:space="preserve"> </w:t>
      </w:r>
      <w:r w:rsidR="00A607F3">
        <w:t>deturpação na</w:t>
      </w:r>
      <w:r w:rsidR="00107438">
        <w:t xml:space="preserve"> instrumentalidade das formas</w:t>
      </w:r>
      <w:r w:rsidR="00A607F3">
        <w:t xml:space="preserve">. A adoção dessa regra, a ser </w:t>
      </w:r>
      <w:r w:rsidR="00174452">
        <w:t xml:space="preserve">ainda </w:t>
      </w:r>
      <w:r w:rsidR="00A607F3">
        <w:t>confirmada pelo STJ, configura</w:t>
      </w:r>
      <w:r w:rsidR="00107438">
        <w:t xml:space="preserve"> </w:t>
      </w:r>
      <w:r w:rsidR="00B5785C">
        <w:t>in</w:t>
      </w:r>
      <w:r w:rsidR="00174452">
        <w:t>formalismo desmesurado</w:t>
      </w:r>
      <w:r w:rsidR="00107438">
        <w:t xml:space="preserve"> </w:t>
      </w:r>
      <w:r w:rsidR="00A64AE3">
        <w:t xml:space="preserve">atentatório </w:t>
      </w:r>
      <w:r w:rsidR="00107438">
        <w:t>contra os princípios da proteção da confiança e da segurança jurídica.</w:t>
      </w:r>
      <w:r w:rsidR="00A64AE3">
        <w:rPr>
          <w:rStyle w:val="Refdenotaderodap"/>
        </w:rPr>
        <w:footnoteReference w:id="32"/>
      </w:r>
    </w:p>
    <w:p w14:paraId="0CB5867E" w14:textId="03B4FC4D" w:rsidR="00B40BE5" w:rsidRDefault="00EB0473" w:rsidP="003B623D">
      <w:pPr>
        <w:ind w:firstLine="0"/>
      </w:pPr>
      <w:r>
        <w:t xml:space="preserve">Mas as maiores </w:t>
      </w:r>
      <w:r w:rsidR="00D9078C">
        <w:t xml:space="preserve">discrepâncias </w:t>
      </w:r>
      <w:r w:rsidR="00FB1C03">
        <w:t>entre os regimes jurí</w:t>
      </w:r>
      <w:r w:rsidR="00051835">
        <w:t>dico</w:t>
      </w:r>
      <w:r w:rsidR="00FB1C03">
        <w:t xml:space="preserve">s </w:t>
      </w:r>
      <w:r w:rsidR="00D9078C">
        <w:t>estão concentradas nas consequências do descumprimento</w:t>
      </w:r>
      <w:r w:rsidR="001607E9">
        <w:t>.</w:t>
      </w:r>
      <w:r w:rsidR="003B623D">
        <w:t xml:space="preserve"> </w:t>
      </w:r>
      <w:r w:rsidR="00AD53B3">
        <w:t xml:space="preserve">Deveras, </w:t>
      </w:r>
      <w:r w:rsidR="00D9078C">
        <w:t xml:space="preserve">o inadimplemento </w:t>
      </w:r>
      <w:r w:rsidR="00AD53B3">
        <w:t xml:space="preserve">da obrigação de pagar </w:t>
      </w:r>
      <w:r w:rsidR="006133A3">
        <w:t xml:space="preserve">resulta </w:t>
      </w:r>
      <w:r w:rsidR="00BC75FD">
        <w:t xml:space="preserve">na incidência única da multa de 10% sobre o montante do débito </w:t>
      </w:r>
      <w:r w:rsidR="00051835">
        <w:t>(art. 523, § 1º</w:t>
      </w:r>
      <w:r w:rsidR="00D36796">
        <w:t>,</w:t>
      </w:r>
      <w:r w:rsidR="00D36796" w:rsidRPr="00D36796">
        <w:t xml:space="preserve"> </w:t>
      </w:r>
      <w:r w:rsidR="00D36796">
        <w:t>do CPC/2015</w:t>
      </w:r>
      <w:r w:rsidR="003B623D">
        <w:t xml:space="preserve">), com </w:t>
      </w:r>
      <w:r w:rsidR="006133A3">
        <w:t xml:space="preserve">penhora </w:t>
      </w:r>
      <w:r w:rsidR="00051835">
        <w:t xml:space="preserve">e avaliação </w:t>
      </w:r>
      <w:r w:rsidR="006133A3">
        <w:t>de bens</w:t>
      </w:r>
      <w:r w:rsidR="00BC75FD">
        <w:t xml:space="preserve"> possíveis</w:t>
      </w:r>
      <w:r w:rsidR="00051835">
        <w:t xml:space="preserve"> e</w:t>
      </w:r>
      <w:r w:rsidR="006133A3">
        <w:t xml:space="preserve"> suficientes para </w:t>
      </w:r>
      <w:r w:rsidR="00BC75FD">
        <w:t xml:space="preserve">a integral satisfação </w:t>
      </w:r>
      <w:r w:rsidR="006133A3">
        <w:t>do débito</w:t>
      </w:r>
      <w:r w:rsidR="00051835">
        <w:t xml:space="preserve"> (art. 523, § 3º</w:t>
      </w:r>
      <w:r w:rsidR="00D36796">
        <w:t>,</w:t>
      </w:r>
      <w:r w:rsidR="00D36796" w:rsidRPr="00D36796">
        <w:t xml:space="preserve"> </w:t>
      </w:r>
      <w:r w:rsidR="00D36796">
        <w:t>do CPC/2015</w:t>
      </w:r>
      <w:r w:rsidR="00051835">
        <w:t>)</w:t>
      </w:r>
      <w:r w:rsidR="001607E9">
        <w:t>.</w:t>
      </w:r>
      <w:r w:rsidR="003B623D">
        <w:t xml:space="preserve"> Nesse caso, a </w:t>
      </w:r>
      <w:r w:rsidR="00AD53B3">
        <w:t xml:space="preserve">realização </w:t>
      </w:r>
      <w:r w:rsidR="003B623D">
        <w:t xml:space="preserve">do </w:t>
      </w:r>
      <w:r w:rsidR="00AD53B3">
        <w:t>título judicial fica condicionada</w:t>
      </w:r>
      <w:r w:rsidR="003B623D">
        <w:t xml:space="preserve"> </w:t>
      </w:r>
      <w:r w:rsidR="00AD53B3">
        <w:t xml:space="preserve">à subsistência de bens suficientes e juridicamente penhoráveis </w:t>
      </w:r>
      <w:r w:rsidR="003B623D">
        <w:t xml:space="preserve">no patrimônio do devedor </w:t>
      </w:r>
      <w:r w:rsidR="00AD53B3">
        <w:t>(</w:t>
      </w:r>
      <w:r w:rsidR="000C3AB9">
        <w:t>art. 833</w:t>
      </w:r>
      <w:r w:rsidR="00D36796" w:rsidRPr="00D36796">
        <w:t xml:space="preserve"> </w:t>
      </w:r>
      <w:r w:rsidR="00D36796">
        <w:t>do CPC/2015</w:t>
      </w:r>
      <w:r w:rsidR="00AD53B3">
        <w:t>)</w:t>
      </w:r>
      <w:r w:rsidR="005145FA">
        <w:t>.</w:t>
      </w:r>
      <w:r w:rsidR="00B40BE5">
        <w:t xml:space="preserve"> </w:t>
      </w:r>
      <w:r w:rsidR="00C543B6">
        <w:t xml:space="preserve">A não ser que se trate </w:t>
      </w:r>
      <w:r w:rsidR="0002438E">
        <w:t>dívida de alimentos, n</w:t>
      </w:r>
      <w:r w:rsidR="00115235">
        <w:t xml:space="preserve">ada </w:t>
      </w:r>
      <w:r w:rsidR="00C543B6">
        <w:t xml:space="preserve">mais </w:t>
      </w:r>
      <w:r w:rsidR="00115235">
        <w:t xml:space="preserve">há a se </w:t>
      </w:r>
      <w:r w:rsidR="00115235">
        <w:lastRenderedPageBreak/>
        <w:t>fazer</w:t>
      </w:r>
      <w:r w:rsidR="00F97CED">
        <w:t>,</w:t>
      </w:r>
      <w:r w:rsidR="00115235">
        <w:t xml:space="preserve"> </w:t>
      </w:r>
      <w:r w:rsidR="00C543B6">
        <w:t xml:space="preserve">enquanto </w:t>
      </w:r>
      <w:r w:rsidR="0002438E">
        <w:t>não se encontrare</w:t>
      </w:r>
      <w:r w:rsidR="00F72F3F">
        <w:t xml:space="preserve">m bens penhoráveis do devedor. </w:t>
      </w:r>
      <w:r w:rsidR="00B40BE5">
        <w:t xml:space="preserve">Note-se que, </w:t>
      </w:r>
      <w:r w:rsidR="00F72F3F">
        <w:t>em</w:t>
      </w:r>
      <w:r w:rsidR="00B40BE5">
        <w:t xml:space="preserve"> caso de penhora de bens</w:t>
      </w:r>
      <w:r w:rsidR="00D676FF">
        <w:t>, deverá o devedor ser obrigatoriamente intimado da constrição (art. 841</w:t>
      </w:r>
      <w:r w:rsidR="00D36796" w:rsidRPr="00D36796">
        <w:t xml:space="preserve"> </w:t>
      </w:r>
      <w:r w:rsidR="00D36796">
        <w:t>do CPC/2015</w:t>
      </w:r>
      <w:r w:rsidR="00D676FF">
        <w:t>)</w:t>
      </w:r>
      <w:r w:rsidR="00F97CED">
        <w:t>,</w:t>
      </w:r>
      <w:r w:rsidR="00F72F3F">
        <w:t xml:space="preserve"> para que possa eventualmente oferecer resistência</w:t>
      </w:r>
      <w:r w:rsidR="00D676FF">
        <w:t>.</w:t>
      </w:r>
    </w:p>
    <w:p w14:paraId="3234204C" w14:textId="0FDA47B7" w:rsidR="00EE5009" w:rsidRDefault="005145FA" w:rsidP="00217B3B">
      <w:pPr>
        <w:ind w:firstLine="0"/>
      </w:pPr>
      <w:r>
        <w:t xml:space="preserve">Muito diferentemente, </w:t>
      </w:r>
      <w:r w:rsidR="00351586">
        <w:t xml:space="preserve">o descumprimento da sentença que reconhece as obrigações de fazer e não fazer </w:t>
      </w:r>
      <w:r w:rsidR="008600D8">
        <w:t>pode trazer consequências graves e imprevisíveis ao devedor, pois o juiz deverá aplicar “</w:t>
      </w:r>
      <w:r w:rsidR="008600D8" w:rsidRPr="00F97CED">
        <w:t>as medidas necessárias à satisfação do exequente</w:t>
      </w:r>
      <w:r w:rsidR="008600D8">
        <w:t xml:space="preserve">” (art. 536, </w:t>
      </w:r>
      <w:r w:rsidR="008600D8" w:rsidRPr="008600D8">
        <w:rPr>
          <w:i/>
        </w:rPr>
        <w:t>caput</w:t>
      </w:r>
      <w:r w:rsidR="00D36796" w:rsidRPr="00D36796">
        <w:t xml:space="preserve">, </w:t>
      </w:r>
      <w:r w:rsidR="00D36796">
        <w:t>do CPC/2015</w:t>
      </w:r>
      <w:r w:rsidR="001607E9">
        <w:t>).</w:t>
      </w:r>
    </w:p>
    <w:p w14:paraId="407B7ADC" w14:textId="0D2EF969" w:rsidR="0032077C" w:rsidRDefault="0085330A" w:rsidP="00217B3B">
      <w:pPr>
        <w:ind w:firstLine="0"/>
      </w:pPr>
      <w:r>
        <w:t xml:space="preserve">Isso pode redundar </w:t>
      </w:r>
      <w:r w:rsidR="00F92E61">
        <w:t xml:space="preserve">em consequências mais </w:t>
      </w:r>
      <w:r w:rsidR="00E60241">
        <w:t>d</w:t>
      </w:r>
      <w:r w:rsidR="00686A44">
        <w:t>uras</w:t>
      </w:r>
      <w:r w:rsidR="00F92E61">
        <w:t>, com a</w:t>
      </w:r>
      <w:r>
        <w:t xml:space="preserve"> aplicação</w:t>
      </w:r>
      <w:r w:rsidR="00686A44">
        <w:t xml:space="preserve"> </w:t>
      </w:r>
      <w:r>
        <w:t xml:space="preserve">de multa, busca e apreensão, remoção de pessoas e coisas, </w:t>
      </w:r>
      <w:r w:rsidR="000F3CC4">
        <w:t>no impedimento de atividade nociva, inclusive com o auxílio de força policial</w:t>
      </w:r>
      <w:r w:rsidR="00253541">
        <w:t xml:space="preserve"> (§ 1º) e, </w:t>
      </w:r>
      <w:r w:rsidR="00857909">
        <w:t>em</w:t>
      </w:r>
      <w:r w:rsidR="00253541">
        <w:t xml:space="preserve"> casos mais graves, </w:t>
      </w:r>
      <w:r w:rsidR="00857909">
        <w:t xml:space="preserve">na </w:t>
      </w:r>
      <w:r w:rsidR="00E5101E">
        <w:t xml:space="preserve">incidência das penas da litigância de má-fé, </w:t>
      </w:r>
      <w:r w:rsidR="00253541">
        <w:t xml:space="preserve">com </w:t>
      </w:r>
      <w:r w:rsidR="003750E9">
        <w:t>prisão em flagrante pelo crime de desobediência (</w:t>
      </w:r>
      <w:r w:rsidR="00E5101E">
        <w:t xml:space="preserve">art. </w:t>
      </w:r>
      <w:r w:rsidR="003750E9">
        <w:t>330</w:t>
      </w:r>
      <w:r w:rsidR="00F97CED">
        <w:t xml:space="preserve"> do CP</w:t>
      </w:r>
      <w:r w:rsidR="00E5101E">
        <w:t>; art. 536, § 3º</w:t>
      </w:r>
      <w:r w:rsidR="00D36796">
        <w:t>,</w:t>
      </w:r>
      <w:r w:rsidR="00D36796" w:rsidRPr="00D36796">
        <w:t xml:space="preserve"> </w:t>
      </w:r>
      <w:r w:rsidR="00D36796">
        <w:t>do CPC/2015</w:t>
      </w:r>
      <w:r w:rsidR="003750E9">
        <w:t>).</w:t>
      </w:r>
      <w:r w:rsidR="00EE5009">
        <w:t xml:space="preserve"> </w:t>
      </w:r>
    </w:p>
    <w:p w14:paraId="15DFD847" w14:textId="7CC04CE3" w:rsidR="00AA6098" w:rsidRDefault="003F5CFF" w:rsidP="00217B3B">
      <w:pPr>
        <w:ind w:firstLine="0"/>
      </w:pPr>
      <w:r>
        <w:t xml:space="preserve">Em outras palavras, as consequências do inadimplemento </w:t>
      </w:r>
      <w:r w:rsidR="000B3E7C">
        <w:t xml:space="preserve">– de incidência ilimitada – </w:t>
      </w:r>
      <w:r>
        <w:t>vão</w:t>
      </w:r>
      <w:r w:rsidR="000B3E7C">
        <w:t xml:space="preserve"> sendo paula</w:t>
      </w:r>
      <w:r w:rsidR="00C564E1">
        <w:t xml:space="preserve">tinamente agravadas pelo juiz, de acordo com </w:t>
      </w:r>
      <w:r w:rsidR="000B3E7C">
        <w:t>a medida da recalcitrância do devedor</w:t>
      </w:r>
      <w:r>
        <w:t xml:space="preserve">, até que haja a integral satisfação </w:t>
      </w:r>
      <w:r w:rsidR="000B3E7C">
        <w:t>do comando</w:t>
      </w:r>
      <w:r w:rsidR="00DB1E2E">
        <w:t xml:space="preserve"> ou </w:t>
      </w:r>
      <w:r w:rsidR="00AA6098">
        <w:t>s</w:t>
      </w:r>
      <w:r w:rsidR="00F97CED">
        <w:t>ua conversão em perdas e danos.</w:t>
      </w:r>
      <w:r w:rsidR="00686A44">
        <w:t xml:space="preserve"> </w:t>
      </w:r>
      <w:r w:rsidR="0034541D">
        <w:t>Com isso,</w:t>
      </w:r>
      <w:r w:rsidR="00857909">
        <w:t xml:space="preserve"> pode-se </w:t>
      </w:r>
      <w:r w:rsidR="00AA6098">
        <w:t xml:space="preserve">ultrapassar </w:t>
      </w:r>
      <w:r w:rsidR="0034541D">
        <w:t>em muito</w:t>
      </w:r>
      <w:r w:rsidR="00C06432">
        <w:t xml:space="preserve"> </w:t>
      </w:r>
      <w:r w:rsidR="00AA6098">
        <w:t xml:space="preserve">o valor da </w:t>
      </w:r>
      <w:r w:rsidR="000B3E7C">
        <w:t xml:space="preserve">própria </w:t>
      </w:r>
      <w:r w:rsidR="00AA6098">
        <w:t>obrigação a ser prestada</w:t>
      </w:r>
      <w:r w:rsidR="00EF3542">
        <w:t xml:space="preserve"> pela parte executada</w:t>
      </w:r>
      <w:r w:rsidR="0073008D">
        <w:t>, sendo p</w:t>
      </w:r>
      <w:r w:rsidR="004433F4">
        <w:t>erfeitamente</w:t>
      </w:r>
      <w:r w:rsidR="000B3E7C">
        <w:t xml:space="preserve"> factível que a p</w:t>
      </w:r>
      <w:r w:rsidR="0034541D">
        <w:t>ena processual atinja percentuais</w:t>
      </w:r>
      <w:r w:rsidR="000B3E7C">
        <w:t xml:space="preserve"> de </w:t>
      </w:r>
      <w:r w:rsidR="004433F4">
        <w:t xml:space="preserve">150%, 200%, </w:t>
      </w:r>
      <w:r w:rsidR="000B3E7C">
        <w:t>d</w:t>
      </w:r>
      <w:r w:rsidR="004433F4">
        <w:t>o objeto da própria ação em que foi aplicada.</w:t>
      </w:r>
      <w:r w:rsidR="00EE5009">
        <w:rPr>
          <w:rStyle w:val="Refdenotaderodap"/>
          <w:szCs w:val="20"/>
        </w:rPr>
        <w:footnoteReference w:id="33"/>
      </w:r>
    </w:p>
    <w:p w14:paraId="4778CB39" w14:textId="4953650D" w:rsidR="006A1073" w:rsidRDefault="006A1073" w:rsidP="00217B3B">
      <w:pPr>
        <w:ind w:firstLine="0"/>
      </w:pPr>
      <w:r>
        <w:t xml:space="preserve">Não é incomum a fixação de valores expressivos de multa diária, em demandas que sequer </w:t>
      </w:r>
      <w:r w:rsidR="0082630E">
        <w:t xml:space="preserve">apresentam </w:t>
      </w:r>
      <w:r>
        <w:t>conteúdo econômico imediato</w:t>
      </w:r>
      <w:r w:rsidR="000B3E7C">
        <w:t>, de forma que</w:t>
      </w:r>
      <w:r w:rsidR="00EA7D12">
        <w:t xml:space="preserve"> </w:t>
      </w:r>
      <w:r w:rsidR="00EE5009">
        <w:t xml:space="preserve">representa uma </w:t>
      </w:r>
      <w:r w:rsidR="00EE5009" w:rsidRPr="00E1248B">
        <w:rPr>
          <w:i/>
        </w:rPr>
        <w:t>temeridade</w:t>
      </w:r>
      <w:r w:rsidR="00EE5009">
        <w:t xml:space="preserve"> </w:t>
      </w:r>
      <w:r w:rsidR="00EA7D12">
        <w:t xml:space="preserve">presumir-se </w:t>
      </w:r>
      <w:r w:rsidR="000B3E7C">
        <w:t>a validade d</w:t>
      </w:r>
      <w:r w:rsidR="00EA7D12">
        <w:t xml:space="preserve">a intimação do devedor </w:t>
      </w:r>
      <w:r w:rsidR="006D7A23">
        <w:t>da tutela específica</w:t>
      </w:r>
      <w:r w:rsidR="006E5748">
        <w:t xml:space="preserve"> na forma preconizada pelo CPC/2015</w:t>
      </w:r>
      <w:r w:rsidR="00EA7D12">
        <w:t>.</w:t>
      </w:r>
    </w:p>
    <w:p w14:paraId="62C98F79" w14:textId="1F5883EF" w:rsidR="002A6A57" w:rsidRDefault="005A2AF8" w:rsidP="00217B3B">
      <w:pPr>
        <w:ind w:firstLine="0"/>
      </w:pPr>
      <w:r>
        <w:t xml:space="preserve">A liberdade do </w:t>
      </w:r>
      <w:r w:rsidR="00EE5009">
        <w:t xml:space="preserve">legislador </w:t>
      </w:r>
      <w:r>
        <w:t xml:space="preserve">na </w:t>
      </w:r>
      <w:r w:rsidR="00EE5009">
        <w:t xml:space="preserve">edição da lei </w:t>
      </w:r>
      <w:r>
        <w:t>não pode ir de encontro à natureza das coisas</w:t>
      </w:r>
      <w:r w:rsidR="00EE5009">
        <w:t xml:space="preserve"> nem atentar contra a unidade do sistema jurídico</w:t>
      </w:r>
      <w:r>
        <w:t>.</w:t>
      </w:r>
      <w:r w:rsidR="002A6A57">
        <w:t xml:space="preserve"> Se</w:t>
      </w:r>
      <w:r w:rsidR="00A57225">
        <w:t>ndo</w:t>
      </w:r>
      <w:r w:rsidR="002A6A57">
        <w:t xml:space="preserve"> </w:t>
      </w:r>
      <w:r w:rsidR="001D5777">
        <w:t>a</w:t>
      </w:r>
      <w:r w:rsidR="002A6A57" w:rsidRPr="001D5777">
        <w:t xml:space="preserve"> função das </w:t>
      </w:r>
      <w:r w:rsidR="002A6A57" w:rsidRPr="0082630E">
        <w:rPr>
          <w:i/>
        </w:rPr>
        <w:t>astreintes</w:t>
      </w:r>
      <w:r w:rsidR="002A6A57" w:rsidRPr="001D5777">
        <w:t xml:space="preserve"> vencer a </w:t>
      </w:r>
      <w:r w:rsidR="002A6A57" w:rsidRPr="001D5777">
        <w:lastRenderedPageBreak/>
        <w:t>obstinação do devedor</w:t>
      </w:r>
      <w:r w:rsidR="001D5777" w:rsidRPr="00D36796">
        <w:rPr>
          <w:rStyle w:val="Refdenotaderodap"/>
        </w:rPr>
        <w:footnoteReference w:id="34"/>
      </w:r>
      <w:r w:rsidR="0082630E">
        <w:t>,</w:t>
      </w:r>
      <w:r w:rsidR="002A6A57" w:rsidRPr="00D36796">
        <w:t xml:space="preserve"> </w:t>
      </w:r>
      <w:r w:rsidR="001D5777">
        <w:t>e se as consequ</w:t>
      </w:r>
      <w:r w:rsidR="001D5777" w:rsidRPr="00C96659">
        <w:t xml:space="preserve">ências cíveis e penais do descumprimento das decisões mandamentais exigem </w:t>
      </w:r>
      <w:r w:rsidR="001D5777" w:rsidRPr="00E1248B">
        <w:rPr>
          <w:i/>
        </w:rPr>
        <w:t>segurança</w:t>
      </w:r>
      <w:r w:rsidR="007748C8" w:rsidRPr="00E1248B">
        <w:rPr>
          <w:i/>
        </w:rPr>
        <w:t xml:space="preserve"> na comunicação d</w:t>
      </w:r>
      <w:r w:rsidR="0082630E">
        <w:rPr>
          <w:i/>
        </w:rPr>
        <w:t>el</w:t>
      </w:r>
      <w:r w:rsidR="007748C8" w:rsidRPr="00E1248B">
        <w:rPr>
          <w:i/>
        </w:rPr>
        <w:t>a</w:t>
      </w:r>
      <w:r w:rsidR="0082630E">
        <w:rPr>
          <w:i/>
        </w:rPr>
        <w:t>s</w:t>
      </w:r>
      <w:r w:rsidR="007748C8">
        <w:t xml:space="preserve">, torna-se natural e imperiosa, dentro do Estado </w:t>
      </w:r>
      <w:r w:rsidR="00A57225">
        <w:t xml:space="preserve">Constitucional e Democrático </w:t>
      </w:r>
      <w:r w:rsidR="007748C8">
        <w:t xml:space="preserve">de Direito, </w:t>
      </w:r>
      <w:r w:rsidR="001D5777" w:rsidRPr="00C96659">
        <w:t xml:space="preserve">a necessidade de </w:t>
      </w:r>
      <w:r w:rsidR="001D5777" w:rsidRPr="00C96659">
        <w:rPr>
          <w:rStyle w:val="highlightbrs"/>
          <w:bCs/>
        </w:rPr>
        <w:t>intimação pessoal</w:t>
      </w:r>
      <w:r w:rsidR="007748C8">
        <w:rPr>
          <w:rStyle w:val="highlightbrs"/>
          <w:bCs/>
        </w:rPr>
        <w:t xml:space="preserve"> do executado</w:t>
      </w:r>
      <w:r w:rsidR="001607E9">
        <w:rPr>
          <w:rStyle w:val="highlightbrs"/>
          <w:bCs/>
        </w:rPr>
        <w:t>.</w:t>
      </w:r>
    </w:p>
    <w:p w14:paraId="3C4B63F2" w14:textId="77777777" w:rsidR="00D95F0C" w:rsidRDefault="00D95F0C" w:rsidP="00217B3B">
      <w:pPr>
        <w:ind w:firstLine="0"/>
      </w:pPr>
    </w:p>
    <w:p w14:paraId="26FC85B4" w14:textId="51E72873" w:rsidR="005055A0" w:rsidRPr="00671F72" w:rsidRDefault="00836380" w:rsidP="00217B3B">
      <w:pPr>
        <w:ind w:firstLine="0"/>
        <w:rPr>
          <w:b/>
          <w:sz w:val="28"/>
          <w:szCs w:val="28"/>
        </w:rPr>
      </w:pPr>
      <w:r w:rsidRPr="00671F72">
        <w:rPr>
          <w:b/>
          <w:sz w:val="28"/>
          <w:szCs w:val="28"/>
        </w:rPr>
        <w:t>8</w:t>
      </w:r>
      <w:r w:rsidR="00D36796" w:rsidRPr="00671F72">
        <w:rPr>
          <w:b/>
          <w:sz w:val="28"/>
          <w:szCs w:val="28"/>
        </w:rPr>
        <w:t>.</w:t>
      </w:r>
      <w:r w:rsidR="00D95F0C" w:rsidRPr="00671F72">
        <w:rPr>
          <w:b/>
          <w:sz w:val="28"/>
          <w:szCs w:val="28"/>
        </w:rPr>
        <w:t xml:space="preserve"> </w:t>
      </w:r>
      <w:r w:rsidR="005055A0" w:rsidRPr="00671F72">
        <w:rPr>
          <w:b/>
          <w:sz w:val="28"/>
          <w:szCs w:val="28"/>
        </w:rPr>
        <w:t>As atribuições do advogado</w:t>
      </w:r>
    </w:p>
    <w:p w14:paraId="7939FB57" w14:textId="77777777" w:rsidR="001607E9" w:rsidRDefault="001607E9" w:rsidP="00217B3B">
      <w:pPr>
        <w:ind w:firstLine="0"/>
      </w:pPr>
    </w:p>
    <w:p w14:paraId="1F886E04" w14:textId="21CA23FE" w:rsidR="00862031" w:rsidRDefault="000765C0" w:rsidP="00217B3B">
      <w:pPr>
        <w:ind w:firstLine="0"/>
      </w:pPr>
      <w:r>
        <w:t>Há uma acentuada tendê</w:t>
      </w:r>
      <w:r w:rsidR="00711619">
        <w:t xml:space="preserve">ncia do legislador, </w:t>
      </w:r>
      <w:r w:rsidR="000F68D4">
        <w:t xml:space="preserve">proporcional ao </w:t>
      </w:r>
      <w:r w:rsidR="00711619">
        <w:t xml:space="preserve">desenvolvimento </w:t>
      </w:r>
      <w:r w:rsidR="00711619" w:rsidRPr="0098025F">
        <w:t xml:space="preserve">da sociedade </w:t>
      </w:r>
      <w:r w:rsidR="0098025F">
        <w:t>n</w:t>
      </w:r>
      <w:r w:rsidR="00711619" w:rsidRPr="0098025F">
        <w:t>a qual está</w:t>
      </w:r>
      <w:r w:rsidR="00711619">
        <w:t xml:space="preserve"> inserido, de liber</w:t>
      </w:r>
      <w:r w:rsidR="000F68D4">
        <w:t>t</w:t>
      </w:r>
      <w:r w:rsidR="00711619">
        <w:t>ar</w:t>
      </w:r>
      <w:r>
        <w:t xml:space="preserve"> o órgão judicante do caráter formal do processo</w:t>
      </w:r>
      <w:r>
        <w:rPr>
          <w:rStyle w:val="Refdenotaderodap"/>
        </w:rPr>
        <w:footnoteReference w:id="35"/>
      </w:r>
      <w:r w:rsidR="00A71842">
        <w:t>.</w:t>
      </w:r>
      <w:r w:rsidR="00EF6803">
        <w:t xml:space="preserve"> </w:t>
      </w:r>
      <w:r w:rsidR="000F68D4">
        <w:t xml:space="preserve">A lei vem </w:t>
      </w:r>
      <w:r w:rsidR="001151A0">
        <w:t>trans</w:t>
      </w:r>
      <w:r w:rsidR="000F68D4">
        <w:t>ferindo</w:t>
      </w:r>
      <w:r w:rsidR="00EF6803">
        <w:t>,</w:t>
      </w:r>
      <w:r w:rsidR="001151A0">
        <w:t xml:space="preserve"> </w:t>
      </w:r>
      <w:r w:rsidR="00EF6803">
        <w:t xml:space="preserve">por falta de infraestrutura, atribuições atinentes </w:t>
      </w:r>
      <w:r w:rsidR="001151A0">
        <w:t xml:space="preserve">à função judicante </w:t>
      </w:r>
      <w:r w:rsidR="008A6778">
        <w:t xml:space="preserve">para o advogado da parte, </w:t>
      </w:r>
      <w:r w:rsidR="00EF6803">
        <w:t xml:space="preserve">quando este </w:t>
      </w:r>
      <w:r w:rsidR="00903464">
        <w:t xml:space="preserve">está vinculado somente à atividade </w:t>
      </w:r>
      <w:r w:rsidR="008A6778" w:rsidRPr="009F5745">
        <w:rPr>
          <w:i/>
        </w:rPr>
        <w:t>postulatória</w:t>
      </w:r>
      <w:r w:rsidR="00060DEF">
        <w:t xml:space="preserve"> (</w:t>
      </w:r>
      <w:r w:rsidR="00EF6803">
        <w:t>arts.</w:t>
      </w:r>
      <w:r w:rsidR="00060DEF">
        <w:t xml:space="preserve"> 1º e 2º, II</w:t>
      </w:r>
      <w:r w:rsidR="0082630E">
        <w:t>, do EAOB</w:t>
      </w:r>
      <w:r w:rsidR="009E1E6A">
        <w:t xml:space="preserve"> c/c </w:t>
      </w:r>
      <w:r w:rsidR="0082630E">
        <w:t xml:space="preserve">art. </w:t>
      </w:r>
      <w:r w:rsidR="009E1E6A">
        <w:t>36</w:t>
      </w:r>
      <w:r w:rsidR="0082630E">
        <w:t xml:space="preserve"> do CPC</w:t>
      </w:r>
      <w:r w:rsidR="009E1E6A">
        <w:t>)</w:t>
      </w:r>
      <w:r w:rsidR="001607E9">
        <w:t>.</w:t>
      </w:r>
    </w:p>
    <w:p w14:paraId="4FF14B18" w14:textId="09AFD2D0" w:rsidR="003056C2" w:rsidRDefault="00DC2951" w:rsidP="00217B3B">
      <w:pPr>
        <w:ind w:firstLine="0"/>
      </w:pPr>
      <w:r>
        <w:t>Como decorrência do mandato, o</w:t>
      </w:r>
      <w:r w:rsidR="003056C2">
        <w:t xml:space="preserve"> causídico </w:t>
      </w:r>
      <w:r w:rsidR="00316D33">
        <w:t xml:space="preserve">deve ser </w:t>
      </w:r>
      <w:r w:rsidR="003056C2">
        <w:t xml:space="preserve">intimado </w:t>
      </w:r>
      <w:r w:rsidR="005F225C">
        <w:t xml:space="preserve">das decisões judiciais que </w:t>
      </w:r>
      <w:r w:rsidR="00316D33">
        <w:t xml:space="preserve">possam </w:t>
      </w:r>
      <w:r w:rsidR="003056C2">
        <w:t>conduzir ao trânsito em julgado da sentença</w:t>
      </w:r>
      <w:r w:rsidR="005F225C">
        <w:t xml:space="preserve"> </w:t>
      </w:r>
      <w:r w:rsidR="00E60241">
        <w:t xml:space="preserve">ou dos atos </w:t>
      </w:r>
      <w:r w:rsidR="00711619">
        <w:t xml:space="preserve">que </w:t>
      </w:r>
      <w:r>
        <w:t xml:space="preserve">possam interferir </w:t>
      </w:r>
      <w:r w:rsidR="00711619">
        <w:t xml:space="preserve">no desempenho da </w:t>
      </w:r>
      <w:r w:rsidR="003056C2" w:rsidRPr="0082630E">
        <w:t xml:space="preserve">cláusula </w:t>
      </w:r>
      <w:r w:rsidR="003056C2" w:rsidRPr="003056C2">
        <w:rPr>
          <w:i/>
          <w:lang w:val="lv-LV"/>
        </w:rPr>
        <w:t>ad judicia</w:t>
      </w:r>
      <w:r w:rsidR="001607E9">
        <w:t>.</w:t>
      </w:r>
    </w:p>
    <w:p w14:paraId="5CD862CD" w14:textId="7B301882" w:rsidR="002B5192" w:rsidRDefault="001865A1" w:rsidP="00217B3B">
      <w:pPr>
        <w:ind w:firstLine="0"/>
      </w:pPr>
      <w:r>
        <w:t xml:space="preserve">A intimação da parte na pessoa do advogado – com presunção relativa de validade –  </w:t>
      </w:r>
      <w:r w:rsidR="00200DEA">
        <w:t xml:space="preserve">converte </w:t>
      </w:r>
      <w:r w:rsidR="006D002F">
        <w:t>o advogado em mero servo do Pod</w:t>
      </w:r>
      <w:r w:rsidR="008A2240">
        <w:t xml:space="preserve">er Judiciário, tornando-o responsável </w:t>
      </w:r>
      <w:r w:rsidR="00DC2951">
        <w:t xml:space="preserve">por supostas </w:t>
      </w:r>
      <w:r w:rsidR="006D002F">
        <w:t xml:space="preserve">perdas e danos </w:t>
      </w:r>
      <w:r w:rsidR="00D132FB">
        <w:t>advind</w:t>
      </w:r>
      <w:r w:rsidR="00A74B05">
        <w:t>o</w:t>
      </w:r>
      <w:r w:rsidR="00D132FB">
        <w:t xml:space="preserve">s do </w:t>
      </w:r>
      <w:r w:rsidR="006D002F">
        <w:t xml:space="preserve">descumprimento desse </w:t>
      </w:r>
      <w:r w:rsidR="00DC2951">
        <w:t>mister</w:t>
      </w:r>
      <w:r w:rsidR="001607E9">
        <w:t>.</w:t>
      </w:r>
    </w:p>
    <w:p w14:paraId="305BA1BA" w14:textId="77777777" w:rsidR="006D002F" w:rsidRDefault="006D002F" w:rsidP="00217B3B">
      <w:pPr>
        <w:ind w:firstLine="0"/>
      </w:pPr>
    </w:p>
    <w:p w14:paraId="46581E82" w14:textId="142CAA91" w:rsidR="009E1E6A" w:rsidRPr="00A71842" w:rsidRDefault="00836380" w:rsidP="00217B3B">
      <w:pPr>
        <w:ind w:firstLine="0"/>
        <w:rPr>
          <w:b/>
          <w:sz w:val="28"/>
          <w:szCs w:val="28"/>
        </w:rPr>
      </w:pPr>
      <w:r w:rsidRPr="00A71842">
        <w:rPr>
          <w:b/>
          <w:sz w:val="28"/>
          <w:szCs w:val="28"/>
        </w:rPr>
        <w:t>9</w:t>
      </w:r>
      <w:r w:rsidR="00D95F0C" w:rsidRPr="00A71842">
        <w:rPr>
          <w:b/>
          <w:sz w:val="28"/>
          <w:szCs w:val="28"/>
        </w:rPr>
        <w:t xml:space="preserve">. </w:t>
      </w:r>
      <w:r w:rsidR="00DB4A39" w:rsidRPr="00A71842">
        <w:rPr>
          <w:b/>
          <w:sz w:val="28"/>
          <w:szCs w:val="28"/>
        </w:rPr>
        <w:t>Considerações finais</w:t>
      </w:r>
    </w:p>
    <w:p w14:paraId="3D973512" w14:textId="77777777" w:rsidR="00017CA8" w:rsidRDefault="00017CA8" w:rsidP="00217B3B">
      <w:pPr>
        <w:ind w:firstLine="0"/>
      </w:pPr>
    </w:p>
    <w:p w14:paraId="0FE65FA5" w14:textId="579C3800" w:rsidR="004F4B8B" w:rsidRDefault="004F4B8B" w:rsidP="00217B3B">
      <w:pPr>
        <w:ind w:firstLine="0"/>
      </w:pPr>
      <w:r>
        <w:t>A uniformização e a simplificação do procedimento não justifica</w:t>
      </w:r>
      <w:r w:rsidR="00671F72">
        <w:t>m</w:t>
      </w:r>
      <w:r>
        <w:t xml:space="preserve"> o atropelo das garantias constitucionais do devido processo legal, onde se amolda o direito do devedor de ser devidamente comunicado dos atos processuais que lhe são desfavoráveis e que dependem da realização de atos personalíssimos. O cuidado na comunicação deve ser ainda maior quando graves danos</w:t>
      </w:r>
      <w:r w:rsidR="007F3DB5">
        <w:t xml:space="preserve"> </w:t>
      </w:r>
      <w:r>
        <w:t>podem ser originados desse descumprimento.</w:t>
      </w:r>
    </w:p>
    <w:p w14:paraId="13EFF631" w14:textId="7F29348D" w:rsidR="004F4B8B" w:rsidRDefault="004F4B8B" w:rsidP="00217B3B">
      <w:pPr>
        <w:ind w:firstLine="0"/>
      </w:pPr>
      <w:r>
        <w:t>Lembramos, mais uma vez, que o processo não é um fim em si mesmo e somente se justifica na obediência estrita aos direitos e garantias processuais de um processo devido. Para que ocorra a efetiva entrega da prestação jurisdicional</w:t>
      </w:r>
      <w:r w:rsidR="007F3DB5">
        <w:t xml:space="preserve"> urge</w:t>
      </w:r>
      <w:r>
        <w:t xml:space="preserve"> como razão de validade e até mesmo de existência, que haja um processo com perfeita consonância a esse plexo normativo constitucional.</w:t>
      </w:r>
    </w:p>
    <w:p w14:paraId="10F69AF4" w14:textId="6AD1F2D7" w:rsidR="00D53DEA" w:rsidRPr="00D36796" w:rsidRDefault="00947D34" w:rsidP="00217B3B">
      <w:pPr>
        <w:ind w:firstLine="0"/>
      </w:pPr>
      <w:r>
        <w:lastRenderedPageBreak/>
        <w:t xml:space="preserve">O espírito que norteou a </w:t>
      </w:r>
      <w:r w:rsidR="00385B8D">
        <w:t xml:space="preserve">alteração legislativa </w:t>
      </w:r>
      <w:r>
        <w:t>foi inegavelmen</w:t>
      </w:r>
      <w:r w:rsidR="00385B8D">
        <w:t>te a efetividade da jurisdição</w:t>
      </w:r>
      <w:r w:rsidR="005936ED">
        <w:t>.</w:t>
      </w:r>
      <w:r w:rsidR="00385B8D">
        <w:t xml:space="preserve"> Mas s</w:t>
      </w:r>
      <w:r w:rsidR="00AD65C9">
        <w:t xml:space="preserve">omente podemos conceber uma legítima modificação </w:t>
      </w:r>
      <w:r w:rsidR="007F3DB5">
        <w:t xml:space="preserve">em nome da efetividade </w:t>
      </w:r>
      <w:r w:rsidR="008B1011">
        <w:t xml:space="preserve">que também se justifique no </w:t>
      </w:r>
      <w:r w:rsidR="00AD65C9">
        <w:t>dogma da segurança</w:t>
      </w:r>
      <w:r w:rsidR="00D57D2B">
        <w:t xml:space="preserve"> jurídica</w:t>
      </w:r>
      <w:r w:rsidR="00AD65C9">
        <w:t>.</w:t>
      </w:r>
      <w:r w:rsidR="00385B8D">
        <w:t xml:space="preserve"> </w:t>
      </w:r>
      <w:r w:rsidR="007330C4">
        <w:t xml:space="preserve">A imbricação desses dois </w:t>
      </w:r>
      <w:r w:rsidR="00D57D2B">
        <w:t>princípios fundamentais do processo civil</w:t>
      </w:r>
      <w:r w:rsidR="00385B8D">
        <w:t xml:space="preserve"> </w:t>
      </w:r>
      <w:r w:rsidR="007330C4">
        <w:t>constitui um verdadeiro paradoxo.</w:t>
      </w:r>
    </w:p>
    <w:p w14:paraId="6B6A1287" w14:textId="48CD5484" w:rsidR="00F922B1" w:rsidRDefault="00204BE6" w:rsidP="00217B3B">
      <w:pPr>
        <w:ind w:firstLine="0"/>
      </w:pPr>
      <w:r>
        <w:t>Todos desejamos um processo civil mais efetivo, de resultados mais concretos, que chegue o mais perto possível da integralidade do direito usurp</w:t>
      </w:r>
      <w:r w:rsidR="001607E9">
        <w:t>ado, judicialmente reconhecido.</w:t>
      </w:r>
    </w:p>
    <w:p w14:paraId="5F55A938" w14:textId="158C1D6A" w:rsidR="00544059" w:rsidRDefault="00204BE6" w:rsidP="00217B3B">
      <w:pPr>
        <w:ind w:firstLine="0"/>
      </w:pPr>
      <w:r>
        <w:t xml:space="preserve">É claro que </w:t>
      </w:r>
      <w:r w:rsidR="00544059">
        <w:t xml:space="preserve">a </w:t>
      </w:r>
      <w:r>
        <w:t>possibilidade de intimação da parte na figura do advogado facili</w:t>
      </w:r>
      <w:r w:rsidR="00544059">
        <w:t>ta</w:t>
      </w:r>
      <w:r w:rsidR="00C74B62">
        <w:t xml:space="preserve">ria </w:t>
      </w:r>
      <w:r w:rsidR="00544059">
        <w:t xml:space="preserve">o trabalho do Judiciário, indo ao encontro de uma maior concretude da relação jurídico processual. Todavia, essa </w:t>
      </w:r>
      <w:r w:rsidR="007500AF">
        <w:t xml:space="preserve">medida </w:t>
      </w:r>
      <w:r w:rsidR="00544059">
        <w:t xml:space="preserve">não encontra amparo </w:t>
      </w:r>
      <w:r w:rsidR="00C974D0">
        <w:t xml:space="preserve">na unidade das normas componentes do processo civil, </w:t>
      </w:r>
      <w:r w:rsidR="00F913A3">
        <w:t xml:space="preserve">configurando </w:t>
      </w:r>
      <w:r w:rsidR="00C974D0">
        <w:t>desrespeit</w:t>
      </w:r>
      <w:r w:rsidR="00F913A3">
        <w:t>o à</w:t>
      </w:r>
      <w:r w:rsidR="00C974D0">
        <w:t xml:space="preserve">s diferenças de regime jurídico entre </w:t>
      </w:r>
      <w:r w:rsidR="00F913A3">
        <w:t>tais espécies</w:t>
      </w:r>
      <w:r w:rsidR="00D36796">
        <w:t>.</w:t>
      </w:r>
    </w:p>
    <w:p w14:paraId="4CF11B1A" w14:textId="6DA9D31C" w:rsidR="00544059" w:rsidRDefault="00544059" w:rsidP="00217B3B">
      <w:pPr>
        <w:ind w:firstLine="0"/>
      </w:pPr>
      <w:r>
        <w:t xml:space="preserve">Devemos encontrar saídas para as mazelas </w:t>
      </w:r>
      <w:r w:rsidR="007F3DB5">
        <w:t xml:space="preserve">do </w:t>
      </w:r>
      <w:r>
        <w:t xml:space="preserve">Judiciário sim, mas sem </w:t>
      </w:r>
      <w:r w:rsidR="00B1439B">
        <w:t xml:space="preserve">solapamento </w:t>
      </w:r>
      <w:r>
        <w:t>das garantias constitucionais.</w:t>
      </w:r>
      <w:r w:rsidR="00C974D0">
        <w:t xml:space="preserve"> S</w:t>
      </w:r>
      <w:r>
        <w:t xml:space="preserve">e a decisão judicial é mandamental, possuindo severas consequências </w:t>
      </w:r>
      <w:r w:rsidR="00C974D0">
        <w:t xml:space="preserve">advindas do </w:t>
      </w:r>
      <w:r>
        <w:t xml:space="preserve">descumprimento, é prudente, salutar e irrefutável que o devedor seja </w:t>
      </w:r>
      <w:r w:rsidR="001607E9">
        <w:t>pessoal e previamente intimado.</w:t>
      </w:r>
    </w:p>
    <w:p w14:paraId="7B685C54" w14:textId="6DA9E677" w:rsidR="001838DD" w:rsidRDefault="00CC1121" w:rsidP="00217B3B">
      <w:pPr>
        <w:ind w:firstLine="0"/>
      </w:pPr>
      <w:r>
        <w:t xml:space="preserve">Esse encargo não pode ser transferido ao </w:t>
      </w:r>
      <w:r w:rsidR="00544059">
        <w:t xml:space="preserve">advogado, </w:t>
      </w:r>
      <w:r>
        <w:t xml:space="preserve">quando suas </w:t>
      </w:r>
      <w:r w:rsidR="00544059">
        <w:t>atribuições estão muito bem solidificadas no ordenamento jurídico.</w:t>
      </w:r>
      <w:r>
        <w:t xml:space="preserve"> </w:t>
      </w:r>
    </w:p>
    <w:p w14:paraId="6DAAECB0" w14:textId="2748A2F1" w:rsidR="001838DD" w:rsidRDefault="00050148" w:rsidP="00217B3B">
      <w:pPr>
        <w:ind w:firstLine="0"/>
      </w:pPr>
      <w:r>
        <w:t xml:space="preserve">Destarte, </w:t>
      </w:r>
      <w:r w:rsidR="001838DD">
        <w:t xml:space="preserve">nenhum argumento jurídico sólido há que justifique o abandono do entendimento manifestado na Súmula </w:t>
      </w:r>
      <w:r w:rsidR="00D36796">
        <w:t xml:space="preserve">n. </w:t>
      </w:r>
      <w:r w:rsidR="001838DD">
        <w:t xml:space="preserve">410 do STJ que, repita-se, é fruto de uma </w:t>
      </w:r>
      <w:r w:rsidR="002612C9">
        <w:t xml:space="preserve">firme </w:t>
      </w:r>
      <w:r w:rsidR="001838DD">
        <w:t>construção pretoriana</w:t>
      </w:r>
      <w:r>
        <w:t xml:space="preserve">, encontrando consonância com a </w:t>
      </w:r>
      <w:r w:rsidR="00CC1121">
        <w:t>nova ordem processual civil</w:t>
      </w:r>
      <w:r w:rsidR="001838DD">
        <w:t>.</w:t>
      </w:r>
    </w:p>
    <w:p w14:paraId="0B28F1FB" w14:textId="77777777" w:rsidR="00C9187A" w:rsidRPr="007B083D" w:rsidRDefault="00C9187A" w:rsidP="00217B3B">
      <w:pPr>
        <w:ind w:firstLine="0"/>
      </w:pPr>
    </w:p>
    <w:p w14:paraId="2AC666BA" w14:textId="2593ADEE" w:rsidR="00C9187A" w:rsidRPr="00D36796" w:rsidRDefault="00E05A53" w:rsidP="00D36796">
      <w:pPr>
        <w:ind w:firstLine="0"/>
        <w:rPr>
          <w:b/>
          <w:sz w:val="28"/>
          <w:szCs w:val="28"/>
        </w:rPr>
      </w:pPr>
      <w:r w:rsidRPr="00D36796">
        <w:rPr>
          <w:b/>
          <w:sz w:val="28"/>
          <w:szCs w:val="28"/>
        </w:rPr>
        <w:t>10</w:t>
      </w:r>
      <w:r w:rsidR="00671F72">
        <w:rPr>
          <w:b/>
          <w:sz w:val="28"/>
          <w:szCs w:val="28"/>
        </w:rPr>
        <w:t>.</w:t>
      </w:r>
      <w:r w:rsidRPr="00D36796">
        <w:rPr>
          <w:b/>
          <w:sz w:val="28"/>
          <w:szCs w:val="28"/>
        </w:rPr>
        <w:t xml:space="preserve"> </w:t>
      </w:r>
      <w:r w:rsidR="00C9187A" w:rsidRPr="00D36796">
        <w:rPr>
          <w:b/>
          <w:sz w:val="28"/>
          <w:szCs w:val="28"/>
        </w:rPr>
        <w:t>Referências</w:t>
      </w:r>
    </w:p>
    <w:p w14:paraId="71BC8F16" w14:textId="77777777" w:rsidR="00D36796" w:rsidRDefault="00D36796" w:rsidP="00D36796"/>
    <w:p w14:paraId="39E196C3" w14:textId="184188D2" w:rsidR="00DD6A9E" w:rsidRPr="00B677DA" w:rsidRDefault="00DD6A9E" w:rsidP="0059674F">
      <w:pPr>
        <w:ind w:firstLine="0"/>
        <w:rPr>
          <w:color w:val="FF0000"/>
        </w:rPr>
      </w:pPr>
      <w:r w:rsidRPr="00B677DA">
        <w:rPr>
          <w:color w:val="FF0000"/>
        </w:rPr>
        <w:t xml:space="preserve">ÁVILA, Humberto. </w:t>
      </w:r>
      <w:r w:rsidRPr="00B677DA">
        <w:rPr>
          <w:i/>
          <w:color w:val="FF0000"/>
        </w:rPr>
        <w:t>Teoria da segurança jurídica</w:t>
      </w:r>
      <w:r w:rsidR="006A0DC7" w:rsidRPr="00B677DA">
        <w:rPr>
          <w:color w:val="FF0000"/>
        </w:rPr>
        <w:t xml:space="preserve">. 3. ed. rev., atual. e ampl. </w:t>
      </w:r>
      <w:r w:rsidRPr="00B677DA">
        <w:rPr>
          <w:color w:val="FF0000"/>
        </w:rPr>
        <w:t>São Paulo: Malheiros, 2014</w:t>
      </w:r>
      <w:r w:rsidR="006A0DC7" w:rsidRPr="00B677DA">
        <w:rPr>
          <w:color w:val="FF0000"/>
        </w:rPr>
        <w:t>.</w:t>
      </w:r>
    </w:p>
    <w:p w14:paraId="7DD3D605" w14:textId="0E97B2D7" w:rsidR="00D70117" w:rsidRPr="00B677DA" w:rsidRDefault="00366989" w:rsidP="0059674F">
      <w:pPr>
        <w:ind w:firstLine="0"/>
        <w:rPr>
          <w:color w:val="FF0000"/>
        </w:rPr>
      </w:pPr>
      <w:r w:rsidRPr="00B677DA">
        <w:rPr>
          <w:color w:val="FF0000"/>
        </w:rPr>
        <w:t>BALZANO, Felice. A Súm</w:t>
      </w:r>
      <w:r w:rsidR="006A0DC7" w:rsidRPr="00B677DA">
        <w:rPr>
          <w:color w:val="FF0000"/>
        </w:rPr>
        <w:t>ula 410 e a incoerência do STJ:</w:t>
      </w:r>
      <w:r w:rsidRPr="00B677DA">
        <w:rPr>
          <w:color w:val="FF0000"/>
        </w:rPr>
        <w:t xml:space="preserve"> uma tentativa de se atropelar o devido processo legal. </w:t>
      </w:r>
      <w:r w:rsidR="006A0DC7" w:rsidRPr="00B677DA">
        <w:rPr>
          <w:i/>
          <w:color w:val="FF0000"/>
        </w:rPr>
        <w:t>Revista de Processo</w:t>
      </w:r>
      <w:r w:rsidR="006A0DC7" w:rsidRPr="00B677DA">
        <w:rPr>
          <w:color w:val="FF0000"/>
        </w:rPr>
        <w:t>, São Paulo, Revista dos Tribunais, v. 39, n. 231, p. 255-28</w:t>
      </w:r>
      <w:r w:rsidR="00A53011" w:rsidRPr="00B677DA">
        <w:rPr>
          <w:color w:val="FF0000"/>
        </w:rPr>
        <w:t>5</w:t>
      </w:r>
      <w:r w:rsidR="006A0DC7" w:rsidRPr="00B677DA">
        <w:rPr>
          <w:color w:val="FF0000"/>
        </w:rPr>
        <w:t>, maio 2014.</w:t>
      </w:r>
    </w:p>
    <w:p w14:paraId="38FDEF9B" w14:textId="2364215A" w:rsidR="00366989" w:rsidRPr="00A06D49" w:rsidRDefault="00DD6A9E" w:rsidP="0059674F">
      <w:pPr>
        <w:ind w:firstLine="0"/>
        <w:rPr>
          <w:color w:val="FF0000"/>
        </w:rPr>
      </w:pPr>
      <w:r w:rsidRPr="00A06D49">
        <w:rPr>
          <w:color w:val="FF0000"/>
        </w:rPr>
        <w:t xml:space="preserve">BUENO, Cassio Scarpinella. </w:t>
      </w:r>
      <w:r w:rsidRPr="00A06D49">
        <w:rPr>
          <w:i/>
          <w:color w:val="FF0000"/>
        </w:rPr>
        <w:t>Manual de direito processual civil</w:t>
      </w:r>
      <w:r w:rsidRPr="00A06D49">
        <w:rPr>
          <w:color w:val="FF0000"/>
        </w:rPr>
        <w:t xml:space="preserve">: inteiramente estruturado à luz do novo CPC, de acordo com a Lei </w:t>
      </w:r>
      <w:r w:rsidR="00433094" w:rsidRPr="00A06D49">
        <w:rPr>
          <w:color w:val="FF0000"/>
        </w:rPr>
        <w:t>n. 13.256, de 4.2.</w:t>
      </w:r>
      <w:r w:rsidRPr="00A06D49">
        <w:rPr>
          <w:color w:val="FF0000"/>
        </w:rPr>
        <w:t xml:space="preserve">2016. </w:t>
      </w:r>
      <w:r w:rsidR="006A0DC7" w:rsidRPr="00A06D49">
        <w:rPr>
          <w:color w:val="FF0000"/>
        </w:rPr>
        <w:t xml:space="preserve">2. ed. rev., atual. e ampl. </w:t>
      </w:r>
      <w:r w:rsidRPr="00A06D49">
        <w:rPr>
          <w:color w:val="FF0000"/>
        </w:rPr>
        <w:t>São Paulo: Saraiva, 2016</w:t>
      </w:r>
      <w:r w:rsidR="006A0DC7" w:rsidRPr="00A06D49">
        <w:rPr>
          <w:color w:val="FF0000"/>
        </w:rPr>
        <w:t>.</w:t>
      </w:r>
    </w:p>
    <w:p w14:paraId="0529B79D" w14:textId="45B6E282" w:rsidR="00003908" w:rsidRPr="00B677DA" w:rsidRDefault="00003908" w:rsidP="0059674F">
      <w:pPr>
        <w:ind w:firstLine="0"/>
        <w:rPr>
          <w:color w:val="FF0000"/>
        </w:rPr>
      </w:pPr>
      <w:r w:rsidRPr="00B677DA">
        <w:rPr>
          <w:color w:val="FF0000"/>
        </w:rPr>
        <w:t>FERRAZ J</w:t>
      </w:r>
      <w:r w:rsidR="00FE41C1" w:rsidRPr="00B677DA">
        <w:rPr>
          <w:color w:val="FF0000"/>
        </w:rPr>
        <w:t>UNIO</w:t>
      </w:r>
      <w:r w:rsidRPr="00B677DA">
        <w:rPr>
          <w:color w:val="FF0000"/>
        </w:rPr>
        <w:t xml:space="preserve">R, Tercio Sampaio. </w:t>
      </w:r>
      <w:r w:rsidRPr="00B677DA">
        <w:rPr>
          <w:i/>
          <w:color w:val="FF0000"/>
        </w:rPr>
        <w:t>Introdução ao estudo do direito</w:t>
      </w:r>
      <w:r w:rsidRPr="00B677DA">
        <w:rPr>
          <w:color w:val="FF0000"/>
        </w:rPr>
        <w:t xml:space="preserve">. </w:t>
      </w:r>
      <w:r w:rsidR="00FE41C1" w:rsidRPr="00B677DA">
        <w:rPr>
          <w:color w:val="FF0000"/>
        </w:rPr>
        <w:t xml:space="preserve">5. ed. rev. e ampl. </w:t>
      </w:r>
      <w:r w:rsidRPr="00B677DA">
        <w:rPr>
          <w:color w:val="FF0000"/>
        </w:rPr>
        <w:t>São Paulo: Atlas, 2007</w:t>
      </w:r>
      <w:r w:rsidR="00FE41C1" w:rsidRPr="00B677DA">
        <w:rPr>
          <w:color w:val="FF0000"/>
        </w:rPr>
        <w:t>.</w:t>
      </w:r>
    </w:p>
    <w:p w14:paraId="3A5886EB" w14:textId="6E6429B8" w:rsidR="00366989" w:rsidRPr="00B677DA" w:rsidRDefault="00FE41C1" w:rsidP="0059674F">
      <w:pPr>
        <w:ind w:firstLine="0"/>
        <w:rPr>
          <w:color w:val="FF0000"/>
        </w:rPr>
      </w:pPr>
      <w:r w:rsidRPr="00B677DA">
        <w:rPr>
          <w:color w:val="FF0000"/>
        </w:rPr>
        <w:lastRenderedPageBreak/>
        <w:t xml:space="preserve">FERRAZ JUNIOR, Tercio Sampaio; </w:t>
      </w:r>
      <w:r w:rsidR="00003908" w:rsidRPr="00B677DA">
        <w:rPr>
          <w:color w:val="FF0000"/>
        </w:rPr>
        <w:t>CARRAZZA, Roque Antonio; NERY J</w:t>
      </w:r>
      <w:r w:rsidRPr="00B677DA">
        <w:rPr>
          <w:color w:val="FF0000"/>
        </w:rPr>
        <w:t>UNIO</w:t>
      </w:r>
      <w:r w:rsidR="00003908" w:rsidRPr="00B677DA">
        <w:rPr>
          <w:color w:val="FF0000"/>
        </w:rPr>
        <w:t xml:space="preserve">R, Nelson. </w:t>
      </w:r>
      <w:r w:rsidR="00003908" w:rsidRPr="00B677DA">
        <w:rPr>
          <w:i/>
          <w:color w:val="FF0000"/>
        </w:rPr>
        <w:t>Efeito ex nunc e as decisões do STJ</w:t>
      </w:r>
      <w:r w:rsidR="00003908" w:rsidRPr="00B677DA">
        <w:rPr>
          <w:color w:val="FF0000"/>
        </w:rPr>
        <w:t>. Barueri</w:t>
      </w:r>
      <w:r w:rsidRPr="00B677DA">
        <w:rPr>
          <w:color w:val="FF0000"/>
        </w:rPr>
        <w:t>, SP</w:t>
      </w:r>
      <w:r w:rsidR="00003908" w:rsidRPr="00B677DA">
        <w:rPr>
          <w:color w:val="FF0000"/>
        </w:rPr>
        <w:t>: Manole, 2008</w:t>
      </w:r>
      <w:r w:rsidRPr="00B677DA">
        <w:rPr>
          <w:color w:val="FF0000"/>
        </w:rPr>
        <w:t>.</w:t>
      </w:r>
    </w:p>
    <w:p w14:paraId="65BD1263" w14:textId="46B3FE7E" w:rsidR="00003908" w:rsidRPr="00B677DA" w:rsidRDefault="006708BC" w:rsidP="0059674F">
      <w:pPr>
        <w:ind w:firstLine="0"/>
        <w:rPr>
          <w:color w:val="FF0000"/>
        </w:rPr>
      </w:pPr>
      <w:r w:rsidRPr="00B677DA">
        <w:rPr>
          <w:color w:val="FF0000"/>
        </w:rPr>
        <w:t>______</w:t>
      </w:r>
      <w:r w:rsidR="00003908" w:rsidRPr="00B677DA">
        <w:rPr>
          <w:color w:val="FF0000"/>
        </w:rPr>
        <w:t xml:space="preserve">. </w:t>
      </w:r>
      <w:r w:rsidR="00A52AC9" w:rsidRPr="00B677DA">
        <w:rPr>
          <w:color w:val="FF0000"/>
        </w:rPr>
        <w:t xml:space="preserve">Artigos 926 a 928. In: </w:t>
      </w:r>
      <w:r w:rsidR="002179DB" w:rsidRPr="00B677DA">
        <w:rPr>
          <w:color w:val="FF0000"/>
        </w:rPr>
        <w:t>WAMBIER, Teresa Arruda Alvim et al. (Coords</w:t>
      </w:r>
      <w:r w:rsidR="002F098D" w:rsidRPr="00B677DA">
        <w:rPr>
          <w:color w:val="FF0000"/>
        </w:rPr>
        <w:t>.</w:t>
      </w:r>
      <w:r w:rsidR="002179DB" w:rsidRPr="00B677DA">
        <w:rPr>
          <w:color w:val="FF0000"/>
        </w:rPr>
        <w:t xml:space="preserve">). </w:t>
      </w:r>
      <w:r w:rsidR="00003908" w:rsidRPr="00B677DA">
        <w:rPr>
          <w:i/>
          <w:color w:val="FF0000"/>
        </w:rPr>
        <w:t xml:space="preserve">Breves comentários ao </w:t>
      </w:r>
      <w:r w:rsidR="00A52AC9" w:rsidRPr="00B677DA">
        <w:rPr>
          <w:i/>
          <w:color w:val="FF0000"/>
        </w:rPr>
        <w:t>n</w:t>
      </w:r>
      <w:r w:rsidR="00003908" w:rsidRPr="00B677DA">
        <w:rPr>
          <w:i/>
          <w:color w:val="FF0000"/>
        </w:rPr>
        <w:t>ovo Código de Processo Civil</w:t>
      </w:r>
      <w:r w:rsidR="002179DB" w:rsidRPr="00B677DA">
        <w:rPr>
          <w:color w:val="FF0000"/>
        </w:rPr>
        <w:t>.</w:t>
      </w:r>
      <w:r w:rsidR="00003908" w:rsidRPr="00B677DA">
        <w:rPr>
          <w:color w:val="FF0000"/>
        </w:rPr>
        <w:t xml:space="preserve"> São Paulo: Revista dos Tribunais, 2015</w:t>
      </w:r>
      <w:r w:rsidR="002179DB" w:rsidRPr="00B677DA">
        <w:rPr>
          <w:color w:val="FF0000"/>
        </w:rPr>
        <w:t>. p. 2.072-2.083.</w:t>
      </w:r>
    </w:p>
    <w:p w14:paraId="7F457D58" w14:textId="69983BAA" w:rsidR="00DD6A9E" w:rsidRPr="00A06D49" w:rsidRDefault="002179DB" w:rsidP="0059674F">
      <w:pPr>
        <w:ind w:firstLine="0"/>
        <w:rPr>
          <w:color w:val="FF0000"/>
        </w:rPr>
      </w:pPr>
      <w:r w:rsidRPr="00A06D49">
        <w:rPr>
          <w:color w:val="FF0000"/>
        </w:rPr>
        <w:t xml:space="preserve">MARINONI, Luiz Guilherme; </w:t>
      </w:r>
      <w:r w:rsidR="00DD6A9E" w:rsidRPr="00A06D49">
        <w:rPr>
          <w:color w:val="FF0000"/>
        </w:rPr>
        <w:t xml:space="preserve">ARENHART, Sérgio Cruz; MITIDIERO, Daniel. </w:t>
      </w:r>
      <w:r w:rsidR="00DD6A9E" w:rsidRPr="00A06D49">
        <w:rPr>
          <w:i/>
          <w:color w:val="FF0000"/>
        </w:rPr>
        <w:t xml:space="preserve">Novo Código de </w:t>
      </w:r>
      <w:r w:rsidRPr="00A06D49">
        <w:rPr>
          <w:i/>
          <w:color w:val="FF0000"/>
        </w:rPr>
        <w:t>P</w:t>
      </w:r>
      <w:r w:rsidR="00DD6A9E" w:rsidRPr="00A06D49">
        <w:rPr>
          <w:i/>
          <w:color w:val="FF0000"/>
        </w:rPr>
        <w:t xml:space="preserve">rocesso </w:t>
      </w:r>
      <w:r w:rsidRPr="00A06D49">
        <w:rPr>
          <w:i/>
          <w:color w:val="FF0000"/>
        </w:rPr>
        <w:t>C</w:t>
      </w:r>
      <w:r w:rsidR="00DD6A9E" w:rsidRPr="00A06D49">
        <w:rPr>
          <w:i/>
          <w:color w:val="FF0000"/>
        </w:rPr>
        <w:t>ivil comentado</w:t>
      </w:r>
      <w:r w:rsidR="00DD6A9E" w:rsidRPr="00A06D49">
        <w:rPr>
          <w:color w:val="FF0000"/>
        </w:rPr>
        <w:t>. São Paulo: R</w:t>
      </w:r>
      <w:r w:rsidRPr="00A06D49">
        <w:rPr>
          <w:color w:val="FF0000"/>
        </w:rPr>
        <w:t>evista dos Tribunais, 2015.</w:t>
      </w:r>
    </w:p>
    <w:p w14:paraId="713CAD3A" w14:textId="5D652014" w:rsidR="00366989" w:rsidRPr="00A06D49" w:rsidRDefault="00DD6A9E" w:rsidP="0059674F">
      <w:pPr>
        <w:ind w:firstLine="0"/>
        <w:rPr>
          <w:color w:val="FF0000"/>
        </w:rPr>
      </w:pPr>
      <w:r w:rsidRPr="00A06D49">
        <w:rPr>
          <w:color w:val="FF0000"/>
        </w:rPr>
        <w:t xml:space="preserve">MEDINA, José Miguel Garcia. </w:t>
      </w:r>
      <w:r w:rsidRPr="00A06D49">
        <w:rPr>
          <w:i/>
          <w:color w:val="FF0000"/>
        </w:rPr>
        <w:t>Novo Códig</w:t>
      </w:r>
      <w:r w:rsidR="002179DB" w:rsidRPr="00A06D49">
        <w:rPr>
          <w:i/>
          <w:color w:val="FF0000"/>
        </w:rPr>
        <w:t xml:space="preserve">o de Processo Civil </w:t>
      </w:r>
      <w:r w:rsidR="005E2B7F" w:rsidRPr="00A06D49">
        <w:rPr>
          <w:i/>
          <w:color w:val="FF0000"/>
        </w:rPr>
        <w:t>c</w:t>
      </w:r>
      <w:r w:rsidR="002179DB" w:rsidRPr="00A06D49">
        <w:rPr>
          <w:i/>
          <w:color w:val="FF0000"/>
        </w:rPr>
        <w:t>omentado</w:t>
      </w:r>
      <w:r w:rsidR="002179DB" w:rsidRPr="00A06D49">
        <w:rPr>
          <w:color w:val="FF0000"/>
        </w:rPr>
        <w:t>: c</w:t>
      </w:r>
      <w:r w:rsidRPr="00A06D49">
        <w:rPr>
          <w:color w:val="FF0000"/>
        </w:rPr>
        <w:t xml:space="preserve">om remissões e notas comparativas ao CPC/1973. </w:t>
      </w:r>
      <w:r w:rsidR="002179DB" w:rsidRPr="00A06D49">
        <w:rPr>
          <w:color w:val="FF0000"/>
        </w:rPr>
        <w:t>São Paulo: Revista dos Tribunais, 2015.</w:t>
      </w:r>
    </w:p>
    <w:p w14:paraId="1CC0514F" w14:textId="40C35041" w:rsidR="00B92BF7" w:rsidRPr="00A06D49" w:rsidRDefault="00B92BF7" w:rsidP="0059674F">
      <w:pPr>
        <w:ind w:firstLine="0"/>
        <w:rPr>
          <w:color w:val="FF0000"/>
        </w:rPr>
      </w:pPr>
      <w:r w:rsidRPr="00A06D49">
        <w:rPr>
          <w:color w:val="FF0000"/>
        </w:rPr>
        <w:t xml:space="preserve">OLIVEIRA, Carlos Alberto Alvaro de. </w:t>
      </w:r>
      <w:r w:rsidRPr="00A06D49">
        <w:rPr>
          <w:i/>
          <w:color w:val="FF0000"/>
        </w:rPr>
        <w:t>Do formalismo no processo civil</w:t>
      </w:r>
      <w:r w:rsidRPr="00A06D49">
        <w:rPr>
          <w:color w:val="FF0000"/>
        </w:rPr>
        <w:t>. São Paulo: Saraiva, 1997</w:t>
      </w:r>
      <w:r w:rsidR="00E549C8" w:rsidRPr="00A06D49">
        <w:rPr>
          <w:color w:val="FF0000"/>
        </w:rPr>
        <w:t>.</w:t>
      </w:r>
    </w:p>
    <w:p w14:paraId="75D9CDFF" w14:textId="11CA125B" w:rsidR="00366989" w:rsidRPr="00B677DA" w:rsidRDefault="00366989" w:rsidP="0059674F">
      <w:pPr>
        <w:ind w:firstLine="0"/>
        <w:rPr>
          <w:color w:val="FF0000"/>
        </w:rPr>
      </w:pPr>
      <w:r w:rsidRPr="00B677DA">
        <w:rPr>
          <w:color w:val="FF0000"/>
        </w:rPr>
        <w:t xml:space="preserve">ROSAS, Roberto. </w:t>
      </w:r>
      <w:r w:rsidR="00E549C8" w:rsidRPr="00B677DA">
        <w:rPr>
          <w:i/>
          <w:color w:val="FF0000"/>
        </w:rPr>
        <w:t>Direito s</w:t>
      </w:r>
      <w:r w:rsidRPr="00B677DA">
        <w:rPr>
          <w:i/>
          <w:color w:val="FF0000"/>
        </w:rPr>
        <w:t>umular</w:t>
      </w:r>
      <w:r w:rsidRPr="00B677DA">
        <w:rPr>
          <w:color w:val="FF0000"/>
        </w:rPr>
        <w:t>: comentários às s</w:t>
      </w:r>
      <w:r w:rsidR="006708BC" w:rsidRPr="00B677DA">
        <w:rPr>
          <w:color w:val="FF0000"/>
        </w:rPr>
        <w:t>ú</w:t>
      </w:r>
      <w:r w:rsidRPr="00B677DA">
        <w:rPr>
          <w:color w:val="FF0000"/>
        </w:rPr>
        <w:t xml:space="preserve">mulas do supremo Tribunal Federal e do Superior Tribunal de Justiça. </w:t>
      </w:r>
      <w:r w:rsidR="00E549C8" w:rsidRPr="00B677DA">
        <w:rPr>
          <w:color w:val="FF0000"/>
        </w:rPr>
        <w:t>12. ed. rev. e atual.,</w:t>
      </w:r>
      <w:r w:rsidRPr="00B677DA">
        <w:rPr>
          <w:color w:val="FF0000"/>
        </w:rPr>
        <w:t xml:space="preserve"> com as novas Súmulas do STF e do </w:t>
      </w:r>
      <w:r w:rsidR="00E549C8" w:rsidRPr="00B677DA">
        <w:rPr>
          <w:color w:val="FF0000"/>
        </w:rPr>
        <w:t>STJ. São Paulo: Malheiros, 2004.</w:t>
      </w:r>
    </w:p>
    <w:p w14:paraId="5618241E" w14:textId="7A4F38C1" w:rsidR="00B92BF7" w:rsidRPr="00A06D49" w:rsidRDefault="00B92BF7" w:rsidP="0059674F">
      <w:pPr>
        <w:ind w:firstLine="0"/>
        <w:rPr>
          <w:color w:val="FF0000"/>
        </w:rPr>
      </w:pPr>
      <w:r w:rsidRPr="00A06D49">
        <w:rPr>
          <w:color w:val="FF0000"/>
        </w:rPr>
        <w:t xml:space="preserve">WAMBIER, Teresa Arruda Alvim. </w:t>
      </w:r>
      <w:r w:rsidRPr="00A06D49">
        <w:rPr>
          <w:i/>
          <w:color w:val="FF0000"/>
        </w:rPr>
        <w:t>Recurso especial, recurso extraordinário e ação rescisória</w:t>
      </w:r>
      <w:r w:rsidRPr="00A06D49">
        <w:rPr>
          <w:color w:val="FF0000"/>
        </w:rPr>
        <w:t xml:space="preserve">. </w:t>
      </w:r>
      <w:r w:rsidR="009029E1" w:rsidRPr="00A06D49">
        <w:rPr>
          <w:color w:val="FF0000"/>
        </w:rPr>
        <w:t xml:space="preserve">2. ed. reform. e atual. </w:t>
      </w:r>
      <w:r w:rsidRPr="00A06D49">
        <w:rPr>
          <w:color w:val="FF0000"/>
        </w:rPr>
        <w:t>São Paulo: Revista dos T</w:t>
      </w:r>
      <w:r w:rsidR="009029E1" w:rsidRPr="00A06D49">
        <w:rPr>
          <w:color w:val="FF0000"/>
        </w:rPr>
        <w:t>ribunais, 2008.</w:t>
      </w:r>
    </w:p>
    <w:p w14:paraId="62687898" w14:textId="0D8A4A55" w:rsidR="00AC14C9" w:rsidRPr="00A06D49" w:rsidRDefault="00AC14C9" w:rsidP="0059674F">
      <w:pPr>
        <w:ind w:firstLine="0"/>
        <w:rPr>
          <w:color w:val="FF0000"/>
        </w:rPr>
      </w:pPr>
      <w:r w:rsidRPr="00A06D49">
        <w:rPr>
          <w:color w:val="FF0000"/>
        </w:rPr>
        <w:t>WAMBIER, Teresa Arruda Alvim</w:t>
      </w:r>
      <w:r w:rsidR="00767386" w:rsidRPr="00A06D49">
        <w:rPr>
          <w:color w:val="FF0000"/>
        </w:rPr>
        <w:t xml:space="preserve"> et al</w:t>
      </w:r>
      <w:r w:rsidRPr="00A06D49">
        <w:rPr>
          <w:color w:val="FF0000"/>
        </w:rPr>
        <w:t xml:space="preserve">. </w:t>
      </w:r>
      <w:r w:rsidRPr="00A06D49">
        <w:rPr>
          <w:i/>
          <w:color w:val="FF0000"/>
        </w:rPr>
        <w:t xml:space="preserve">Primeiros comentários ao novo </w:t>
      </w:r>
      <w:r w:rsidR="00767386" w:rsidRPr="00A06D49">
        <w:rPr>
          <w:i/>
          <w:color w:val="FF0000"/>
        </w:rPr>
        <w:t>C</w:t>
      </w:r>
      <w:r w:rsidRPr="00A06D49">
        <w:rPr>
          <w:i/>
          <w:color w:val="FF0000"/>
        </w:rPr>
        <w:t xml:space="preserve">ódigo de </w:t>
      </w:r>
      <w:r w:rsidR="00767386" w:rsidRPr="00A06D49">
        <w:rPr>
          <w:i/>
          <w:color w:val="FF0000"/>
        </w:rPr>
        <w:t>P</w:t>
      </w:r>
      <w:r w:rsidRPr="00A06D49">
        <w:rPr>
          <w:i/>
          <w:color w:val="FF0000"/>
        </w:rPr>
        <w:t xml:space="preserve">rocesso </w:t>
      </w:r>
      <w:r w:rsidR="00767386" w:rsidRPr="00A06D49">
        <w:rPr>
          <w:i/>
          <w:color w:val="FF0000"/>
        </w:rPr>
        <w:t>C</w:t>
      </w:r>
      <w:r w:rsidRPr="00A06D49">
        <w:rPr>
          <w:i/>
          <w:color w:val="FF0000"/>
        </w:rPr>
        <w:t>ivil</w:t>
      </w:r>
      <w:r w:rsidRPr="00A06D49">
        <w:rPr>
          <w:color w:val="FF0000"/>
        </w:rPr>
        <w:t>: artigo por artigo. São Paulo: Revistas dos Tribunais, 201</w:t>
      </w:r>
      <w:r w:rsidR="009029E1" w:rsidRPr="00A06D49">
        <w:rPr>
          <w:color w:val="FF0000"/>
        </w:rPr>
        <w:t>5.</w:t>
      </w:r>
    </w:p>
    <w:sectPr w:rsidR="00AC14C9" w:rsidRPr="00A06D49" w:rsidSect="00CE1E3C">
      <w:headerReference w:type="default" r:id="rId9"/>
      <w:footerReference w:type="even" r:id="rId10"/>
      <w:pgSz w:w="11900" w:h="16840" w:code="9"/>
      <w:pgMar w:top="1701"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047F0" w14:textId="77777777" w:rsidR="009826CE" w:rsidRDefault="009826CE" w:rsidP="00203EB8">
      <w:r>
        <w:separator/>
      </w:r>
    </w:p>
    <w:p w14:paraId="5B84AA30" w14:textId="77777777" w:rsidR="009826CE" w:rsidRDefault="009826CE"/>
  </w:endnote>
  <w:endnote w:type="continuationSeparator" w:id="0">
    <w:p w14:paraId="0E5966B5" w14:textId="77777777" w:rsidR="009826CE" w:rsidRDefault="009826CE" w:rsidP="00203EB8">
      <w:r>
        <w:continuationSeparator/>
      </w:r>
    </w:p>
    <w:p w14:paraId="16C5F610" w14:textId="77777777" w:rsidR="009826CE" w:rsidRDefault="0098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DD49" w14:textId="77777777" w:rsidR="00A06D49" w:rsidRDefault="00A06D49" w:rsidP="0093568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E5E1AF" w14:textId="77777777" w:rsidR="00A06D49" w:rsidRDefault="00A06D49" w:rsidP="00935687">
    <w:pPr>
      <w:pStyle w:val="Rodap"/>
      <w:ind w:right="360"/>
    </w:pPr>
  </w:p>
  <w:p w14:paraId="000FB7D7" w14:textId="77777777" w:rsidR="00A06D49" w:rsidRDefault="00A06D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B6DFB" w14:textId="77777777" w:rsidR="009826CE" w:rsidRDefault="009826CE" w:rsidP="00A23ED4">
      <w:pPr>
        <w:spacing w:line="240" w:lineRule="auto"/>
        <w:ind w:firstLine="0"/>
      </w:pPr>
      <w:r>
        <w:separator/>
      </w:r>
    </w:p>
  </w:footnote>
  <w:footnote w:type="continuationSeparator" w:id="0">
    <w:p w14:paraId="32744171" w14:textId="77777777" w:rsidR="009826CE" w:rsidRDefault="009826CE" w:rsidP="00A23ED4">
      <w:pPr>
        <w:spacing w:line="240" w:lineRule="auto"/>
        <w:ind w:firstLine="0"/>
      </w:pPr>
      <w:r>
        <w:continuationSeparator/>
      </w:r>
    </w:p>
  </w:footnote>
  <w:footnote w:id="1">
    <w:p w14:paraId="26E2DEC9" w14:textId="397E36CD" w:rsidR="00A06D49" w:rsidRPr="00197C05" w:rsidRDefault="00A06D49" w:rsidP="00A23ED4">
      <w:pPr>
        <w:pStyle w:val="Textodenotaderodap"/>
      </w:pPr>
      <w:r>
        <w:rPr>
          <w:rStyle w:val="Refdenotaderodap"/>
        </w:rPr>
        <w:footnoteRef/>
      </w:r>
      <w:r>
        <w:t xml:space="preserve"> BALZANO, Felice. </w:t>
      </w:r>
      <w:r w:rsidRPr="00A53011">
        <w:t>A Súmula 410 e a incoerência do STJ:</w:t>
      </w:r>
      <w:r w:rsidRPr="00197C05">
        <w:t xml:space="preserve"> uma tentativa de se atropelar o devido processo legal</w:t>
      </w:r>
      <w:r>
        <w:t xml:space="preserve">. </w:t>
      </w:r>
      <w:r w:rsidRPr="006A0DC7">
        <w:rPr>
          <w:i/>
        </w:rPr>
        <w:t>Revista de Processo</w:t>
      </w:r>
      <w:r>
        <w:t>, São Paulo, Revista dos Tribunais, v. 39, n. 231, p. 255-285, maio 2014.</w:t>
      </w:r>
    </w:p>
  </w:footnote>
  <w:footnote w:id="2">
    <w:p w14:paraId="295E5978" w14:textId="79A27660" w:rsidR="00A06D49" w:rsidRDefault="00A06D49" w:rsidP="00A23ED4">
      <w:pPr>
        <w:pStyle w:val="Textodenotaderodap"/>
      </w:pPr>
      <w:r>
        <w:rPr>
          <w:rStyle w:val="Refdenotaderodap"/>
        </w:rPr>
        <w:footnoteRef/>
      </w:r>
      <w:r w:rsidRPr="00CE1E3C">
        <w:rPr>
          <w:lang w:val="en-US"/>
        </w:rPr>
        <w:t xml:space="preserve"> </w:t>
      </w:r>
      <w:r>
        <w:rPr>
          <w:lang w:val="en-US"/>
        </w:rPr>
        <w:t xml:space="preserve">STJ − </w:t>
      </w:r>
      <w:r w:rsidRPr="00CE1E3C">
        <w:rPr>
          <w:lang w:val="en-US"/>
        </w:rPr>
        <w:t xml:space="preserve">REsp </w:t>
      </w:r>
      <w:r>
        <w:rPr>
          <w:lang w:val="en-US"/>
        </w:rPr>
        <w:t xml:space="preserve">n. </w:t>
      </w:r>
      <w:r w:rsidRPr="00CE1E3C">
        <w:rPr>
          <w:lang w:val="en-US"/>
        </w:rPr>
        <w:t xml:space="preserve">110.344/RJ – 3ª T. – Rel. </w:t>
      </w:r>
      <w:r>
        <w:t xml:space="preserve">Min. Waldemar Zveiter – j. 01/06/2000 – </w:t>
      </w:r>
      <w:r w:rsidRPr="00CD763C">
        <w:rPr>
          <w:i/>
        </w:rPr>
        <w:t>DJ</w:t>
      </w:r>
      <w:r>
        <w:t>, de 14/08/2000, p. 164.</w:t>
      </w:r>
    </w:p>
  </w:footnote>
  <w:footnote w:id="3">
    <w:p w14:paraId="62BB8C68" w14:textId="68B9BF90" w:rsidR="00A06D49" w:rsidRDefault="00A06D49" w:rsidP="00A52AC9">
      <w:pPr>
        <w:pStyle w:val="Textodenotaderodap"/>
        <w:ind w:left="284"/>
      </w:pPr>
      <w:r>
        <w:rPr>
          <w:rStyle w:val="Refdenotaderodap"/>
        </w:rPr>
        <w:footnoteRef/>
      </w:r>
      <w:r>
        <w:t xml:space="preserve"> Os §§ 4º e 5º do art. 461 do CPC trazem, em rol exemplificativo, alguns meios executivos de que dispõe a autoridade judicial, para concretizar sua decisão judicial.</w:t>
      </w:r>
    </w:p>
  </w:footnote>
  <w:footnote w:id="4">
    <w:p w14:paraId="02EAD6FC" w14:textId="20855B84" w:rsidR="00A06D49" w:rsidRDefault="00A06D49">
      <w:pPr>
        <w:pStyle w:val="Textodenotaderodap"/>
      </w:pPr>
      <w:r>
        <w:rPr>
          <w:rStyle w:val="Refdenotaderodap"/>
        </w:rPr>
        <w:footnoteRef/>
      </w:r>
      <w:r>
        <w:t xml:space="preserve"> Para Roberto Rosas, o precedente: “É uma decisão anterior persuasiva para decisões futuras. Não é compulsória; apenas norteará o futuro julgador a seguir aquela decisão. Serve de informação, de simplificação de trabalho.” (ROSAS, Roberto. </w:t>
      </w:r>
      <w:r w:rsidRPr="00E549C8">
        <w:rPr>
          <w:i/>
        </w:rPr>
        <w:t>Direito sumular</w:t>
      </w:r>
      <w:r w:rsidRPr="00185B87">
        <w:t>: comentários às s</w:t>
      </w:r>
      <w:r>
        <w:t>ú</w:t>
      </w:r>
      <w:r w:rsidRPr="00185B87">
        <w:t>mulas do supremo Tribunal Federal e do Superior Tribunal de Justiça.</w:t>
      </w:r>
      <w:r>
        <w:t xml:space="preserve"> 12. ed.</w:t>
      </w:r>
      <w:r w:rsidRPr="00E549C8">
        <w:t xml:space="preserve"> rev. e atual.</w:t>
      </w:r>
      <w:r>
        <w:t>, com as novas Súmulas do STF e do STJ. São Paulo: Malheiros, 2004. p. 12).</w:t>
      </w:r>
    </w:p>
  </w:footnote>
  <w:footnote w:id="5">
    <w:p w14:paraId="38E34F61" w14:textId="3C0A0E9E" w:rsidR="00A06D49" w:rsidRDefault="00A06D49" w:rsidP="00A23ED4">
      <w:pPr>
        <w:pStyle w:val="Textodenotaderodap"/>
      </w:pPr>
      <w:r w:rsidRPr="0090789F">
        <w:rPr>
          <w:rStyle w:val="Refdenotaderodap"/>
        </w:rPr>
        <w:footnoteRef/>
      </w:r>
      <w:r w:rsidRPr="00CD763C">
        <w:rPr>
          <w:lang w:val="en-US"/>
        </w:rPr>
        <w:t xml:space="preserve"> STJ</w:t>
      </w:r>
      <w:r w:rsidRPr="00CD763C">
        <w:rPr>
          <w:i/>
          <w:lang w:val="en-US"/>
        </w:rPr>
        <w:t xml:space="preserve"> – </w:t>
      </w:r>
      <w:r w:rsidRPr="00CD763C">
        <w:rPr>
          <w:lang w:val="en-US"/>
        </w:rPr>
        <w:t>REsp</w:t>
      </w:r>
      <w:r>
        <w:rPr>
          <w:lang w:val="en-US"/>
        </w:rPr>
        <w:t xml:space="preserve"> n. 692.386/PB</w:t>
      </w:r>
      <w:r w:rsidRPr="00CD763C">
        <w:rPr>
          <w:lang w:val="en-US"/>
        </w:rPr>
        <w:t xml:space="preserve"> − 1ª T. </w:t>
      </w:r>
      <w:r>
        <w:rPr>
          <w:lang w:val="en-US"/>
        </w:rPr>
        <w:t>−</w:t>
      </w:r>
      <w:r w:rsidRPr="00CD763C">
        <w:rPr>
          <w:lang w:val="en-US"/>
        </w:rPr>
        <w:t xml:space="preserve"> Rel. </w:t>
      </w:r>
      <w:r>
        <w:t xml:space="preserve">Min. Luiz Fux − </w:t>
      </w:r>
      <w:r w:rsidRPr="0090789F">
        <w:t xml:space="preserve">j. 11/10/2005 – </w:t>
      </w:r>
      <w:r w:rsidRPr="00CD763C">
        <w:rPr>
          <w:i/>
        </w:rPr>
        <w:t>DJ</w:t>
      </w:r>
      <w:r w:rsidRPr="00CD763C">
        <w:t xml:space="preserve">, de </w:t>
      </w:r>
      <w:r>
        <w:t>24/10/2005, p. 193</w:t>
      </w:r>
      <w:r w:rsidRPr="0090789F">
        <w:t>.</w:t>
      </w:r>
    </w:p>
  </w:footnote>
  <w:footnote w:id="6">
    <w:p w14:paraId="56E5D187" w14:textId="50BA558F" w:rsidR="00A06D49" w:rsidRDefault="00A06D49" w:rsidP="00A23ED4">
      <w:pPr>
        <w:pStyle w:val="Textodenotaderodap"/>
      </w:pPr>
      <w:r>
        <w:rPr>
          <w:rStyle w:val="Refdenotaderodap"/>
        </w:rPr>
        <w:footnoteRef/>
      </w:r>
      <w:r>
        <w:t xml:space="preserve"> </w:t>
      </w:r>
      <w:r>
        <w:rPr>
          <w:rFonts w:cs="Times"/>
          <w:iCs/>
          <w:color w:val="000000"/>
          <w:lang w:eastAsia="en-US"/>
        </w:rPr>
        <w:t>“</w:t>
      </w:r>
      <w:r w:rsidRPr="00C73370">
        <w:rPr>
          <w:rFonts w:cs="Times"/>
          <w:iCs/>
          <w:color w:val="000000"/>
          <w:lang w:eastAsia="en-US"/>
        </w:rPr>
        <w:t xml:space="preserve">A </w:t>
      </w:r>
      <w:r w:rsidRPr="00C73370">
        <w:t xml:space="preserve">prévia </w:t>
      </w:r>
      <w:r w:rsidRPr="00C73370">
        <w:rPr>
          <w:bCs/>
        </w:rPr>
        <w:t>intimação pessoal</w:t>
      </w:r>
      <w:r w:rsidRPr="00C73370">
        <w:t xml:space="preserve"> do devedor constitui condição necessária para a cobrança de multa pelo descumprimento de obrigação de fazer ou não fazer</w:t>
      </w:r>
      <w:r>
        <w:t>.” (</w:t>
      </w:r>
      <w:r w:rsidRPr="00C96659">
        <w:t xml:space="preserve">2ª Seção – j. 25/11/2009 – </w:t>
      </w:r>
      <w:r w:rsidRPr="00CD763C">
        <w:rPr>
          <w:i/>
        </w:rPr>
        <w:t>DJe</w:t>
      </w:r>
      <w:r>
        <w:t xml:space="preserve">, de </w:t>
      </w:r>
      <w:r w:rsidRPr="00C96659">
        <w:t>16/12/2009</w:t>
      </w:r>
      <w:r>
        <w:t xml:space="preserve"> – </w:t>
      </w:r>
      <w:r w:rsidRPr="00CD763C">
        <w:rPr>
          <w:i/>
        </w:rPr>
        <w:t>RSTJ</w:t>
      </w:r>
      <w:r>
        <w:t xml:space="preserve"> 217/1.191).</w:t>
      </w:r>
    </w:p>
  </w:footnote>
  <w:footnote w:id="7">
    <w:p w14:paraId="0FF2E0C4" w14:textId="343C23B7" w:rsidR="00A06D49" w:rsidRDefault="00A06D49" w:rsidP="00A23ED4">
      <w:pPr>
        <w:pStyle w:val="Textodenotaderodap"/>
      </w:pPr>
      <w:r>
        <w:rPr>
          <w:rStyle w:val="Refdenotaderodap"/>
        </w:rPr>
        <w:footnoteRef/>
      </w:r>
      <w:r>
        <w:t xml:space="preserve"> STJ − EAg n. 857.758/RS − 2ª Seção − j. 23/02/2011.</w:t>
      </w:r>
    </w:p>
  </w:footnote>
  <w:footnote w:id="8">
    <w:p w14:paraId="44BBD50A" w14:textId="2D7FEAE7" w:rsidR="00A06D49" w:rsidRDefault="00A06D49" w:rsidP="00746679">
      <w:pPr>
        <w:pStyle w:val="Textodenotaderodap"/>
      </w:pPr>
      <w:r>
        <w:rPr>
          <w:rStyle w:val="Refdenotaderodap"/>
        </w:rPr>
        <w:footnoteRef/>
      </w:r>
      <w:r>
        <w:t xml:space="preserve"> STJ − REsp n. 940.274/MS – Corte Especial – Rel. Min. Humberto Gomes de Barros – Rel. p/ acórdão Min. João Otávio de Noronha – j. 07/05/2010 – </w:t>
      </w:r>
      <w:r w:rsidRPr="00CD763C">
        <w:rPr>
          <w:i/>
        </w:rPr>
        <w:t>RSTJ</w:t>
      </w:r>
      <w:r>
        <w:t xml:space="preserve"> 219/35.</w:t>
      </w:r>
    </w:p>
  </w:footnote>
  <w:footnote w:id="9">
    <w:p w14:paraId="5B8DA8D0" w14:textId="77777777" w:rsidR="00A06D49" w:rsidRDefault="00A06D49" w:rsidP="002B388B">
      <w:pPr>
        <w:pStyle w:val="Textodenotaderodap"/>
      </w:pPr>
      <w:r>
        <w:rPr>
          <w:rStyle w:val="Refdenotaderodap"/>
        </w:rPr>
        <w:footnoteRef/>
      </w:r>
      <w:r>
        <w:t xml:space="preserve"> </w:t>
      </w:r>
      <w:r w:rsidRPr="00D25744">
        <w:t>É o que se depreende dos seguintes julgados</w:t>
      </w:r>
      <w:r>
        <w:t xml:space="preserve"> do STJ</w:t>
      </w:r>
      <w:r w:rsidRPr="00D25744">
        <w:t xml:space="preserve">: REsp </w:t>
      </w:r>
      <w:r>
        <w:t xml:space="preserve">n. </w:t>
      </w:r>
      <w:r w:rsidRPr="00D25744">
        <w:t xml:space="preserve">1.121.457/PR – 3ª T. – Rel. </w:t>
      </w:r>
      <w:r w:rsidRPr="00120A81">
        <w:t xml:space="preserve">Min. Nancy Andrighi – j. 12/04/2012 – </w:t>
      </w:r>
      <w:r w:rsidRPr="00CD763C">
        <w:rPr>
          <w:i/>
        </w:rPr>
        <w:t>DJe</w:t>
      </w:r>
      <w:r>
        <w:t>, de</w:t>
      </w:r>
      <w:r w:rsidRPr="00120A81">
        <w:t xml:space="preserve"> 20/04/2012; AgRg no AREsp </w:t>
      </w:r>
      <w:r>
        <w:t xml:space="preserve">n. </w:t>
      </w:r>
      <w:r w:rsidRPr="00120A81">
        <w:t xml:space="preserve">102.561/RS – 3ª T. – Rel. Min. Nancy Andrighi – j. 26/06/2012 – </w:t>
      </w:r>
      <w:r w:rsidRPr="00CD763C">
        <w:rPr>
          <w:i/>
        </w:rPr>
        <w:t>DJe</w:t>
      </w:r>
      <w:r>
        <w:t>, de</w:t>
      </w:r>
      <w:r w:rsidRPr="00120A81">
        <w:t xml:space="preserve"> 29/06/2012; AgRg no AREsp </w:t>
      </w:r>
      <w:r>
        <w:t xml:space="preserve">n. </w:t>
      </w:r>
      <w:r w:rsidRPr="00120A81">
        <w:t xml:space="preserve">102.561/RS – 3ª T. – Rel. Min. Nancy Andrighi – j. 26/06/2012 – </w:t>
      </w:r>
      <w:r w:rsidRPr="00CD763C">
        <w:rPr>
          <w:i/>
        </w:rPr>
        <w:t>DJe</w:t>
      </w:r>
      <w:r>
        <w:t>, de</w:t>
      </w:r>
      <w:r w:rsidRPr="00120A81">
        <w:t xml:space="preserve"> 29/06/2012; REsp </w:t>
      </w:r>
      <w:r>
        <w:t xml:space="preserve">n. </w:t>
      </w:r>
      <w:r w:rsidRPr="00120A81">
        <w:t xml:space="preserve">1.359.558/PB – 3ª T. – Rel. Min. Sidnei Beneti – j. 09/04/2013 – DJe 15/05/2013; AgRg no REsp </w:t>
      </w:r>
      <w:r>
        <w:t xml:space="preserve">n. </w:t>
      </w:r>
      <w:r w:rsidRPr="00120A81">
        <w:t xml:space="preserve">1.113.627/RS – 4ª T. – Rel. </w:t>
      </w:r>
      <w:r w:rsidRPr="00D25744">
        <w:t xml:space="preserve">Min. Raul Araújo – j. 13/08/2013 – </w:t>
      </w:r>
      <w:r w:rsidRPr="00CD763C">
        <w:rPr>
          <w:i/>
        </w:rPr>
        <w:t>DJe</w:t>
      </w:r>
      <w:r>
        <w:t>, de</w:t>
      </w:r>
      <w:r w:rsidRPr="00D25744">
        <w:t xml:space="preserve"> 30/08/2013</w:t>
      </w:r>
      <w:r>
        <w:t>; e AgRg no AREsp n. 370.</w:t>
      </w:r>
      <w:r w:rsidRPr="00C96659">
        <w:t>8</w:t>
      </w:r>
      <w:r>
        <w:t>0</w:t>
      </w:r>
      <w:r w:rsidRPr="00C96659">
        <w:t>1/RJ – 2ª T. – Rel. Min. Humberto Martins – j. 19/09/2013</w:t>
      </w:r>
      <w:r>
        <w:t>.</w:t>
      </w:r>
    </w:p>
  </w:footnote>
  <w:footnote w:id="10">
    <w:p w14:paraId="0F6F0078" w14:textId="6FDE92A7" w:rsidR="00A06D49" w:rsidRPr="00185873" w:rsidRDefault="00A06D49" w:rsidP="00A23ED4">
      <w:pPr>
        <w:pStyle w:val="Textodenotaderodap"/>
      </w:pPr>
      <w:r>
        <w:rPr>
          <w:rStyle w:val="Refdenotaderodap"/>
        </w:rPr>
        <w:footnoteRef/>
      </w:r>
      <w:r>
        <w:t xml:space="preserve"> STJ − </w:t>
      </w:r>
      <w:r w:rsidRPr="001D61D0">
        <w:t xml:space="preserve">REsp </w:t>
      </w:r>
      <w:r>
        <w:t xml:space="preserve">n. </w:t>
      </w:r>
      <w:r w:rsidRPr="001D61D0">
        <w:t xml:space="preserve">1.121.457/PR – 3ª T. – Rel. </w:t>
      </w:r>
      <w:r w:rsidRPr="00185873">
        <w:t xml:space="preserve">Min. Nancy Andrighi – j. 12/04/2012 – </w:t>
      </w:r>
      <w:r w:rsidRPr="00CD763C">
        <w:rPr>
          <w:i/>
        </w:rPr>
        <w:t>DJe</w:t>
      </w:r>
      <w:r>
        <w:t>, de</w:t>
      </w:r>
      <w:r w:rsidRPr="00185873">
        <w:t xml:space="preserve"> 20/04/2012.</w:t>
      </w:r>
    </w:p>
  </w:footnote>
  <w:footnote w:id="11">
    <w:p w14:paraId="59717A9D" w14:textId="3AD9BFE2" w:rsidR="00A06D49" w:rsidRDefault="00A06D49" w:rsidP="00A23ED4">
      <w:pPr>
        <w:pStyle w:val="Textodenotaderodap"/>
      </w:pPr>
      <w:r>
        <w:rPr>
          <w:rStyle w:val="Refdenotaderodap"/>
        </w:rPr>
        <w:footnoteRef/>
      </w:r>
      <w:r>
        <w:t xml:space="preserve"> STJ: </w:t>
      </w:r>
      <w:r w:rsidRPr="00C96659">
        <w:t xml:space="preserve">EDcl no Ag </w:t>
      </w:r>
      <w:r>
        <w:t xml:space="preserve">n. </w:t>
      </w:r>
      <w:r w:rsidRPr="00C96659">
        <w:t>1.421.217/RJ – 3ª T. – Rel. Min. João Otávio de Noronha –</w:t>
      </w:r>
      <w:r>
        <w:t xml:space="preserve"> j. 27/08/2013 – </w:t>
      </w:r>
      <w:r w:rsidRPr="00CD763C">
        <w:rPr>
          <w:i/>
        </w:rPr>
        <w:t>DJe</w:t>
      </w:r>
      <w:r>
        <w:t xml:space="preserve">, de 06/09/2013; </w:t>
      </w:r>
      <w:r w:rsidRPr="00C96659">
        <w:t xml:space="preserve">AgRg no AREsp </w:t>
      </w:r>
      <w:r>
        <w:t xml:space="preserve">n. </w:t>
      </w:r>
      <w:r w:rsidRPr="00C96659">
        <w:t xml:space="preserve">221.219/DF – 3ª T. – </w:t>
      </w:r>
      <w:r>
        <w:t xml:space="preserve">j. 20/06/2013 – </w:t>
      </w:r>
      <w:r w:rsidRPr="00CD763C">
        <w:rPr>
          <w:i/>
        </w:rPr>
        <w:t>DJe</w:t>
      </w:r>
      <w:r>
        <w:t xml:space="preserve">, de 28/06/2013; </w:t>
      </w:r>
      <w:r w:rsidRPr="00C96659">
        <w:t xml:space="preserve">AgRg no REsp </w:t>
      </w:r>
      <w:r>
        <w:t xml:space="preserve">n. </w:t>
      </w:r>
      <w:r w:rsidRPr="00C96659">
        <w:t>1.359.543/AL – 2ª T. – Rel. Min. Castro Meira – j. 09/04</w:t>
      </w:r>
      <w:r>
        <w:t xml:space="preserve">/2013 – </w:t>
      </w:r>
      <w:r w:rsidRPr="00CD763C">
        <w:rPr>
          <w:i/>
        </w:rPr>
        <w:t>DJe</w:t>
      </w:r>
      <w:r>
        <w:t xml:space="preserve">, de 15/04/2013; </w:t>
      </w:r>
      <w:r w:rsidRPr="00C96659">
        <w:t xml:space="preserve">AgRg no REsp </w:t>
      </w:r>
      <w:r>
        <w:t xml:space="preserve">n. </w:t>
      </w:r>
      <w:r w:rsidRPr="00C96659">
        <w:t xml:space="preserve">1.251.059/MG – 2ª T. – Rel. Min. Humberto Martins – </w:t>
      </w:r>
      <w:r>
        <w:t xml:space="preserve">j. 16/10/2012 – </w:t>
      </w:r>
      <w:r w:rsidRPr="00CD763C">
        <w:rPr>
          <w:i/>
        </w:rPr>
        <w:t>DJe</w:t>
      </w:r>
      <w:r>
        <w:t xml:space="preserve">, de 25/10/2012; </w:t>
      </w:r>
      <w:r w:rsidRPr="00C96659">
        <w:t xml:space="preserve">AgRg no AgRg no REsp </w:t>
      </w:r>
      <w:r>
        <w:t xml:space="preserve">n. </w:t>
      </w:r>
      <w:r w:rsidRPr="00C96659">
        <w:t xml:space="preserve">1.308.518/RS – 2ª T. – Rel. Min. Humberto Martins – </w:t>
      </w:r>
      <w:r>
        <w:t xml:space="preserve">j. 25/09/2012 – </w:t>
      </w:r>
      <w:r w:rsidRPr="00CD763C">
        <w:rPr>
          <w:i/>
        </w:rPr>
        <w:t>DJe</w:t>
      </w:r>
      <w:r>
        <w:t xml:space="preserve">, de 02/10/2012; </w:t>
      </w:r>
      <w:r w:rsidRPr="00C96659">
        <w:t xml:space="preserve">AgRg no REsp </w:t>
      </w:r>
      <w:r>
        <w:t xml:space="preserve">n. </w:t>
      </w:r>
      <w:r w:rsidRPr="00C96659">
        <w:t xml:space="preserve">1.214.247/RS – 3ª T. – Rel. </w:t>
      </w:r>
      <w:r w:rsidRPr="00185873">
        <w:t xml:space="preserve">Min. Nancy Andrighi – j. 14/08/2012 – </w:t>
      </w:r>
      <w:r w:rsidRPr="00CD763C">
        <w:rPr>
          <w:i/>
        </w:rPr>
        <w:t>DJe</w:t>
      </w:r>
      <w:r>
        <w:t>, de</w:t>
      </w:r>
      <w:r w:rsidRPr="00185873">
        <w:t xml:space="preserve"> 20/08/2012; AgRg no REsp </w:t>
      </w:r>
      <w:r>
        <w:t xml:space="preserve">n. </w:t>
      </w:r>
      <w:r w:rsidRPr="00185873">
        <w:t xml:space="preserve">1.230.519/RJ – 3ª T. – Rel. Min. Sidnei Beneti – j. 26/06/2012 – </w:t>
      </w:r>
      <w:r w:rsidRPr="00CD763C">
        <w:rPr>
          <w:i/>
        </w:rPr>
        <w:t>DJe</w:t>
      </w:r>
      <w:r>
        <w:t>, de</w:t>
      </w:r>
      <w:r w:rsidRPr="00185873">
        <w:t xml:space="preserve"> 29/06/2012; AgRg no REsp </w:t>
      </w:r>
      <w:r>
        <w:t xml:space="preserve">n. </w:t>
      </w:r>
      <w:r w:rsidRPr="00185873">
        <w:t xml:space="preserve">1.205.306/RS – 3ª T. – Rel. </w:t>
      </w:r>
      <w:r w:rsidRPr="00C96659">
        <w:t>Min. Paulo de Tarso Sanseverino – j</w:t>
      </w:r>
      <w:r>
        <w:t xml:space="preserve">. 05/06/2012 – DJe 12/06/2012; </w:t>
      </w:r>
      <w:r w:rsidRPr="00C96659">
        <w:t xml:space="preserve">REsp </w:t>
      </w:r>
      <w:r>
        <w:t xml:space="preserve">n. </w:t>
      </w:r>
      <w:r w:rsidRPr="00C96659">
        <w:t>1.098.495/RS – 5ª T. – Rel. Min. Laurita Vaz – j</w:t>
      </w:r>
      <w:r>
        <w:t xml:space="preserve">. 27/03/2012 – </w:t>
      </w:r>
      <w:r w:rsidRPr="00CD763C">
        <w:rPr>
          <w:i/>
        </w:rPr>
        <w:t>DJe</w:t>
      </w:r>
      <w:r>
        <w:t xml:space="preserve">, de 03/04/2012; </w:t>
      </w:r>
      <w:r w:rsidRPr="00C96659">
        <w:t xml:space="preserve">AgRg no REsp </w:t>
      </w:r>
      <w:r>
        <w:t xml:space="preserve">n. </w:t>
      </w:r>
      <w:r w:rsidRPr="00C96659">
        <w:t xml:space="preserve">966.823/DF – 3ª T. – Rel. Min. Massami Uyeda – </w:t>
      </w:r>
      <w:r>
        <w:t xml:space="preserve">j. 28/02/2012 – </w:t>
      </w:r>
      <w:r w:rsidRPr="00CD763C">
        <w:rPr>
          <w:i/>
        </w:rPr>
        <w:t>DJe</w:t>
      </w:r>
      <w:r>
        <w:t xml:space="preserve">, de 16/04/2012; </w:t>
      </w:r>
      <w:r w:rsidRPr="00C96659">
        <w:t xml:space="preserve">EDcl na Rcl </w:t>
      </w:r>
      <w:r>
        <w:t xml:space="preserve">n. </w:t>
      </w:r>
      <w:r w:rsidRPr="00C96659">
        <w:t xml:space="preserve">5.388/PB – 1ª Seção – </w:t>
      </w:r>
      <w:r>
        <w:t xml:space="preserve">j. 26/10/2011 – </w:t>
      </w:r>
      <w:r w:rsidRPr="00CD763C">
        <w:rPr>
          <w:i/>
        </w:rPr>
        <w:t>DJe</w:t>
      </w:r>
      <w:r>
        <w:t xml:space="preserve">, de 14/11/2011; </w:t>
      </w:r>
      <w:r w:rsidRPr="00C96659">
        <w:t xml:space="preserve">AgRg nos EDcl no Ag </w:t>
      </w:r>
      <w:r>
        <w:t xml:space="preserve">n. </w:t>
      </w:r>
      <w:r w:rsidRPr="00C96659">
        <w:t xml:space="preserve">1.304.733/RS – 3ª T. – Rel. Min. Paulo de Tarso Sanseverino – </w:t>
      </w:r>
      <w:r>
        <w:t xml:space="preserve">j. 23/08/2011 – </w:t>
      </w:r>
      <w:r w:rsidRPr="00CD763C">
        <w:rPr>
          <w:i/>
        </w:rPr>
        <w:t>DJe</w:t>
      </w:r>
      <w:r>
        <w:t xml:space="preserve">, de 31/08/2011; </w:t>
      </w:r>
      <w:r w:rsidRPr="00C96659">
        <w:t xml:space="preserve">AgRg no REsp </w:t>
      </w:r>
      <w:r>
        <w:t xml:space="preserve">n. </w:t>
      </w:r>
      <w:r w:rsidRPr="00C96659">
        <w:t xml:space="preserve">811.849/RS – 4ª T. – Rel. Min. Maria Isabel Gallotti – </w:t>
      </w:r>
      <w:r>
        <w:t xml:space="preserve">j. 28/06/2011 – </w:t>
      </w:r>
      <w:r w:rsidRPr="00CD763C">
        <w:rPr>
          <w:i/>
        </w:rPr>
        <w:t>DJe</w:t>
      </w:r>
      <w:r>
        <w:t xml:space="preserve">, de 04/08/2011; </w:t>
      </w:r>
      <w:r w:rsidRPr="00C96659">
        <w:t xml:space="preserve">AgRg no Ag </w:t>
      </w:r>
      <w:r>
        <w:t xml:space="preserve">n. </w:t>
      </w:r>
      <w:r w:rsidRPr="00C96659">
        <w:t>1.188.025/RJ – 3ª T. – Rel. Min. Vasco Della Giustina – j</w:t>
      </w:r>
      <w:r>
        <w:t xml:space="preserve">. 05/04/2011 – </w:t>
      </w:r>
      <w:r w:rsidRPr="00CD763C">
        <w:rPr>
          <w:i/>
        </w:rPr>
        <w:t>DJe</w:t>
      </w:r>
      <w:r>
        <w:t xml:space="preserve">, de 13/04/2011; </w:t>
      </w:r>
      <w:r w:rsidRPr="00C96659">
        <w:t xml:space="preserve">AgRg no Ag </w:t>
      </w:r>
      <w:r>
        <w:t xml:space="preserve">n. </w:t>
      </w:r>
      <w:r w:rsidRPr="00C96659">
        <w:t xml:space="preserve">1.283.146/RS – 4ª T. – Rel. Min. Aldir Passarinho Junior – </w:t>
      </w:r>
      <w:r>
        <w:t xml:space="preserve">j. 23/11/2010 – </w:t>
      </w:r>
      <w:r w:rsidRPr="00CD763C">
        <w:rPr>
          <w:i/>
        </w:rPr>
        <w:t>DJe</w:t>
      </w:r>
      <w:r>
        <w:t>, de 06/12/2010.</w:t>
      </w:r>
    </w:p>
  </w:footnote>
  <w:footnote w:id="12">
    <w:p w14:paraId="4BA3DC72" w14:textId="7592BE6A" w:rsidR="00A06D49" w:rsidRDefault="00A06D49" w:rsidP="00A23ED4">
      <w:pPr>
        <w:pStyle w:val="Textodenotaderodap"/>
      </w:pPr>
      <w:r>
        <w:rPr>
          <w:rStyle w:val="Refdenotaderodap"/>
        </w:rPr>
        <w:footnoteRef/>
      </w:r>
      <w:r>
        <w:t xml:space="preserve"> STJ: </w:t>
      </w:r>
      <w:r w:rsidRPr="00CC05BF">
        <w:t xml:space="preserve">EDcl no REsp </w:t>
      </w:r>
      <w:r>
        <w:t xml:space="preserve">n. </w:t>
      </w:r>
      <w:r w:rsidRPr="00CC05BF">
        <w:t>1.208.600/RS</w:t>
      </w:r>
      <w:r>
        <w:t xml:space="preserve"> − </w:t>
      </w:r>
      <w:r w:rsidRPr="00CC05BF">
        <w:t>4ª T</w:t>
      </w:r>
      <w:r>
        <w:t>. −</w:t>
      </w:r>
      <w:r w:rsidRPr="00CC05BF">
        <w:t xml:space="preserve"> Rel. Min. Maria Isabel Galotti</w:t>
      </w:r>
      <w:r>
        <w:t xml:space="preserve"> − </w:t>
      </w:r>
      <w:r w:rsidRPr="00C96659">
        <w:t xml:space="preserve">j. 07/02/2013 – </w:t>
      </w:r>
      <w:r w:rsidRPr="00CD763C">
        <w:rPr>
          <w:i/>
        </w:rPr>
        <w:t>DJe</w:t>
      </w:r>
      <w:r>
        <w:t>, de</w:t>
      </w:r>
      <w:r w:rsidRPr="00C96659">
        <w:t xml:space="preserve"> 26/02/2013</w:t>
      </w:r>
      <w:r>
        <w:t xml:space="preserve">; </w:t>
      </w:r>
      <w:r w:rsidRPr="00C96659">
        <w:t xml:space="preserve">Rcl </w:t>
      </w:r>
      <w:r>
        <w:t xml:space="preserve">n. </w:t>
      </w:r>
      <w:r w:rsidRPr="00C96659">
        <w:t xml:space="preserve">5.388/PB – 1ª Seção – Rel. Min. Herman Benjamin – j. 10/08/2011 – </w:t>
      </w:r>
      <w:r w:rsidRPr="00CD763C">
        <w:rPr>
          <w:i/>
        </w:rPr>
        <w:t>DJe</w:t>
      </w:r>
      <w:r>
        <w:t>, de</w:t>
      </w:r>
      <w:r w:rsidRPr="00C96659">
        <w:t xml:space="preserve"> 09/09/2011</w:t>
      </w:r>
      <w:r>
        <w:t>.</w:t>
      </w:r>
    </w:p>
  </w:footnote>
  <w:footnote w:id="13">
    <w:p w14:paraId="16CA8AE2" w14:textId="6B6B3D0C" w:rsidR="00A06D49" w:rsidRDefault="00A06D49" w:rsidP="00A53011">
      <w:pPr>
        <w:pStyle w:val="Textodenotaderodap"/>
        <w:tabs>
          <w:tab w:val="left" w:pos="993"/>
        </w:tabs>
      </w:pPr>
      <w:r>
        <w:rPr>
          <w:rStyle w:val="Refdenotaderodap"/>
        </w:rPr>
        <w:footnoteRef/>
      </w:r>
      <w:r>
        <w:t xml:space="preserve"> </w:t>
      </w:r>
      <w:r w:rsidRPr="00C261E2">
        <w:t xml:space="preserve">ÁVILA, Humberto. </w:t>
      </w:r>
      <w:r w:rsidRPr="006A0DC7">
        <w:rPr>
          <w:i/>
        </w:rPr>
        <w:t>Teoria da segurança jurídica</w:t>
      </w:r>
      <w:r>
        <w:t xml:space="preserve">. </w:t>
      </w:r>
      <w:r w:rsidRPr="006A0DC7">
        <w:t xml:space="preserve">3. ed. rev., atual. e ampl. </w:t>
      </w:r>
      <w:r w:rsidRPr="00C261E2">
        <w:t>São Paulo: Malheiros, 2014</w:t>
      </w:r>
      <w:r>
        <w:t>. p. 374-375.</w:t>
      </w:r>
    </w:p>
  </w:footnote>
  <w:footnote w:id="14">
    <w:p w14:paraId="4A2267EB" w14:textId="2B6275AD" w:rsidR="00A06D49" w:rsidRDefault="00A06D49" w:rsidP="00A23ED4">
      <w:pPr>
        <w:pStyle w:val="Textodenotaderodap"/>
      </w:pPr>
      <w:r>
        <w:rPr>
          <w:rStyle w:val="Refdenotaderodap"/>
        </w:rPr>
        <w:footnoteRef/>
      </w:r>
      <w:r>
        <w:t xml:space="preserve"> </w:t>
      </w:r>
      <w:r w:rsidRPr="00C261E2">
        <w:t>ÁVILA, Humberto</w:t>
      </w:r>
      <w:r>
        <w:t>,</w:t>
      </w:r>
      <w:r w:rsidRPr="00C261E2">
        <w:t xml:space="preserve"> </w:t>
      </w:r>
      <w:r w:rsidRPr="006A0DC7">
        <w:rPr>
          <w:i/>
        </w:rPr>
        <w:t>Teoria da segurança jurídica</w:t>
      </w:r>
      <w:r>
        <w:t>, cit., p. 376.</w:t>
      </w:r>
    </w:p>
  </w:footnote>
  <w:footnote w:id="15">
    <w:p w14:paraId="4E38C6EE" w14:textId="702776E6" w:rsidR="00A06D49" w:rsidRDefault="00A06D49" w:rsidP="00A23ED4">
      <w:pPr>
        <w:pStyle w:val="Textodenotaderodap"/>
      </w:pPr>
      <w:r>
        <w:rPr>
          <w:rStyle w:val="Refdenotaderodap"/>
        </w:rPr>
        <w:footnoteRef/>
      </w:r>
      <w:r>
        <w:t xml:space="preserve"> </w:t>
      </w:r>
      <w:r w:rsidRPr="00360C3B">
        <w:rPr>
          <w:rFonts w:cs="Times"/>
          <w:lang w:eastAsia="en-US"/>
        </w:rPr>
        <w:t>Segundo o escólio de Roque Antonio Carrazza</w:t>
      </w:r>
      <w:r>
        <w:t xml:space="preserve"> (</w:t>
      </w:r>
      <w:r w:rsidRPr="00BE2D0E">
        <w:t>FERRAZ J</w:t>
      </w:r>
      <w:r>
        <w:t>UNIO</w:t>
      </w:r>
      <w:r w:rsidRPr="00BE2D0E">
        <w:t>R, Tercio Sampaio</w:t>
      </w:r>
      <w:r>
        <w:t xml:space="preserve">; </w:t>
      </w:r>
      <w:r w:rsidRPr="00BE2D0E">
        <w:t>CARRAZZA, Roque Antonio; NERY J</w:t>
      </w:r>
      <w:r>
        <w:t>UNIO</w:t>
      </w:r>
      <w:r w:rsidRPr="00BE2D0E">
        <w:t xml:space="preserve">R, Nelson. </w:t>
      </w:r>
      <w:r w:rsidRPr="00FE41C1">
        <w:rPr>
          <w:i/>
        </w:rPr>
        <w:t>Efeito ex nunc e as decisões do STJ</w:t>
      </w:r>
      <w:r w:rsidRPr="00BE2D0E">
        <w:t>. Barueri</w:t>
      </w:r>
      <w:r>
        <w:t>, SP</w:t>
      </w:r>
      <w:r w:rsidRPr="00BE2D0E">
        <w:t>: Manole, 2008</w:t>
      </w:r>
      <w:r>
        <w:t>. p. 55).</w:t>
      </w:r>
    </w:p>
  </w:footnote>
  <w:footnote w:id="16">
    <w:p w14:paraId="7726EC19" w14:textId="76872F84" w:rsidR="00A06D49" w:rsidRPr="00585226" w:rsidRDefault="00A06D49" w:rsidP="00A23ED4">
      <w:pPr>
        <w:pStyle w:val="Textodenotaderodap"/>
      </w:pPr>
      <w:r w:rsidRPr="00585226">
        <w:rPr>
          <w:rStyle w:val="Refdenotaderodap"/>
        </w:rPr>
        <w:footnoteRef/>
      </w:r>
      <w:r w:rsidRPr="00585226">
        <w:t xml:space="preserve"> </w:t>
      </w:r>
      <w:r w:rsidRPr="00585226">
        <w:rPr>
          <w:lang w:eastAsia="en-US"/>
        </w:rPr>
        <w:t xml:space="preserve">Ainda no regime do CPC/73, o STJ, em atenção à segurança jurídica, entendeu corretamente pela inaplicabilidade retroativa do novo entendimento jurisprudencial no AgRg no Ag </w:t>
      </w:r>
      <w:r>
        <w:rPr>
          <w:lang w:eastAsia="en-US"/>
        </w:rPr>
        <w:t xml:space="preserve">n. </w:t>
      </w:r>
      <w:r w:rsidRPr="00585226">
        <w:rPr>
          <w:lang w:eastAsia="en-US"/>
        </w:rPr>
        <w:t>827.293/RS</w:t>
      </w:r>
      <w:r>
        <w:rPr>
          <w:lang w:eastAsia="en-US"/>
        </w:rPr>
        <w:t xml:space="preserve"> </w:t>
      </w:r>
      <w:r w:rsidRPr="00585226">
        <w:t xml:space="preserve">– 1ª T. – Rel. Min. Denise Arruda – </w:t>
      </w:r>
      <w:r>
        <w:t>R</w:t>
      </w:r>
      <w:r w:rsidRPr="00585226">
        <w:t xml:space="preserve">el. Acórdão Min. José Delgado – j. 25/09/2008 – </w:t>
      </w:r>
      <w:r w:rsidRPr="00CD763C">
        <w:rPr>
          <w:i/>
        </w:rPr>
        <w:t>DJ</w:t>
      </w:r>
      <w:r>
        <w:t>, de</w:t>
      </w:r>
      <w:r w:rsidRPr="00585226">
        <w:t xml:space="preserve"> 22/11/2007, p. 193.</w:t>
      </w:r>
    </w:p>
  </w:footnote>
  <w:footnote w:id="17">
    <w:p w14:paraId="692EA073" w14:textId="1D2D519A" w:rsidR="00A06D49" w:rsidRDefault="00A06D49" w:rsidP="00A23ED4">
      <w:pPr>
        <w:pStyle w:val="Textodenotaderodap"/>
      </w:pPr>
      <w:r>
        <w:rPr>
          <w:rStyle w:val="Refdenotaderodap"/>
        </w:rPr>
        <w:footnoteRef/>
      </w:r>
      <w:r>
        <w:t xml:space="preserve"> MARINONI, Luiz Guilherme, Artigos 926 a 928, in</w:t>
      </w:r>
      <w:r w:rsidRPr="002179DB">
        <w:t xml:space="preserve"> </w:t>
      </w:r>
      <w:r w:rsidRPr="002179DB">
        <w:rPr>
          <w:i/>
        </w:rPr>
        <w:t>Breves comentários ao novo Código de Processo Civil</w:t>
      </w:r>
      <w:r>
        <w:t>,</w:t>
      </w:r>
      <w:r w:rsidRPr="00666B66">
        <w:t xml:space="preserve"> </w:t>
      </w:r>
      <w:r>
        <w:t>cit., p. 2.078.</w:t>
      </w:r>
    </w:p>
  </w:footnote>
  <w:footnote w:id="18">
    <w:p w14:paraId="4FB212EF" w14:textId="3081089B" w:rsidR="00A06D49" w:rsidRDefault="00A06D49" w:rsidP="00A23ED4">
      <w:pPr>
        <w:pStyle w:val="Textodenotaderodap"/>
      </w:pPr>
      <w:r>
        <w:rPr>
          <w:rStyle w:val="Refdenotaderodap"/>
        </w:rPr>
        <w:footnoteRef/>
      </w:r>
      <w:r>
        <w:t xml:space="preserve"> </w:t>
      </w:r>
      <w:r w:rsidRPr="00BE2D0E">
        <w:t>FERRAZ J</w:t>
      </w:r>
      <w:r>
        <w:t>UNIO</w:t>
      </w:r>
      <w:r w:rsidRPr="00BE2D0E">
        <w:t>R, Tercio Sampaio</w:t>
      </w:r>
      <w:r>
        <w:t xml:space="preserve">. </w:t>
      </w:r>
      <w:r w:rsidRPr="00FE41C1">
        <w:rPr>
          <w:i/>
        </w:rPr>
        <w:t>Introdução ao estudo do direito</w:t>
      </w:r>
      <w:r w:rsidRPr="009C3FAF">
        <w:t xml:space="preserve">. </w:t>
      </w:r>
      <w:r>
        <w:t>5. ed.</w:t>
      </w:r>
      <w:r w:rsidRPr="00FE41C1">
        <w:t xml:space="preserve"> rev. e ampl.</w:t>
      </w:r>
      <w:r>
        <w:t xml:space="preserve"> </w:t>
      </w:r>
      <w:r w:rsidRPr="009C3FAF">
        <w:t>São Paulo: Atlas, 2007</w:t>
      </w:r>
      <w:r>
        <w:t xml:space="preserve">. </w:t>
      </w:r>
      <w:r w:rsidRPr="009C3FAF">
        <w:t>p. 252</w:t>
      </w:r>
      <w:r>
        <w:t>.</w:t>
      </w:r>
    </w:p>
  </w:footnote>
  <w:footnote w:id="19">
    <w:p w14:paraId="5F4CD2DD" w14:textId="6655B17F" w:rsidR="00A06D49" w:rsidRDefault="00A06D49" w:rsidP="00A23ED4">
      <w:pPr>
        <w:pStyle w:val="Textodenotaderodap"/>
        <w:rPr>
          <w:lang w:eastAsia="en-US"/>
        </w:rPr>
      </w:pPr>
      <w:r>
        <w:rPr>
          <w:rStyle w:val="Refdenotaderodap"/>
        </w:rPr>
        <w:footnoteRef/>
      </w:r>
      <w:r>
        <w:t xml:space="preserve"> </w:t>
      </w:r>
      <w:r w:rsidRPr="00360C3B">
        <w:rPr>
          <w:lang w:eastAsia="en-US"/>
        </w:rPr>
        <w:t>Esse princípio da irretroatividade está positivado também</w:t>
      </w:r>
      <w:r>
        <w:rPr>
          <w:lang w:eastAsia="en-US"/>
        </w:rPr>
        <w:t>:</w:t>
      </w:r>
      <w:r w:rsidRPr="00360C3B">
        <w:rPr>
          <w:lang w:eastAsia="en-US"/>
        </w:rPr>
        <w:t xml:space="preserve"> no art</w:t>
      </w:r>
      <w:r>
        <w:rPr>
          <w:lang w:eastAsia="en-US"/>
        </w:rPr>
        <w:t>.</w:t>
      </w:r>
      <w:r w:rsidRPr="00360C3B">
        <w:rPr>
          <w:lang w:eastAsia="en-US"/>
        </w:rPr>
        <w:t xml:space="preserve"> 146 do C</w:t>
      </w:r>
      <w:r>
        <w:rPr>
          <w:lang w:eastAsia="en-US"/>
        </w:rPr>
        <w:t>TN</w:t>
      </w:r>
      <w:r w:rsidRPr="00360C3B">
        <w:rPr>
          <w:lang w:eastAsia="en-US"/>
        </w:rPr>
        <w:t>; no art</w:t>
      </w:r>
      <w:r>
        <w:rPr>
          <w:lang w:eastAsia="en-US"/>
        </w:rPr>
        <w:t>.</w:t>
      </w:r>
      <w:r w:rsidRPr="00360C3B">
        <w:rPr>
          <w:lang w:eastAsia="en-US"/>
        </w:rPr>
        <w:t xml:space="preserve"> 27</w:t>
      </w:r>
      <w:r>
        <w:rPr>
          <w:lang w:eastAsia="en-US"/>
        </w:rPr>
        <w:t xml:space="preserve"> da</w:t>
      </w:r>
      <w:r w:rsidRPr="00360C3B">
        <w:rPr>
          <w:lang w:eastAsia="en-US"/>
        </w:rPr>
        <w:t xml:space="preserve"> Lei </w:t>
      </w:r>
      <w:r>
        <w:rPr>
          <w:lang w:eastAsia="en-US"/>
        </w:rPr>
        <w:t xml:space="preserve">n. </w:t>
      </w:r>
      <w:r w:rsidRPr="00360C3B">
        <w:rPr>
          <w:lang w:eastAsia="en-US"/>
        </w:rPr>
        <w:t xml:space="preserve">9.868/99, que prevê a modulação de efeitos da declaração de inconstitucionalidade em controle concentrado, pelo </w:t>
      </w:r>
      <w:r>
        <w:rPr>
          <w:lang w:eastAsia="en-US"/>
        </w:rPr>
        <w:t>STF</w:t>
      </w:r>
      <w:r w:rsidRPr="00360C3B">
        <w:rPr>
          <w:lang w:eastAsia="en-US"/>
        </w:rPr>
        <w:t>; no art</w:t>
      </w:r>
      <w:r>
        <w:rPr>
          <w:lang w:eastAsia="en-US"/>
        </w:rPr>
        <w:t>.</w:t>
      </w:r>
      <w:r w:rsidRPr="00360C3B">
        <w:rPr>
          <w:lang w:eastAsia="en-US"/>
        </w:rPr>
        <w:t xml:space="preserve"> 11 da Lei </w:t>
      </w:r>
      <w:r>
        <w:rPr>
          <w:lang w:eastAsia="en-US"/>
        </w:rPr>
        <w:t xml:space="preserve">n. </w:t>
      </w:r>
      <w:r w:rsidRPr="00360C3B">
        <w:rPr>
          <w:lang w:eastAsia="en-US"/>
        </w:rPr>
        <w:t>9.882/99, que estatui a mesma possibilidade, no âmbito da arguição de descumprimento de preceito fundamental; e no art</w:t>
      </w:r>
      <w:r>
        <w:rPr>
          <w:lang w:eastAsia="en-US"/>
        </w:rPr>
        <w:t>.</w:t>
      </w:r>
      <w:r w:rsidRPr="00360C3B">
        <w:rPr>
          <w:lang w:eastAsia="en-US"/>
        </w:rPr>
        <w:t xml:space="preserve"> 2º, parágrafo único, inc</w:t>
      </w:r>
      <w:r>
        <w:rPr>
          <w:lang w:eastAsia="en-US"/>
        </w:rPr>
        <w:t>.</w:t>
      </w:r>
      <w:r w:rsidRPr="00360C3B">
        <w:rPr>
          <w:lang w:eastAsia="en-US"/>
        </w:rPr>
        <w:t xml:space="preserve"> XIII, da Lei </w:t>
      </w:r>
      <w:r>
        <w:rPr>
          <w:lang w:eastAsia="en-US"/>
        </w:rPr>
        <w:t xml:space="preserve">n. </w:t>
      </w:r>
      <w:r w:rsidRPr="00360C3B">
        <w:rPr>
          <w:lang w:eastAsia="en-US"/>
        </w:rPr>
        <w:t>9.784/99, que regula</w:t>
      </w:r>
      <w:r>
        <w:rPr>
          <w:lang w:eastAsia="en-US"/>
        </w:rPr>
        <w:t>menta</w:t>
      </w:r>
      <w:r w:rsidRPr="00360C3B">
        <w:rPr>
          <w:lang w:eastAsia="en-US"/>
        </w:rPr>
        <w:t xml:space="preserve"> o processo administrativo no âmbito da Administração Pública </w:t>
      </w:r>
      <w:r>
        <w:rPr>
          <w:lang w:eastAsia="en-US"/>
        </w:rPr>
        <w:t>f</w:t>
      </w:r>
      <w:r w:rsidRPr="00360C3B">
        <w:rPr>
          <w:lang w:eastAsia="en-US"/>
        </w:rPr>
        <w:t>ederal</w:t>
      </w:r>
      <w:r>
        <w:rPr>
          <w:lang w:eastAsia="en-US"/>
        </w:rPr>
        <w:t xml:space="preserve"> e que veda a aplicação retroativa de nova interpretação da norma administrativa</w:t>
      </w:r>
      <w:r w:rsidRPr="00360C3B">
        <w:rPr>
          <w:lang w:eastAsia="en-US"/>
        </w:rPr>
        <w:t>.</w:t>
      </w:r>
    </w:p>
  </w:footnote>
  <w:footnote w:id="20">
    <w:p w14:paraId="702AF160" w14:textId="42D6EF76" w:rsidR="00A06D49" w:rsidRDefault="00A06D49" w:rsidP="00A23ED4">
      <w:pPr>
        <w:pStyle w:val="Textodenotaderodap"/>
      </w:pPr>
      <w:r w:rsidRPr="0054283A">
        <w:rPr>
          <w:rStyle w:val="Refdenotaderodap"/>
        </w:rPr>
        <w:footnoteRef/>
      </w:r>
      <w:r w:rsidRPr="0054283A">
        <w:t xml:space="preserve"> </w:t>
      </w:r>
      <w:r>
        <w:t xml:space="preserve">STJ − REsp n. 1.349.790/RJ – 2ª Seção – Rel. Min. Maria Isabel Gallotti – j. 25/09/2013 – </w:t>
      </w:r>
      <w:r w:rsidRPr="00CD763C">
        <w:rPr>
          <w:i/>
        </w:rPr>
        <w:t>DJe</w:t>
      </w:r>
      <w:r>
        <w:t>, de 27/02/2014.</w:t>
      </w:r>
    </w:p>
  </w:footnote>
  <w:footnote w:id="21">
    <w:p w14:paraId="52269E74" w14:textId="59504B5A" w:rsidR="00A06D49" w:rsidRDefault="00A06D49" w:rsidP="00A23ED4">
      <w:pPr>
        <w:pStyle w:val="Textodenotaderodap"/>
      </w:pPr>
      <w:r>
        <w:rPr>
          <w:rStyle w:val="Refdenotaderodap"/>
        </w:rPr>
        <w:footnoteRef/>
      </w:r>
      <w:r>
        <w:t xml:space="preserve"> STJ: EDcl no REsp n. 895.629/SP – 4ª T. – Rel. Min. Antonio Carlos Ferreira – j. 12/11/2013 – </w:t>
      </w:r>
      <w:r w:rsidRPr="00CD763C">
        <w:rPr>
          <w:i/>
        </w:rPr>
        <w:t>DJe</w:t>
      </w:r>
      <w:r>
        <w:t xml:space="preserve">, de 25/11/2013; AgRg no Ag n. 1.312.084/ES – 4ª T. – Rel. Min. Raul Araújo – j. 17/12/2013 – </w:t>
      </w:r>
      <w:r w:rsidRPr="00CD763C">
        <w:rPr>
          <w:i/>
        </w:rPr>
        <w:t>DJe</w:t>
      </w:r>
      <w:r>
        <w:t xml:space="preserve">, de 03/02/2014 – RDDP 133/143; AgRg no REsp n. 1.244.093/SP – 3ª T. – Rel. Min. João Otávio de Noronha – j. 22/04/2014 – </w:t>
      </w:r>
      <w:r w:rsidRPr="00CD763C">
        <w:rPr>
          <w:i/>
        </w:rPr>
        <w:t>DJe</w:t>
      </w:r>
      <w:r>
        <w:t xml:space="preserve">, de 02/05/2014; AgRg no REsp n. 1.259.764/MG – 4ª T. – Rel. Min. Luis Felipe Salomão – j. 05/06/2014 – </w:t>
      </w:r>
      <w:r w:rsidRPr="00CD763C">
        <w:rPr>
          <w:i/>
        </w:rPr>
        <w:t>DJe</w:t>
      </w:r>
      <w:r>
        <w:t xml:space="preserve">, de 13/06/2014 – </w:t>
      </w:r>
      <w:r w:rsidRPr="00CD53D9">
        <w:rPr>
          <w:i/>
        </w:rPr>
        <w:t>REVJUR</w:t>
      </w:r>
      <w:r>
        <w:t xml:space="preserve"> 440/87; AgRg no EDcl no REsp n. 1.459.296/SP – 3ª T. – Rel. </w:t>
      </w:r>
      <w:r w:rsidRPr="00CD53D9">
        <w:t xml:space="preserve">Min. Sidnei Beneti – j. 19/08/2014 – </w:t>
      </w:r>
      <w:r w:rsidRPr="00CD763C">
        <w:rPr>
          <w:i/>
        </w:rPr>
        <w:t>DJe</w:t>
      </w:r>
      <w:r>
        <w:t>, de</w:t>
      </w:r>
      <w:r w:rsidRPr="00CD53D9">
        <w:t xml:space="preserve"> 01/09/2014; AgRg no REsp </w:t>
      </w:r>
      <w:r>
        <w:t xml:space="preserve">n. </w:t>
      </w:r>
      <w:r w:rsidRPr="00CD53D9">
        <w:t xml:space="preserve">1.459.544/DF – 3ª T. – Rel. Min. Nancy Andrighi – j. 21/08/2014 – </w:t>
      </w:r>
      <w:r w:rsidRPr="00CD763C">
        <w:rPr>
          <w:i/>
        </w:rPr>
        <w:t>DJe</w:t>
      </w:r>
      <w:r>
        <w:t>, de</w:t>
      </w:r>
      <w:r w:rsidRPr="00CD53D9">
        <w:t xml:space="preserve"> 01/09/2014; AgRg no AREsp </w:t>
      </w:r>
      <w:r>
        <w:t xml:space="preserve">n. </w:t>
      </w:r>
      <w:r w:rsidRPr="00CD53D9">
        <w:t xml:space="preserve">133.089/RS – 3ª T. – Rel. </w:t>
      </w:r>
      <w:r>
        <w:t xml:space="preserve">Min. João Otávio de Noronha – j. 25/11/2014 – </w:t>
      </w:r>
      <w:r w:rsidRPr="00CD763C">
        <w:rPr>
          <w:i/>
        </w:rPr>
        <w:t>DJe</w:t>
      </w:r>
      <w:r>
        <w:t xml:space="preserve">, de 11/12/2014; AgRg no REsp n. 1.301.484/RJ – 4ª T. – Rel. Min. Marco Buzzi – j. 16/12/2014 – </w:t>
      </w:r>
      <w:r w:rsidRPr="00CD763C">
        <w:rPr>
          <w:i/>
        </w:rPr>
        <w:t>DJe</w:t>
      </w:r>
      <w:r>
        <w:t xml:space="preserve">, de 19/12/2014; AgRg no AREsp n. 204.653/MG – 3ª T. – Rel. Min. Paulo de Tarso Sanseverino – j. 10/02/2015 – </w:t>
      </w:r>
      <w:r w:rsidRPr="00CD763C">
        <w:rPr>
          <w:i/>
        </w:rPr>
        <w:t>DJe</w:t>
      </w:r>
      <w:r>
        <w:t xml:space="preserve">, de 18/02/2015; AgRg no EDcl no REsp n. 949.148/GO – 3ª T. – Rel. Min. Ricardo Villas Bôas Cueva – j. 24/02/0215 – </w:t>
      </w:r>
      <w:r w:rsidRPr="00CD763C">
        <w:rPr>
          <w:i/>
        </w:rPr>
        <w:t>DJe</w:t>
      </w:r>
      <w:r>
        <w:t xml:space="preserve">, de 02/03/2015; AgRg no REsp n. 1.379.144/SP – 4ª T. – Rel. Min. Raul Araújo – j. 24/03/2015 – </w:t>
      </w:r>
      <w:r w:rsidRPr="00CD763C">
        <w:rPr>
          <w:i/>
        </w:rPr>
        <w:t>DJe</w:t>
      </w:r>
      <w:r>
        <w:t xml:space="preserve">, de 23/04/2015; AgRg no REsp n. 1.360.577/MG – 4ª T. – Rel. </w:t>
      </w:r>
      <w:r w:rsidRPr="00CD53D9">
        <w:t xml:space="preserve">Min. Maria Isabel Gallotti – j. 16/04/2015 – </w:t>
      </w:r>
      <w:r w:rsidRPr="00CD763C">
        <w:rPr>
          <w:i/>
        </w:rPr>
        <w:t>DJe</w:t>
      </w:r>
      <w:r>
        <w:t>, de</w:t>
      </w:r>
      <w:r w:rsidRPr="00CD53D9">
        <w:t xml:space="preserve"> 27/04/2015; REsp </w:t>
      </w:r>
      <w:r>
        <w:t xml:space="preserve">n. </w:t>
      </w:r>
      <w:r w:rsidRPr="00CD53D9">
        <w:t xml:space="preserve">1.371.847/SP – 3ª T. – Rel. </w:t>
      </w:r>
      <w:r>
        <w:t xml:space="preserve">Min. Moura Ribeiro – j. 28/04/0215 – </w:t>
      </w:r>
      <w:r w:rsidRPr="00CD763C">
        <w:rPr>
          <w:i/>
        </w:rPr>
        <w:t>DJe</w:t>
      </w:r>
      <w:r>
        <w:t xml:space="preserve">, de 12/05/2015; AgRg nos EDcl no REsp n. 1.346.662/SP – 3ª T. – Rel. Min. Paulo de Tarso Sanseverino – j. 05/05/2015 – </w:t>
      </w:r>
      <w:r w:rsidRPr="00CD763C">
        <w:rPr>
          <w:i/>
        </w:rPr>
        <w:t>DJe</w:t>
      </w:r>
      <w:r>
        <w:t xml:space="preserve">, de 12/05/2015; AgRg no AREsp n. 511.348/PA – 4ª T. – Rel. Min. Luis Felipe Salomão – j. 18/06/2015 – </w:t>
      </w:r>
      <w:r w:rsidRPr="00CD763C">
        <w:rPr>
          <w:i/>
        </w:rPr>
        <w:t>DJe</w:t>
      </w:r>
      <w:r>
        <w:t xml:space="preserve">, de 26/06/2015; AgRg no Ag n. 1.394.287/RJ – 4ª T. – Rel. Min. Raul Araújo – j. 05/11/2015 – </w:t>
      </w:r>
      <w:r w:rsidRPr="00CD763C">
        <w:rPr>
          <w:i/>
        </w:rPr>
        <w:t>DJe</w:t>
      </w:r>
      <w:r>
        <w:t xml:space="preserve">, de 25/11/2015; AgRg no REsp n. 1.556.217/SP – 3ª T. – Rel. Min. Marco Aurélio Bellizze – j. 10/11/2015 – </w:t>
      </w:r>
      <w:r w:rsidRPr="00CD763C">
        <w:rPr>
          <w:i/>
        </w:rPr>
        <w:t>DJe</w:t>
      </w:r>
      <w:r>
        <w:t xml:space="preserve">, de 19/11/2015; AgRg no REsp n. 1.512.076/MG – 4ª T. – Rel. Min. Luis Felipe Salomão – j. 19/11/2015 – </w:t>
      </w:r>
      <w:r w:rsidRPr="00CD763C">
        <w:rPr>
          <w:i/>
        </w:rPr>
        <w:t>DJe</w:t>
      </w:r>
      <w:r>
        <w:t xml:space="preserve">, de 25/11/2015; AgRg no REsp n. 1.377.705/SP – 4ª T. – Rel. Min. Luis Felipe Salomão – j. 17/12/2015 – </w:t>
      </w:r>
      <w:r w:rsidRPr="00CD763C">
        <w:rPr>
          <w:i/>
        </w:rPr>
        <w:t>DJe</w:t>
      </w:r>
      <w:r>
        <w:t xml:space="preserve">, de 01/02/2016; AgRg no AREsp n. 746.052/RJ – 3ª T. – Rel. Min. Marco Aurélio Bellizze – j. 16/02/2016 – </w:t>
      </w:r>
      <w:r w:rsidRPr="00CD763C">
        <w:rPr>
          <w:i/>
        </w:rPr>
        <w:t>DJe</w:t>
      </w:r>
      <w:r>
        <w:t xml:space="preserve">, de 29/02/2016; EDcl n. REsp 1.371.847/SP – 3ª T. – Rel. Min. Moura Ribeiro – j. 16/02/2016 – </w:t>
      </w:r>
      <w:r w:rsidRPr="00CD763C">
        <w:rPr>
          <w:i/>
        </w:rPr>
        <w:t>DJe</w:t>
      </w:r>
      <w:r>
        <w:t xml:space="preserve">, de 23/02/2016; AgRg no AREsp n. 414.127/PR – 4ª T. – Rel. Min. Luis Felipe Salomão – j. 23/02/2016 – </w:t>
      </w:r>
      <w:r w:rsidRPr="00CD763C">
        <w:rPr>
          <w:i/>
        </w:rPr>
        <w:t>DJe</w:t>
      </w:r>
      <w:r>
        <w:t>, de 01/03/2016.</w:t>
      </w:r>
    </w:p>
  </w:footnote>
  <w:footnote w:id="22">
    <w:p w14:paraId="677568AE" w14:textId="78AE840F" w:rsidR="00A06D49" w:rsidRDefault="00A06D49" w:rsidP="00A23ED4">
      <w:pPr>
        <w:pStyle w:val="Textodenotaderodap"/>
      </w:pPr>
      <w:r w:rsidRPr="00986AFC">
        <w:rPr>
          <w:rStyle w:val="Refdenotaderodap"/>
        </w:rPr>
        <w:footnoteRef/>
      </w:r>
      <w:r w:rsidRPr="00986AFC">
        <w:t xml:space="preserve"> </w:t>
      </w:r>
      <w:r>
        <w:t xml:space="preserve">Há um único precedente na 2ª Turma prestigiando o entendimento sumulado, </w:t>
      </w:r>
      <w:r w:rsidRPr="00FF5DCD">
        <w:rPr>
          <w:i/>
          <w:lang w:val="lv-LV"/>
        </w:rPr>
        <w:t>verbis</w:t>
      </w:r>
      <w:r>
        <w:t>: “</w:t>
      </w:r>
      <w:r w:rsidRPr="00986AFC">
        <w:t xml:space="preserve">Firmou-se a jurisprudência do Superior Tribunal de Justiça, em reiterados precedentes, no sentido de que tratando-se de </w:t>
      </w:r>
      <w:r w:rsidRPr="00986AFC">
        <w:rPr>
          <w:bCs/>
        </w:rPr>
        <w:t>multa</w:t>
      </w:r>
      <w:r w:rsidRPr="00986AFC">
        <w:t xml:space="preserve"> em </w:t>
      </w:r>
      <w:r w:rsidRPr="00986AFC">
        <w:rPr>
          <w:bCs/>
        </w:rPr>
        <w:t>obrigação</w:t>
      </w:r>
      <w:r w:rsidRPr="00986AFC">
        <w:t xml:space="preserve"> de </w:t>
      </w:r>
      <w:r w:rsidRPr="00986AFC">
        <w:rPr>
          <w:bCs/>
        </w:rPr>
        <w:t>fazer,</w:t>
      </w:r>
      <w:r w:rsidRPr="00986AFC">
        <w:t xml:space="preserve"> o </w:t>
      </w:r>
      <w:r w:rsidRPr="00F37F76">
        <w:rPr>
          <w:i/>
        </w:rPr>
        <w:t>dies a quo</w:t>
      </w:r>
      <w:r w:rsidRPr="00986AFC">
        <w:t xml:space="preserve"> da incidência da </w:t>
      </w:r>
      <w:r w:rsidRPr="00986AFC">
        <w:rPr>
          <w:bCs/>
        </w:rPr>
        <w:t>multa</w:t>
      </w:r>
      <w:r w:rsidRPr="00986AFC">
        <w:t xml:space="preserve"> diária inicia com a </w:t>
      </w:r>
      <w:r w:rsidRPr="00986AFC">
        <w:rPr>
          <w:bCs/>
        </w:rPr>
        <w:t>intimação</w:t>
      </w:r>
      <w:r w:rsidRPr="00986AFC">
        <w:t xml:space="preserve"> pessoal do devedor para cumprimento da </w:t>
      </w:r>
      <w:r w:rsidRPr="00986AFC">
        <w:rPr>
          <w:bCs/>
        </w:rPr>
        <w:t>obrigação</w:t>
      </w:r>
      <w:r w:rsidRPr="00986AFC">
        <w:t xml:space="preserve"> (AgRg no Ag 1.189.289/RS, Rel. Min. Aldir Passarinho Junior, Quarta Turma, DJe 28/4/10)</w:t>
      </w:r>
      <w:r>
        <w:t xml:space="preserve">.” (STJ − AgRg no EDcl no AREsp n. 486.994/RS – 2ª T. – Rel. Min. Humberto Martins – j. 03/06/2014 – </w:t>
      </w:r>
      <w:r w:rsidRPr="00CD763C">
        <w:rPr>
          <w:i/>
        </w:rPr>
        <w:t>DJe</w:t>
      </w:r>
      <w:r>
        <w:t>, de 12/06/2014)</w:t>
      </w:r>
      <w:r w:rsidRPr="00986AFC">
        <w:t>.</w:t>
      </w:r>
    </w:p>
  </w:footnote>
  <w:footnote w:id="23">
    <w:p w14:paraId="2547A5F6" w14:textId="3D18E684" w:rsidR="00A06D49" w:rsidRDefault="00A06D49" w:rsidP="00A23ED4">
      <w:pPr>
        <w:pStyle w:val="Textodenotaderodap"/>
      </w:pPr>
      <w:r w:rsidRPr="005210B6">
        <w:rPr>
          <w:rStyle w:val="Refdenotaderodap"/>
        </w:rPr>
        <w:footnoteRef/>
      </w:r>
      <w:r w:rsidRPr="005210B6">
        <w:t xml:space="preserve"> </w:t>
      </w:r>
      <w:r>
        <w:t>“</w:t>
      </w:r>
      <w:r w:rsidRPr="005210B6">
        <w:t xml:space="preserve">O STJ assentou entendimento pela desnecessidade, a partir da vigência da Lei 11.232/2005, de </w:t>
      </w:r>
      <w:r w:rsidRPr="005210B6">
        <w:rPr>
          <w:bCs/>
        </w:rPr>
        <w:t>intimação</w:t>
      </w:r>
      <w:r w:rsidRPr="005210B6">
        <w:t xml:space="preserve"> pessoal do executado para cumprimento de sentença de </w:t>
      </w:r>
      <w:r w:rsidRPr="005210B6">
        <w:rPr>
          <w:bCs/>
        </w:rPr>
        <w:t>obrigação</w:t>
      </w:r>
      <w:r w:rsidRPr="005210B6">
        <w:t xml:space="preserve"> de </w:t>
      </w:r>
      <w:r w:rsidRPr="005210B6">
        <w:rPr>
          <w:bCs/>
        </w:rPr>
        <w:t>fazer,</w:t>
      </w:r>
      <w:r w:rsidRPr="005210B6">
        <w:t xml:space="preserve"> a fim de viabilizar a cominação da pena de </w:t>
      </w:r>
      <w:r w:rsidRPr="005210B6">
        <w:rPr>
          <w:bCs/>
        </w:rPr>
        <w:t>multa</w:t>
      </w:r>
      <w:r w:rsidRPr="005210B6">
        <w:t xml:space="preserve"> diária. Precedente: AgRg nos EAREsp 260</w:t>
      </w:r>
      <w:r>
        <w:t>.</w:t>
      </w:r>
      <w:r w:rsidRPr="005210B6">
        <w:t>190/RS, Rel. Ministro Castro Meira, Corte Especial,</w:t>
      </w:r>
      <w:r>
        <w:t xml:space="preserve"> </w:t>
      </w:r>
      <w:r w:rsidRPr="005210B6">
        <w:t>DJe 19</w:t>
      </w:r>
      <w:r>
        <w:t>/0</w:t>
      </w:r>
      <w:r w:rsidRPr="005210B6">
        <w:t>8</w:t>
      </w:r>
      <w:r>
        <w:t>/</w:t>
      </w:r>
      <w:r w:rsidRPr="005210B6">
        <w:t>2013.</w:t>
      </w:r>
      <w:r>
        <w:t xml:space="preserve">” </w:t>
      </w:r>
      <w:r w:rsidRPr="009B45F6">
        <w:t xml:space="preserve">(STJ − AgRg no AREsp n. </w:t>
      </w:r>
      <w:r w:rsidRPr="00CE1E3C">
        <w:rPr>
          <w:lang w:val="en-US"/>
        </w:rPr>
        <w:t xml:space="preserve">405.565/RJ – 2ª T. – Rel. Min. Herman Benjamin – j. 03/12/2013 – </w:t>
      </w:r>
      <w:r w:rsidRPr="009B45F6">
        <w:rPr>
          <w:i/>
          <w:lang w:val="en-US"/>
        </w:rPr>
        <w:t>DJe</w:t>
      </w:r>
      <w:r w:rsidRPr="009B45F6">
        <w:rPr>
          <w:lang w:val="en-US"/>
        </w:rPr>
        <w:t>, de</w:t>
      </w:r>
      <w:r w:rsidRPr="00CE1E3C">
        <w:rPr>
          <w:lang w:val="en-US"/>
        </w:rPr>
        <w:t xml:space="preserve"> 28/02/2014). </w:t>
      </w:r>
      <w:r>
        <w:t xml:space="preserve">No mesmo sentido: AgRg no AREsp n. 503.172/RJ – 2ª T. – Rel. Min. Mauro Campbell Marques – j. 10/06/0214 – </w:t>
      </w:r>
      <w:r w:rsidRPr="00CD763C">
        <w:rPr>
          <w:i/>
        </w:rPr>
        <w:t>DJe</w:t>
      </w:r>
      <w:r>
        <w:t xml:space="preserve">, de 17/06/2014; AgRg no REsp n. 1.449.675/SP – 2ª T. – Rel. </w:t>
      </w:r>
      <w:r w:rsidRPr="009B45F6">
        <w:t xml:space="preserve">Min. Herman Benjamin – j. 07/08/2014 – </w:t>
      </w:r>
      <w:r w:rsidRPr="00CD763C">
        <w:rPr>
          <w:i/>
        </w:rPr>
        <w:t>DJe</w:t>
      </w:r>
      <w:r>
        <w:t>, de</w:t>
      </w:r>
      <w:r w:rsidRPr="009B45F6">
        <w:t xml:space="preserve"> 09/10/2014; AgRg no Ag </w:t>
      </w:r>
      <w:r>
        <w:t xml:space="preserve">n. </w:t>
      </w:r>
      <w:r w:rsidRPr="009B45F6">
        <w:t xml:space="preserve">1.408.000/RJ – 1ª T. – Rel. </w:t>
      </w:r>
      <w:r>
        <w:t xml:space="preserve">Min. Sérgio Kukina – j. 03/02/2015 – </w:t>
      </w:r>
      <w:r w:rsidRPr="00CD763C">
        <w:rPr>
          <w:i/>
        </w:rPr>
        <w:t>DJe</w:t>
      </w:r>
      <w:r>
        <w:t xml:space="preserve">, de 11/02/2015; AgRg no REsp n. 1.499.656/RJ – 2ª T. – Rel. </w:t>
      </w:r>
      <w:r w:rsidRPr="009B45F6">
        <w:t xml:space="preserve">Min. Herman Benjamin – j. 19/03/2015 – </w:t>
      </w:r>
      <w:r w:rsidRPr="00CD763C">
        <w:rPr>
          <w:i/>
        </w:rPr>
        <w:t>DJe</w:t>
      </w:r>
      <w:r>
        <w:t>, de</w:t>
      </w:r>
      <w:r w:rsidRPr="009B45F6">
        <w:t xml:space="preserve"> 06/04/2015; AgRg no REsp </w:t>
      </w:r>
      <w:r>
        <w:t xml:space="preserve">n. </w:t>
      </w:r>
      <w:r w:rsidRPr="009B45F6">
        <w:t xml:space="preserve">1.502.270/RJ – 2ª T. – Rel. Min. Herman Benjamin – j. 07/04/2015 – </w:t>
      </w:r>
      <w:r w:rsidRPr="00CD763C">
        <w:rPr>
          <w:i/>
        </w:rPr>
        <w:t>DJe</w:t>
      </w:r>
      <w:r>
        <w:t>, de</w:t>
      </w:r>
      <w:r w:rsidRPr="009B45F6">
        <w:t xml:space="preserve"> 21/05/2015; AgRg no REsp </w:t>
      </w:r>
      <w:r>
        <w:t xml:space="preserve">n. </w:t>
      </w:r>
      <w:r w:rsidRPr="009B45F6">
        <w:t xml:space="preserve">1.542.044/RJ – 2ª T. – Rel. </w:t>
      </w:r>
      <w:r>
        <w:t xml:space="preserve">Min. Mauro Campbell Marques – j. 03/09/2015 – </w:t>
      </w:r>
      <w:r w:rsidRPr="00CD763C">
        <w:rPr>
          <w:i/>
        </w:rPr>
        <w:t>DJe</w:t>
      </w:r>
      <w:r>
        <w:t xml:space="preserve">, de 17/09/2015; AgRg no AREsp n. 725.992/RJ – 1ª T. – Rel. Min. Sérgio Kukina – j. 27/10/2015 – </w:t>
      </w:r>
      <w:r w:rsidRPr="00CD763C">
        <w:rPr>
          <w:i/>
        </w:rPr>
        <w:t>DJe</w:t>
      </w:r>
      <w:r>
        <w:t xml:space="preserve">, de 09/11/2015; AgRg no REsp n. 1.548.553/RJ – 1ª T. – Rel. Min. Sérgio Kukina – j. 19/04/2016 – </w:t>
      </w:r>
      <w:r w:rsidRPr="00CD763C">
        <w:rPr>
          <w:i/>
        </w:rPr>
        <w:t>DJe</w:t>
      </w:r>
      <w:r>
        <w:t>, de 27/04/2016.</w:t>
      </w:r>
    </w:p>
  </w:footnote>
  <w:footnote w:id="24">
    <w:p w14:paraId="766C10B1" w14:textId="0F46B802" w:rsidR="00A06D49" w:rsidRDefault="00A06D49" w:rsidP="00A23ED4">
      <w:pPr>
        <w:pStyle w:val="Textodenotaderodap"/>
      </w:pPr>
      <w:r>
        <w:rPr>
          <w:rStyle w:val="Refdenotaderodap"/>
        </w:rPr>
        <w:footnoteRef/>
      </w:r>
      <w:r w:rsidRPr="009B45F6">
        <w:t xml:space="preserve"> STJ − AgRg nos EAREsp n. 260.190/RS − </w:t>
      </w:r>
      <w:r>
        <w:t xml:space="preserve">Corte Especial − </w:t>
      </w:r>
      <w:r w:rsidRPr="009B45F6">
        <w:t xml:space="preserve">Rel. </w:t>
      </w:r>
      <w:r w:rsidRPr="005210B6">
        <w:t>Min</w:t>
      </w:r>
      <w:r>
        <w:t>.</w:t>
      </w:r>
      <w:r w:rsidRPr="005210B6">
        <w:t xml:space="preserve"> Castro Meira</w:t>
      </w:r>
      <w:r>
        <w:t xml:space="preserve"> −</w:t>
      </w:r>
      <w:r w:rsidRPr="005210B6">
        <w:t xml:space="preserve"> </w:t>
      </w:r>
      <w:r w:rsidRPr="00CD763C">
        <w:rPr>
          <w:i/>
        </w:rPr>
        <w:t>DJe</w:t>
      </w:r>
      <w:r>
        <w:t>, de</w:t>
      </w:r>
      <w:r w:rsidRPr="005210B6">
        <w:t xml:space="preserve"> 19</w:t>
      </w:r>
      <w:r>
        <w:t>/0</w:t>
      </w:r>
      <w:r w:rsidRPr="005210B6">
        <w:t>8</w:t>
      </w:r>
      <w:r>
        <w:t>/</w:t>
      </w:r>
      <w:r w:rsidRPr="005210B6">
        <w:t>2013</w:t>
      </w:r>
      <w:r>
        <w:t>.</w:t>
      </w:r>
    </w:p>
  </w:footnote>
  <w:footnote w:id="25">
    <w:p w14:paraId="0A55AAF1" w14:textId="538AFA44" w:rsidR="00A06D49" w:rsidRDefault="00A06D49">
      <w:pPr>
        <w:pStyle w:val="Textodenotaderodap"/>
      </w:pPr>
      <w:r>
        <w:rPr>
          <w:rStyle w:val="Refdenotaderodap"/>
        </w:rPr>
        <w:footnoteRef/>
      </w:r>
      <w:r>
        <w:t xml:space="preserve"> Em que a obrigação de fazer foi espontaneamente cumprida pelo devedor antes da intimação efetivada na pessoa de seu patrono.</w:t>
      </w:r>
    </w:p>
  </w:footnote>
  <w:footnote w:id="26">
    <w:p w14:paraId="23989D59" w14:textId="4377C4BC" w:rsidR="00A06D49" w:rsidRDefault="00A06D49" w:rsidP="00A23ED4">
      <w:pPr>
        <w:pStyle w:val="Textodenotaderodap"/>
      </w:pPr>
      <w:r>
        <w:rPr>
          <w:rStyle w:val="Refdenotaderodap"/>
        </w:rPr>
        <w:footnoteRef/>
      </w:r>
      <w:r>
        <w:t xml:space="preserve"> </w:t>
      </w:r>
      <w:r w:rsidRPr="00C261E2">
        <w:t>ÁVILA, Humberto</w:t>
      </w:r>
      <w:r>
        <w:t>,</w:t>
      </w:r>
      <w:r w:rsidRPr="00C261E2">
        <w:t xml:space="preserve"> </w:t>
      </w:r>
      <w:r w:rsidRPr="006A0DC7">
        <w:rPr>
          <w:i/>
        </w:rPr>
        <w:t>Teoria da segurança jurídica</w:t>
      </w:r>
      <w:r>
        <w:t>, cit.</w:t>
      </w:r>
      <w:r w:rsidRPr="00C261E2">
        <w:t>,</w:t>
      </w:r>
      <w:r>
        <w:t xml:space="preserve"> p. 478.</w:t>
      </w:r>
    </w:p>
  </w:footnote>
  <w:footnote w:id="27">
    <w:p w14:paraId="24DF9955" w14:textId="36EABD53" w:rsidR="00A06D49" w:rsidRPr="00224DE6" w:rsidRDefault="00A06D49" w:rsidP="00A23ED4">
      <w:pPr>
        <w:pStyle w:val="Textodenotaderodap"/>
      </w:pPr>
      <w:r>
        <w:rPr>
          <w:rStyle w:val="Refdenotaderodap"/>
        </w:rPr>
        <w:footnoteRef/>
      </w:r>
      <w:r>
        <w:t xml:space="preserve"> MARINONI, Luiz Guilherme, Artigos 926 a 928, in</w:t>
      </w:r>
      <w:r w:rsidRPr="002179DB">
        <w:t xml:space="preserve"> </w:t>
      </w:r>
      <w:r w:rsidRPr="002179DB">
        <w:rPr>
          <w:i/>
        </w:rPr>
        <w:t>Breves comentários ao novo Código de Processo Civil</w:t>
      </w:r>
      <w:r>
        <w:t>,</w:t>
      </w:r>
      <w:r w:rsidRPr="00666B66">
        <w:t xml:space="preserve"> </w:t>
      </w:r>
      <w:r>
        <w:t>cit., p. 2.073.</w:t>
      </w:r>
    </w:p>
  </w:footnote>
  <w:footnote w:id="28">
    <w:p w14:paraId="494D7BA2" w14:textId="69A199A5" w:rsidR="00A06D49" w:rsidRDefault="00A06D49" w:rsidP="00A23ED4">
      <w:pPr>
        <w:pStyle w:val="Textodenotaderodap"/>
      </w:pPr>
      <w:r>
        <w:rPr>
          <w:rStyle w:val="Refdenotaderodap"/>
        </w:rPr>
        <w:footnoteRef/>
      </w:r>
      <w:r>
        <w:t xml:space="preserve"> BUENO, Cassio Scarpinella. </w:t>
      </w:r>
      <w:r w:rsidRPr="006A0DC7">
        <w:rPr>
          <w:i/>
        </w:rPr>
        <w:t>Manual de direito processual civil</w:t>
      </w:r>
      <w:r>
        <w:t>: inteiramente estruturado à luz do novo CPC, de acordo com a Lei n. 13.256, de 4.2.2016. 2. ed. rev., atual. e ampl. São Paulo: Saraiva, 2016. p. 423.</w:t>
      </w:r>
    </w:p>
  </w:footnote>
  <w:footnote w:id="29">
    <w:p w14:paraId="4D45D00B" w14:textId="7796BEE7" w:rsidR="00A06D49" w:rsidRPr="00C03907" w:rsidRDefault="00A06D49" w:rsidP="00A23ED4">
      <w:pPr>
        <w:pStyle w:val="Textodenotaderodap"/>
        <w:rPr>
          <w:i/>
        </w:rPr>
      </w:pPr>
      <w:r>
        <w:rPr>
          <w:rStyle w:val="Refdenotaderodap"/>
        </w:rPr>
        <w:footnoteRef/>
      </w:r>
      <w:r>
        <w:t xml:space="preserve"> MARINONI, Luiz Guilherme;</w:t>
      </w:r>
      <w:r w:rsidRPr="00BE2D0E">
        <w:t xml:space="preserve"> </w:t>
      </w:r>
      <w:r>
        <w:t xml:space="preserve">ARENHART, Sérgio Cruz; </w:t>
      </w:r>
      <w:r w:rsidRPr="00BE2D0E">
        <w:t xml:space="preserve">MITIDIERO, Daniel. </w:t>
      </w:r>
      <w:r w:rsidRPr="002179DB">
        <w:rPr>
          <w:i/>
        </w:rPr>
        <w:t xml:space="preserve">Novo Código de </w:t>
      </w:r>
      <w:r>
        <w:rPr>
          <w:i/>
        </w:rPr>
        <w:t>P</w:t>
      </w:r>
      <w:r w:rsidRPr="002179DB">
        <w:rPr>
          <w:i/>
        </w:rPr>
        <w:t xml:space="preserve">rocesso </w:t>
      </w:r>
      <w:r>
        <w:rPr>
          <w:i/>
        </w:rPr>
        <w:t>C</w:t>
      </w:r>
      <w:r w:rsidRPr="002179DB">
        <w:rPr>
          <w:i/>
        </w:rPr>
        <w:t>ivil comentado</w:t>
      </w:r>
      <w:r>
        <w:t>.</w:t>
      </w:r>
      <w:r w:rsidRPr="00BE2D0E">
        <w:t xml:space="preserve"> São Paulo: </w:t>
      </w:r>
      <w:r>
        <w:t xml:space="preserve">Revista dos Tribunais, 2015. p. 530; </w:t>
      </w:r>
      <w:r w:rsidRPr="00BE2D0E">
        <w:t>MEDINA, José Miguel Garcia</w:t>
      </w:r>
      <w:r>
        <w:t xml:space="preserve">, </w:t>
      </w:r>
      <w:r w:rsidRPr="002179DB">
        <w:rPr>
          <w:i/>
        </w:rPr>
        <w:t xml:space="preserve">Novo Código de Processo Civil </w:t>
      </w:r>
      <w:r>
        <w:rPr>
          <w:i/>
        </w:rPr>
        <w:t>c</w:t>
      </w:r>
      <w:r w:rsidRPr="002179DB">
        <w:rPr>
          <w:i/>
        </w:rPr>
        <w:t>omentado</w:t>
      </w:r>
      <w:r>
        <w:t>: c</w:t>
      </w:r>
      <w:r w:rsidRPr="00DD6A9E">
        <w:t>om remissões e notas comparativas ao CPC/1973</w:t>
      </w:r>
      <w:r>
        <w:t xml:space="preserve">, cit., p. 858; </w:t>
      </w:r>
      <w:r w:rsidRPr="00BE2D0E">
        <w:t>WAMBIER, Teresa Arruda Alvim</w:t>
      </w:r>
      <w:r>
        <w:t xml:space="preserve"> et al. </w:t>
      </w:r>
      <w:r w:rsidRPr="00767386">
        <w:rPr>
          <w:i/>
        </w:rPr>
        <w:t xml:space="preserve">Primeiros comentários ao novo </w:t>
      </w:r>
      <w:r>
        <w:rPr>
          <w:i/>
        </w:rPr>
        <w:t>C</w:t>
      </w:r>
      <w:r w:rsidRPr="00767386">
        <w:rPr>
          <w:i/>
        </w:rPr>
        <w:t xml:space="preserve">ódigo de </w:t>
      </w:r>
      <w:r>
        <w:rPr>
          <w:i/>
        </w:rPr>
        <w:t>P</w:t>
      </w:r>
      <w:r w:rsidRPr="00767386">
        <w:rPr>
          <w:i/>
        </w:rPr>
        <w:t xml:space="preserve">rocesso </w:t>
      </w:r>
      <w:r>
        <w:rPr>
          <w:i/>
        </w:rPr>
        <w:t>C</w:t>
      </w:r>
      <w:r w:rsidRPr="00767386">
        <w:rPr>
          <w:i/>
        </w:rPr>
        <w:t>ivil</w:t>
      </w:r>
      <w:r w:rsidRPr="00767386">
        <w:t>: artigo por artigo.</w:t>
      </w:r>
      <w:r w:rsidRPr="001A5B0A">
        <w:t xml:space="preserve"> São Paulo: Revistas dos Tribunais, 201</w:t>
      </w:r>
      <w:r>
        <w:t xml:space="preserve">5. p. 842; BUENO, Cassio Scarpinella, </w:t>
      </w:r>
      <w:r w:rsidRPr="006A0DC7">
        <w:rPr>
          <w:i/>
        </w:rPr>
        <w:t>Manual de direito processual civil</w:t>
      </w:r>
      <w:r>
        <w:t>: inteiramente estruturado à luz do novo CPC, de acordo com a Lei n. 13.256, de 4.2.2016, cit., p. 424.</w:t>
      </w:r>
    </w:p>
  </w:footnote>
  <w:footnote w:id="30">
    <w:p w14:paraId="301F19FD" w14:textId="7111BCDB" w:rsidR="00A06D49" w:rsidRDefault="00A06D49" w:rsidP="00A23ED4">
      <w:pPr>
        <w:pStyle w:val="Textodenotaderodap"/>
      </w:pPr>
      <w:r>
        <w:rPr>
          <w:rStyle w:val="Refdenotaderodap"/>
        </w:rPr>
        <w:footnoteRef/>
      </w:r>
      <w:r>
        <w:t xml:space="preserve"> Imagine-se, por hipótese, o tempo necessário para o cumprimento de sentença de uma sentença determinando a total despoluição do Rio Doce e a reconstrução do Município de Mariana, em razão do acidente de rompimento da barragem ocorrido em novembro de 2015.</w:t>
      </w:r>
    </w:p>
  </w:footnote>
  <w:footnote w:id="31">
    <w:p w14:paraId="721F1ECE" w14:textId="53A02D9F" w:rsidR="00A06D49" w:rsidRDefault="00A06D49" w:rsidP="00A23ED4">
      <w:pPr>
        <w:pStyle w:val="Textodenotaderodap"/>
      </w:pPr>
      <w:r>
        <w:rPr>
          <w:rStyle w:val="Refdenotaderodap"/>
        </w:rPr>
        <w:footnoteRef/>
      </w:r>
      <w:r>
        <w:t xml:space="preserve"> </w:t>
      </w:r>
      <w:r w:rsidRPr="00BE2D0E">
        <w:t xml:space="preserve">WAMBIER, Teresa Arruda Alvim. </w:t>
      </w:r>
      <w:r w:rsidRPr="009029E1">
        <w:rPr>
          <w:i/>
        </w:rPr>
        <w:t>Recurso especial, recurso extraordinário e ação rescisória</w:t>
      </w:r>
      <w:r w:rsidRPr="00BE2D0E">
        <w:t xml:space="preserve">. </w:t>
      </w:r>
      <w:r w:rsidRPr="009029E1">
        <w:t>2. ed. reform. e atual.</w:t>
      </w:r>
      <w:r>
        <w:t xml:space="preserve"> </w:t>
      </w:r>
      <w:r w:rsidRPr="00BE2D0E">
        <w:t>São Paulo: R</w:t>
      </w:r>
      <w:r>
        <w:t xml:space="preserve">evista dos </w:t>
      </w:r>
      <w:r w:rsidRPr="00BE2D0E">
        <w:t>T</w:t>
      </w:r>
      <w:r>
        <w:t>ribunais, 2008. p. 76.</w:t>
      </w:r>
    </w:p>
  </w:footnote>
  <w:footnote w:id="32">
    <w:p w14:paraId="611B73EE" w14:textId="169DA29F" w:rsidR="00A06D49" w:rsidRDefault="00A06D49" w:rsidP="00A64AE3">
      <w:pPr>
        <w:pStyle w:val="Notaderodap"/>
      </w:pPr>
      <w:r>
        <w:rPr>
          <w:rStyle w:val="Refdenotaderodap"/>
        </w:rPr>
        <w:footnoteRef/>
      </w:r>
      <w:r>
        <w:t xml:space="preserve"> Imagine-se a situação da parte que, confiando na atuação do Estado-juiz, bem como no desempenho de advogado, é surpreendida com a imposição de elevada multa processual – em valor muito superior ao do próprio bem jurídico envolvido na demanda –, aplicada por falta de atendimento a um comando que comprovadamente não chegou a ter efetivo conhecimento. De quem será a culpa? A resposta a essa indagação pode ser objeto de um particular estudo, não tendo o subscritor, neste momento, segurança para respondê-la.</w:t>
      </w:r>
    </w:p>
  </w:footnote>
  <w:footnote w:id="33">
    <w:p w14:paraId="717B0464" w14:textId="486C76B0" w:rsidR="00A06D49" w:rsidRDefault="00A06D49" w:rsidP="00A23ED4">
      <w:pPr>
        <w:pStyle w:val="Textodenotaderodap"/>
        <w:rPr>
          <w:lang w:eastAsia="en-US"/>
        </w:rPr>
      </w:pPr>
      <w:r>
        <w:rPr>
          <w:rStyle w:val="Refdenotaderodap"/>
        </w:rPr>
        <w:footnoteRef/>
      </w:r>
      <w:r>
        <w:t xml:space="preserve"> </w:t>
      </w:r>
      <w:r>
        <w:rPr>
          <w:lang w:eastAsia="en-US"/>
        </w:rPr>
        <w:t>“</w:t>
      </w:r>
      <w:r w:rsidRPr="00393DEF">
        <w:rPr>
          <w:lang w:eastAsia="en-US"/>
        </w:rPr>
        <w:t xml:space="preserve">Administrativo. Fornecimento de medicação. Imposição de </w:t>
      </w:r>
      <w:r w:rsidRPr="00393DEF">
        <w:rPr>
          <w:bCs/>
          <w:lang w:eastAsia="en-US"/>
        </w:rPr>
        <w:t>multa</w:t>
      </w:r>
      <w:r w:rsidRPr="00393DEF">
        <w:rPr>
          <w:lang w:eastAsia="en-US"/>
        </w:rPr>
        <w:t xml:space="preserve"> diária. Revisão do valor. Impossibilidade. Súmula 7/STJ. Recurso especial. Violação a enunciado sumular. Irregularidade formal. I - Padece de irregularidade formal o recurso especial que simplesmente sugere afronta a enunciado sumular, segundo entendimento já assentado na Corte Especial. Precedente: AgRg no REsp nº 942.389/SP, Rel. Min. Eliana Calmon, DJ de 02.10.2007. II - É entendimento assente nesta Corte que é possível ao juiz, de ofício ou a requerimento da parte, impor </w:t>
      </w:r>
      <w:r w:rsidRPr="00393DEF">
        <w:rPr>
          <w:bCs/>
          <w:lang w:eastAsia="en-US"/>
        </w:rPr>
        <w:t>multa</w:t>
      </w:r>
      <w:r w:rsidRPr="00393DEF">
        <w:rPr>
          <w:lang w:eastAsia="en-US"/>
        </w:rPr>
        <w:t xml:space="preserve"> diária cominatória contra a Fazenda Pública, em caso de descumprimento de </w:t>
      </w:r>
      <w:r w:rsidRPr="00393DEF">
        <w:rPr>
          <w:bCs/>
          <w:lang w:eastAsia="en-US"/>
        </w:rPr>
        <w:t>obrigação de fazer.</w:t>
      </w:r>
      <w:r w:rsidRPr="00393DEF">
        <w:rPr>
          <w:lang w:eastAsia="en-US"/>
        </w:rPr>
        <w:t xml:space="preserve"> Precedentes: AgRg no REsp nº 963.416/RS, Rel. Min. Denise Arruda, DJe de 11/06/2008; AgRg no REsp nº 903.113/RS, Rel. Min. Eliana Calmon, DJ de 14/05/2007; AgRg no REsp nº 855.787/RS, Rel. Min. Luiz Fux, DJ de 27.11.2006. III - O pedido pela redução do valor estipulado a título de </w:t>
      </w:r>
      <w:r w:rsidRPr="00393DEF">
        <w:rPr>
          <w:bCs/>
          <w:lang w:eastAsia="en-US"/>
        </w:rPr>
        <w:t>multa</w:t>
      </w:r>
      <w:r w:rsidRPr="00393DEF">
        <w:rPr>
          <w:lang w:eastAsia="en-US"/>
        </w:rPr>
        <w:t xml:space="preserve"> diária esbarra no óbice sumular nº 7 deste STJ. Precedentes: AgRg no Ag nº 856.775/RS, Rel. Min. Humberto Gomes De Barros, DJ de 31/10/2007; REsp nº 451.017/SP, Rel. Min. Felix Fischer, DJ de 04/11/2002; AGA nº 334.301/SP, Rel. Min. Fernando Gonçalves, DJ de 18/12/200. IV - O valor da </w:t>
      </w:r>
      <w:r w:rsidRPr="00393DEF">
        <w:rPr>
          <w:bCs/>
          <w:lang w:eastAsia="en-US"/>
        </w:rPr>
        <w:t>multa</w:t>
      </w:r>
      <w:r w:rsidRPr="00393DEF">
        <w:rPr>
          <w:lang w:eastAsia="en-US"/>
        </w:rPr>
        <w:t xml:space="preserve"> cominatória pode </w:t>
      </w:r>
      <w:r w:rsidRPr="00393DEF">
        <w:rPr>
          <w:bCs/>
          <w:lang w:eastAsia="en-US"/>
        </w:rPr>
        <w:t>ultrapassar</w:t>
      </w:r>
      <w:r w:rsidRPr="00393DEF">
        <w:rPr>
          <w:lang w:eastAsia="en-US"/>
        </w:rPr>
        <w:t xml:space="preserve"> o valor da obrigação a ser prestada, porque a sua natureza não é compensatória, porquanto visa persuadir o devedor a realizar a prestação devida (REsp nº 770.753/RS, Rel. Min. Luiz Fux, DJ de 15/03/2007). V - Agravo regimental improvido.</w:t>
      </w:r>
      <w:r>
        <w:rPr>
          <w:lang w:eastAsia="en-US"/>
        </w:rPr>
        <w:t xml:space="preserve">” (STJ − AgRg no REsp n. 1.064.704/SC – 1ª T. – Rel. Min. Francisco Falcão – j. 11/11/2008 – </w:t>
      </w:r>
      <w:r w:rsidRPr="00CD763C">
        <w:rPr>
          <w:i/>
        </w:rPr>
        <w:t>DJe</w:t>
      </w:r>
      <w:r>
        <w:t>, de</w:t>
      </w:r>
      <w:r>
        <w:rPr>
          <w:lang w:eastAsia="en-US"/>
        </w:rPr>
        <w:t xml:space="preserve"> 17/11/2008).</w:t>
      </w:r>
    </w:p>
  </w:footnote>
  <w:footnote w:id="34">
    <w:p w14:paraId="3971334B" w14:textId="2854B6EB" w:rsidR="00A06D49" w:rsidRDefault="00A06D49" w:rsidP="00A23ED4">
      <w:pPr>
        <w:pStyle w:val="Textodenotaderodap"/>
      </w:pPr>
      <w:r>
        <w:rPr>
          <w:rStyle w:val="Refdenotaderodap"/>
        </w:rPr>
        <w:footnoteRef/>
      </w:r>
      <w:r w:rsidRPr="006025B2">
        <w:rPr>
          <w:lang w:val="en-US"/>
        </w:rPr>
        <w:t xml:space="preserve"> STJ − REsp </w:t>
      </w:r>
      <w:r>
        <w:rPr>
          <w:lang w:val="en-US"/>
        </w:rPr>
        <w:t xml:space="preserve">n. </w:t>
      </w:r>
      <w:r w:rsidRPr="006025B2">
        <w:rPr>
          <w:lang w:val="en-US"/>
        </w:rPr>
        <w:t xml:space="preserve">518.155 – 1ª T. – Rel. </w:t>
      </w:r>
      <w:r w:rsidRPr="002A6A57">
        <w:t>Min. Luiz Fux – j. 17/</w:t>
      </w:r>
      <w:r>
        <w:t xml:space="preserve">02/2004 – </w:t>
      </w:r>
      <w:r w:rsidRPr="006025B2">
        <w:rPr>
          <w:i/>
        </w:rPr>
        <w:t>DJ</w:t>
      </w:r>
      <w:r>
        <w:t>, de 28/04/2004, p. 232.</w:t>
      </w:r>
    </w:p>
  </w:footnote>
  <w:footnote w:id="35">
    <w:p w14:paraId="12B8049D" w14:textId="624F3B2E" w:rsidR="00A06D49" w:rsidRPr="000765C0" w:rsidRDefault="00A06D49" w:rsidP="00A23ED4">
      <w:pPr>
        <w:pStyle w:val="Textodenotaderodap"/>
      </w:pPr>
      <w:r>
        <w:rPr>
          <w:rStyle w:val="Refdenotaderodap"/>
        </w:rPr>
        <w:footnoteRef/>
      </w:r>
      <w:r>
        <w:t xml:space="preserve"> </w:t>
      </w:r>
      <w:r w:rsidRPr="00E549C8">
        <w:t xml:space="preserve">OLIVEIRA, Carlos Alberto Alvaro de. </w:t>
      </w:r>
      <w:r w:rsidRPr="00E549C8">
        <w:rPr>
          <w:i/>
        </w:rPr>
        <w:t>Do formalismo no processo civil</w:t>
      </w:r>
      <w:r w:rsidRPr="00E549C8">
        <w:t>. São Paulo: Saraiva, 1997</w:t>
      </w:r>
      <w:r>
        <w:t>. p. 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30161"/>
      <w:docPartObj>
        <w:docPartGallery w:val="Page Numbers (Top of Page)"/>
        <w:docPartUnique/>
      </w:docPartObj>
    </w:sdtPr>
    <w:sdtEndPr/>
    <w:sdtContent>
      <w:p w14:paraId="2FF93374" w14:textId="23823165" w:rsidR="00A06D49" w:rsidRDefault="00A06D49">
        <w:pPr>
          <w:pStyle w:val="Cabealho"/>
          <w:jc w:val="right"/>
        </w:pPr>
        <w:r>
          <w:fldChar w:fldCharType="begin"/>
        </w:r>
        <w:r>
          <w:instrText>PAGE   \* MERGEFORMAT</w:instrText>
        </w:r>
        <w:r>
          <w:fldChar w:fldCharType="separate"/>
        </w:r>
        <w:r w:rsidR="00786D58">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4F9C"/>
    <w:multiLevelType w:val="hybridMultilevel"/>
    <w:tmpl w:val="0B086D64"/>
    <w:lvl w:ilvl="0" w:tplc="46187A9A">
      <w:start w:val="3"/>
      <w:numFmt w:val="bullet"/>
      <w:lvlText w:val="-"/>
      <w:lvlJc w:val="left"/>
      <w:pPr>
        <w:ind w:left="1307" w:hanging="740"/>
      </w:pPr>
      <w:rPr>
        <w:rFonts w:ascii="Times" w:eastAsiaTheme="minorEastAsia" w:hAnsi="Times" w:cstheme="minorBidi"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72"/>
    <w:rsid w:val="00003908"/>
    <w:rsid w:val="00005823"/>
    <w:rsid w:val="00005954"/>
    <w:rsid w:val="00006043"/>
    <w:rsid w:val="000061E8"/>
    <w:rsid w:val="00011E4B"/>
    <w:rsid w:val="00014108"/>
    <w:rsid w:val="00014293"/>
    <w:rsid w:val="00014B54"/>
    <w:rsid w:val="00014F70"/>
    <w:rsid w:val="00017CA8"/>
    <w:rsid w:val="000204D5"/>
    <w:rsid w:val="00020F38"/>
    <w:rsid w:val="00022277"/>
    <w:rsid w:val="00022B26"/>
    <w:rsid w:val="0002438E"/>
    <w:rsid w:val="00025F13"/>
    <w:rsid w:val="000263E6"/>
    <w:rsid w:val="00026D40"/>
    <w:rsid w:val="00027538"/>
    <w:rsid w:val="00027AAE"/>
    <w:rsid w:val="000300E1"/>
    <w:rsid w:val="00032B39"/>
    <w:rsid w:val="00034981"/>
    <w:rsid w:val="0003572C"/>
    <w:rsid w:val="0003685D"/>
    <w:rsid w:val="00036B3D"/>
    <w:rsid w:val="00036CE3"/>
    <w:rsid w:val="000373F0"/>
    <w:rsid w:val="00037A87"/>
    <w:rsid w:val="00040649"/>
    <w:rsid w:val="00041B5C"/>
    <w:rsid w:val="00041C0B"/>
    <w:rsid w:val="000463C5"/>
    <w:rsid w:val="000479F0"/>
    <w:rsid w:val="00050148"/>
    <w:rsid w:val="00051835"/>
    <w:rsid w:val="00052F15"/>
    <w:rsid w:val="00053812"/>
    <w:rsid w:val="000539FE"/>
    <w:rsid w:val="00057389"/>
    <w:rsid w:val="00057599"/>
    <w:rsid w:val="00057793"/>
    <w:rsid w:val="00060DEF"/>
    <w:rsid w:val="00061376"/>
    <w:rsid w:val="0006186D"/>
    <w:rsid w:val="0006353D"/>
    <w:rsid w:val="0006370C"/>
    <w:rsid w:val="00064D26"/>
    <w:rsid w:val="00065459"/>
    <w:rsid w:val="00065F0E"/>
    <w:rsid w:val="00066D88"/>
    <w:rsid w:val="000705F4"/>
    <w:rsid w:val="000709CF"/>
    <w:rsid w:val="00072286"/>
    <w:rsid w:val="00072A55"/>
    <w:rsid w:val="00075259"/>
    <w:rsid w:val="00075F84"/>
    <w:rsid w:val="000765C0"/>
    <w:rsid w:val="00076799"/>
    <w:rsid w:val="00077CDD"/>
    <w:rsid w:val="0008397A"/>
    <w:rsid w:val="00085F5B"/>
    <w:rsid w:val="000913F5"/>
    <w:rsid w:val="000956AE"/>
    <w:rsid w:val="000A0164"/>
    <w:rsid w:val="000A0D1B"/>
    <w:rsid w:val="000A1B42"/>
    <w:rsid w:val="000A30B2"/>
    <w:rsid w:val="000A32DB"/>
    <w:rsid w:val="000A4D9C"/>
    <w:rsid w:val="000A52B1"/>
    <w:rsid w:val="000A5FCA"/>
    <w:rsid w:val="000A65F9"/>
    <w:rsid w:val="000A688F"/>
    <w:rsid w:val="000A77E3"/>
    <w:rsid w:val="000B198A"/>
    <w:rsid w:val="000B1AEC"/>
    <w:rsid w:val="000B3E7C"/>
    <w:rsid w:val="000B3F8E"/>
    <w:rsid w:val="000C1210"/>
    <w:rsid w:val="000C21B0"/>
    <w:rsid w:val="000C34C6"/>
    <w:rsid w:val="000C3AB9"/>
    <w:rsid w:val="000C3D59"/>
    <w:rsid w:val="000C60B6"/>
    <w:rsid w:val="000C7234"/>
    <w:rsid w:val="000C7608"/>
    <w:rsid w:val="000D346A"/>
    <w:rsid w:val="000D3C69"/>
    <w:rsid w:val="000D44D6"/>
    <w:rsid w:val="000D544A"/>
    <w:rsid w:val="000D5E7C"/>
    <w:rsid w:val="000D6750"/>
    <w:rsid w:val="000D6934"/>
    <w:rsid w:val="000D77AA"/>
    <w:rsid w:val="000E1F1B"/>
    <w:rsid w:val="000E36DE"/>
    <w:rsid w:val="000E4452"/>
    <w:rsid w:val="000E4C70"/>
    <w:rsid w:val="000E4F67"/>
    <w:rsid w:val="000E7975"/>
    <w:rsid w:val="000F0805"/>
    <w:rsid w:val="000F085B"/>
    <w:rsid w:val="000F1817"/>
    <w:rsid w:val="000F209B"/>
    <w:rsid w:val="000F2D79"/>
    <w:rsid w:val="000F34BA"/>
    <w:rsid w:val="000F3CC4"/>
    <w:rsid w:val="000F613F"/>
    <w:rsid w:val="000F68D4"/>
    <w:rsid w:val="000F6967"/>
    <w:rsid w:val="000F6D08"/>
    <w:rsid w:val="000F6EB0"/>
    <w:rsid w:val="000F7F08"/>
    <w:rsid w:val="00101899"/>
    <w:rsid w:val="00107438"/>
    <w:rsid w:val="0011113B"/>
    <w:rsid w:val="00111AD9"/>
    <w:rsid w:val="00113CC5"/>
    <w:rsid w:val="001151A0"/>
    <w:rsid w:val="00115235"/>
    <w:rsid w:val="0011538B"/>
    <w:rsid w:val="0012024C"/>
    <w:rsid w:val="00120A81"/>
    <w:rsid w:val="00121065"/>
    <w:rsid w:val="001212A5"/>
    <w:rsid w:val="00121387"/>
    <w:rsid w:val="00121CFA"/>
    <w:rsid w:val="0012315A"/>
    <w:rsid w:val="00123E2B"/>
    <w:rsid w:val="001263CD"/>
    <w:rsid w:val="00126837"/>
    <w:rsid w:val="00126DD6"/>
    <w:rsid w:val="001306E8"/>
    <w:rsid w:val="001316BA"/>
    <w:rsid w:val="00133B4B"/>
    <w:rsid w:val="001367F7"/>
    <w:rsid w:val="00140495"/>
    <w:rsid w:val="00140AAC"/>
    <w:rsid w:val="00140C1C"/>
    <w:rsid w:val="0014177F"/>
    <w:rsid w:val="00142A07"/>
    <w:rsid w:val="001430DB"/>
    <w:rsid w:val="001433D2"/>
    <w:rsid w:val="0014666D"/>
    <w:rsid w:val="00152629"/>
    <w:rsid w:val="00154060"/>
    <w:rsid w:val="00154E48"/>
    <w:rsid w:val="001550D0"/>
    <w:rsid w:val="00155C66"/>
    <w:rsid w:val="001607E9"/>
    <w:rsid w:val="00160BD0"/>
    <w:rsid w:val="001610E3"/>
    <w:rsid w:val="0016212B"/>
    <w:rsid w:val="001625BA"/>
    <w:rsid w:val="00163FAB"/>
    <w:rsid w:val="00165F69"/>
    <w:rsid w:val="00171477"/>
    <w:rsid w:val="00173BAC"/>
    <w:rsid w:val="00174452"/>
    <w:rsid w:val="00175981"/>
    <w:rsid w:val="001763B2"/>
    <w:rsid w:val="00176408"/>
    <w:rsid w:val="00177195"/>
    <w:rsid w:val="00183641"/>
    <w:rsid w:val="001838DD"/>
    <w:rsid w:val="00183F3C"/>
    <w:rsid w:val="00183FA1"/>
    <w:rsid w:val="00185873"/>
    <w:rsid w:val="001865A1"/>
    <w:rsid w:val="00187DFC"/>
    <w:rsid w:val="00191487"/>
    <w:rsid w:val="001946CC"/>
    <w:rsid w:val="001952D9"/>
    <w:rsid w:val="00196B8C"/>
    <w:rsid w:val="00197492"/>
    <w:rsid w:val="00197C05"/>
    <w:rsid w:val="001A0202"/>
    <w:rsid w:val="001A0CAD"/>
    <w:rsid w:val="001A194B"/>
    <w:rsid w:val="001A2637"/>
    <w:rsid w:val="001A2E37"/>
    <w:rsid w:val="001A4AA4"/>
    <w:rsid w:val="001A4EA5"/>
    <w:rsid w:val="001A5547"/>
    <w:rsid w:val="001A6DCB"/>
    <w:rsid w:val="001A6E58"/>
    <w:rsid w:val="001B049E"/>
    <w:rsid w:val="001B181E"/>
    <w:rsid w:val="001B609F"/>
    <w:rsid w:val="001B68B5"/>
    <w:rsid w:val="001B70CF"/>
    <w:rsid w:val="001B7D54"/>
    <w:rsid w:val="001C0E39"/>
    <w:rsid w:val="001C180B"/>
    <w:rsid w:val="001C1D7A"/>
    <w:rsid w:val="001C2F07"/>
    <w:rsid w:val="001C3DED"/>
    <w:rsid w:val="001C48CA"/>
    <w:rsid w:val="001C4A09"/>
    <w:rsid w:val="001C69E3"/>
    <w:rsid w:val="001C6AB7"/>
    <w:rsid w:val="001C70B6"/>
    <w:rsid w:val="001C7300"/>
    <w:rsid w:val="001D0593"/>
    <w:rsid w:val="001D06C2"/>
    <w:rsid w:val="001D1672"/>
    <w:rsid w:val="001D17DC"/>
    <w:rsid w:val="001D4819"/>
    <w:rsid w:val="001D5777"/>
    <w:rsid w:val="001D5E7A"/>
    <w:rsid w:val="001D61D0"/>
    <w:rsid w:val="001E02D3"/>
    <w:rsid w:val="001E24E7"/>
    <w:rsid w:val="001E2561"/>
    <w:rsid w:val="001E2901"/>
    <w:rsid w:val="001E4103"/>
    <w:rsid w:val="001E7395"/>
    <w:rsid w:val="001E7877"/>
    <w:rsid w:val="001F1A49"/>
    <w:rsid w:val="001F33B9"/>
    <w:rsid w:val="001F5AD7"/>
    <w:rsid w:val="001F760F"/>
    <w:rsid w:val="00200DEA"/>
    <w:rsid w:val="00201752"/>
    <w:rsid w:val="002017DE"/>
    <w:rsid w:val="002025E7"/>
    <w:rsid w:val="00203EB8"/>
    <w:rsid w:val="00204832"/>
    <w:rsid w:val="00204BE6"/>
    <w:rsid w:val="00205313"/>
    <w:rsid w:val="00206FA7"/>
    <w:rsid w:val="00207054"/>
    <w:rsid w:val="0021011D"/>
    <w:rsid w:val="00211E02"/>
    <w:rsid w:val="00211E13"/>
    <w:rsid w:val="00213C8F"/>
    <w:rsid w:val="00214DD1"/>
    <w:rsid w:val="002168DC"/>
    <w:rsid w:val="00216D28"/>
    <w:rsid w:val="002179DB"/>
    <w:rsid w:val="00217B3B"/>
    <w:rsid w:val="00220A84"/>
    <w:rsid w:val="0022121D"/>
    <w:rsid w:val="00221C57"/>
    <w:rsid w:val="00223181"/>
    <w:rsid w:val="00223E74"/>
    <w:rsid w:val="0022494E"/>
    <w:rsid w:val="00224DE6"/>
    <w:rsid w:val="002260B0"/>
    <w:rsid w:val="00226355"/>
    <w:rsid w:val="002269EF"/>
    <w:rsid w:val="00230800"/>
    <w:rsid w:val="002316FF"/>
    <w:rsid w:val="002331EF"/>
    <w:rsid w:val="00235DE4"/>
    <w:rsid w:val="00236536"/>
    <w:rsid w:val="00244C55"/>
    <w:rsid w:val="0024544A"/>
    <w:rsid w:val="00246445"/>
    <w:rsid w:val="002469E3"/>
    <w:rsid w:val="002510B2"/>
    <w:rsid w:val="002519B2"/>
    <w:rsid w:val="00253541"/>
    <w:rsid w:val="00253C97"/>
    <w:rsid w:val="0025725A"/>
    <w:rsid w:val="00257933"/>
    <w:rsid w:val="00260B8A"/>
    <w:rsid w:val="00260F18"/>
    <w:rsid w:val="002612C9"/>
    <w:rsid w:val="00262EC6"/>
    <w:rsid w:val="00265C89"/>
    <w:rsid w:val="00266535"/>
    <w:rsid w:val="0026674E"/>
    <w:rsid w:val="00270883"/>
    <w:rsid w:val="00270E30"/>
    <w:rsid w:val="002774FF"/>
    <w:rsid w:val="00280902"/>
    <w:rsid w:val="002819C9"/>
    <w:rsid w:val="00283C18"/>
    <w:rsid w:val="00284220"/>
    <w:rsid w:val="00285A8B"/>
    <w:rsid w:val="002863A8"/>
    <w:rsid w:val="00290472"/>
    <w:rsid w:val="00291152"/>
    <w:rsid w:val="00291326"/>
    <w:rsid w:val="00291536"/>
    <w:rsid w:val="00292D4A"/>
    <w:rsid w:val="00293BE9"/>
    <w:rsid w:val="00295183"/>
    <w:rsid w:val="002960FA"/>
    <w:rsid w:val="0029730B"/>
    <w:rsid w:val="00297ED1"/>
    <w:rsid w:val="002A181B"/>
    <w:rsid w:val="002A25EF"/>
    <w:rsid w:val="002A2C0C"/>
    <w:rsid w:val="002A33E7"/>
    <w:rsid w:val="002A39DD"/>
    <w:rsid w:val="002A5436"/>
    <w:rsid w:val="002A6A57"/>
    <w:rsid w:val="002B13EF"/>
    <w:rsid w:val="002B2882"/>
    <w:rsid w:val="002B2B9E"/>
    <w:rsid w:val="002B2BFE"/>
    <w:rsid w:val="002B388B"/>
    <w:rsid w:val="002B5192"/>
    <w:rsid w:val="002B6BB6"/>
    <w:rsid w:val="002C097D"/>
    <w:rsid w:val="002C15E7"/>
    <w:rsid w:val="002C21EA"/>
    <w:rsid w:val="002C3CCC"/>
    <w:rsid w:val="002C63B7"/>
    <w:rsid w:val="002D0648"/>
    <w:rsid w:val="002D0D7D"/>
    <w:rsid w:val="002D21B6"/>
    <w:rsid w:val="002E0BC2"/>
    <w:rsid w:val="002E1091"/>
    <w:rsid w:val="002E295C"/>
    <w:rsid w:val="002E3FF5"/>
    <w:rsid w:val="002E4D6A"/>
    <w:rsid w:val="002E54D9"/>
    <w:rsid w:val="002E5521"/>
    <w:rsid w:val="002E7C0B"/>
    <w:rsid w:val="002F098D"/>
    <w:rsid w:val="002F122D"/>
    <w:rsid w:val="002F1623"/>
    <w:rsid w:val="002F223D"/>
    <w:rsid w:val="002F3FA7"/>
    <w:rsid w:val="002F4967"/>
    <w:rsid w:val="002F7E4B"/>
    <w:rsid w:val="0030033E"/>
    <w:rsid w:val="003030EB"/>
    <w:rsid w:val="00303154"/>
    <w:rsid w:val="00304028"/>
    <w:rsid w:val="00304CC3"/>
    <w:rsid w:val="003056C2"/>
    <w:rsid w:val="00305741"/>
    <w:rsid w:val="0030574B"/>
    <w:rsid w:val="00306FB5"/>
    <w:rsid w:val="00310193"/>
    <w:rsid w:val="00310CE6"/>
    <w:rsid w:val="0031244D"/>
    <w:rsid w:val="00312646"/>
    <w:rsid w:val="00314027"/>
    <w:rsid w:val="0031409F"/>
    <w:rsid w:val="00315E63"/>
    <w:rsid w:val="003168E4"/>
    <w:rsid w:val="00316D33"/>
    <w:rsid w:val="00317290"/>
    <w:rsid w:val="0032077C"/>
    <w:rsid w:val="00320B23"/>
    <w:rsid w:val="00323BFC"/>
    <w:rsid w:val="00326132"/>
    <w:rsid w:val="003301C7"/>
    <w:rsid w:val="00330C34"/>
    <w:rsid w:val="00332239"/>
    <w:rsid w:val="003324C2"/>
    <w:rsid w:val="0033571B"/>
    <w:rsid w:val="00336B1F"/>
    <w:rsid w:val="00340100"/>
    <w:rsid w:val="003413E8"/>
    <w:rsid w:val="00341AE3"/>
    <w:rsid w:val="00342843"/>
    <w:rsid w:val="003429D8"/>
    <w:rsid w:val="003430EF"/>
    <w:rsid w:val="00343CD8"/>
    <w:rsid w:val="00343D09"/>
    <w:rsid w:val="0034541D"/>
    <w:rsid w:val="003456CE"/>
    <w:rsid w:val="003463E2"/>
    <w:rsid w:val="00346715"/>
    <w:rsid w:val="003505C9"/>
    <w:rsid w:val="00350C2A"/>
    <w:rsid w:val="00351586"/>
    <w:rsid w:val="003522D1"/>
    <w:rsid w:val="00354633"/>
    <w:rsid w:val="00354BB1"/>
    <w:rsid w:val="00355EFC"/>
    <w:rsid w:val="0036000B"/>
    <w:rsid w:val="00362886"/>
    <w:rsid w:val="00363600"/>
    <w:rsid w:val="0036525F"/>
    <w:rsid w:val="0036589D"/>
    <w:rsid w:val="00365DE1"/>
    <w:rsid w:val="00366989"/>
    <w:rsid w:val="0037164A"/>
    <w:rsid w:val="0037301D"/>
    <w:rsid w:val="00373861"/>
    <w:rsid w:val="0037471B"/>
    <w:rsid w:val="003750E9"/>
    <w:rsid w:val="00383BBA"/>
    <w:rsid w:val="00384444"/>
    <w:rsid w:val="00385B8D"/>
    <w:rsid w:val="003906CC"/>
    <w:rsid w:val="003929A9"/>
    <w:rsid w:val="00392F9A"/>
    <w:rsid w:val="00393877"/>
    <w:rsid w:val="00393AB9"/>
    <w:rsid w:val="00393DEF"/>
    <w:rsid w:val="003A044D"/>
    <w:rsid w:val="003A417F"/>
    <w:rsid w:val="003A4667"/>
    <w:rsid w:val="003A68B1"/>
    <w:rsid w:val="003B13C3"/>
    <w:rsid w:val="003B2E1B"/>
    <w:rsid w:val="003B4924"/>
    <w:rsid w:val="003B4F39"/>
    <w:rsid w:val="003B623D"/>
    <w:rsid w:val="003B6365"/>
    <w:rsid w:val="003B6B9C"/>
    <w:rsid w:val="003B7311"/>
    <w:rsid w:val="003C0102"/>
    <w:rsid w:val="003C09EB"/>
    <w:rsid w:val="003C12D7"/>
    <w:rsid w:val="003C3057"/>
    <w:rsid w:val="003C318B"/>
    <w:rsid w:val="003D3750"/>
    <w:rsid w:val="003D388A"/>
    <w:rsid w:val="003D41F7"/>
    <w:rsid w:val="003D4240"/>
    <w:rsid w:val="003D5136"/>
    <w:rsid w:val="003D7168"/>
    <w:rsid w:val="003D72DA"/>
    <w:rsid w:val="003E1024"/>
    <w:rsid w:val="003E205D"/>
    <w:rsid w:val="003E2C41"/>
    <w:rsid w:val="003E3CDB"/>
    <w:rsid w:val="003E4AAD"/>
    <w:rsid w:val="003E5783"/>
    <w:rsid w:val="003E5A0D"/>
    <w:rsid w:val="003E6EA4"/>
    <w:rsid w:val="003E7356"/>
    <w:rsid w:val="003F2284"/>
    <w:rsid w:val="003F2610"/>
    <w:rsid w:val="003F4792"/>
    <w:rsid w:val="003F529C"/>
    <w:rsid w:val="003F5CFF"/>
    <w:rsid w:val="00400546"/>
    <w:rsid w:val="00403710"/>
    <w:rsid w:val="004058A6"/>
    <w:rsid w:val="00406E0D"/>
    <w:rsid w:val="004126B2"/>
    <w:rsid w:val="0041284C"/>
    <w:rsid w:val="004129D8"/>
    <w:rsid w:val="0041582B"/>
    <w:rsid w:val="004174E2"/>
    <w:rsid w:val="0041751E"/>
    <w:rsid w:val="00417DDE"/>
    <w:rsid w:val="0042136F"/>
    <w:rsid w:val="00422B05"/>
    <w:rsid w:val="00422C95"/>
    <w:rsid w:val="00425C28"/>
    <w:rsid w:val="00430FD3"/>
    <w:rsid w:val="004312F6"/>
    <w:rsid w:val="0043238F"/>
    <w:rsid w:val="00432AB6"/>
    <w:rsid w:val="00432D0F"/>
    <w:rsid w:val="00433094"/>
    <w:rsid w:val="0043472E"/>
    <w:rsid w:val="00437FF2"/>
    <w:rsid w:val="004401B7"/>
    <w:rsid w:val="00440D93"/>
    <w:rsid w:val="00441C5B"/>
    <w:rsid w:val="004429A4"/>
    <w:rsid w:val="00442D15"/>
    <w:rsid w:val="00442D61"/>
    <w:rsid w:val="004433F4"/>
    <w:rsid w:val="004437DA"/>
    <w:rsid w:val="0044513A"/>
    <w:rsid w:val="00445A3A"/>
    <w:rsid w:val="00446239"/>
    <w:rsid w:val="00446727"/>
    <w:rsid w:val="00447BED"/>
    <w:rsid w:val="00447C4D"/>
    <w:rsid w:val="004515D7"/>
    <w:rsid w:val="00452177"/>
    <w:rsid w:val="004550A9"/>
    <w:rsid w:val="004565DE"/>
    <w:rsid w:val="00457ED9"/>
    <w:rsid w:val="0046109D"/>
    <w:rsid w:val="00461508"/>
    <w:rsid w:val="00462DF8"/>
    <w:rsid w:val="00463903"/>
    <w:rsid w:val="00464040"/>
    <w:rsid w:val="00465452"/>
    <w:rsid w:val="00465CA0"/>
    <w:rsid w:val="00466047"/>
    <w:rsid w:val="0046611B"/>
    <w:rsid w:val="0046702E"/>
    <w:rsid w:val="00472325"/>
    <w:rsid w:val="00473F34"/>
    <w:rsid w:val="00476ED5"/>
    <w:rsid w:val="00482E8C"/>
    <w:rsid w:val="00483382"/>
    <w:rsid w:val="00484D76"/>
    <w:rsid w:val="00484DEF"/>
    <w:rsid w:val="00485B37"/>
    <w:rsid w:val="00486689"/>
    <w:rsid w:val="004867DE"/>
    <w:rsid w:val="0048705C"/>
    <w:rsid w:val="004902AB"/>
    <w:rsid w:val="0049038F"/>
    <w:rsid w:val="00491EA7"/>
    <w:rsid w:val="00492717"/>
    <w:rsid w:val="00492A13"/>
    <w:rsid w:val="00495DA3"/>
    <w:rsid w:val="00496357"/>
    <w:rsid w:val="00496C35"/>
    <w:rsid w:val="00496EC3"/>
    <w:rsid w:val="00497C01"/>
    <w:rsid w:val="00497D3A"/>
    <w:rsid w:val="004A07E6"/>
    <w:rsid w:val="004A0C76"/>
    <w:rsid w:val="004A133B"/>
    <w:rsid w:val="004A25E3"/>
    <w:rsid w:val="004A3496"/>
    <w:rsid w:val="004A3744"/>
    <w:rsid w:val="004A4E19"/>
    <w:rsid w:val="004A7785"/>
    <w:rsid w:val="004A7C91"/>
    <w:rsid w:val="004B020A"/>
    <w:rsid w:val="004B1F90"/>
    <w:rsid w:val="004B3D28"/>
    <w:rsid w:val="004B7526"/>
    <w:rsid w:val="004B787D"/>
    <w:rsid w:val="004C05FC"/>
    <w:rsid w:val="004C0B0D"/>
    <w:rsid w:val="004C0BFA"/>
    <w:rsid w:val="004C1201"/>
    <w:rsid w:val="004C1502"/>
    <w:rsid w:val="004C4595"/>
    <w:rsid w:val="004C4F08"/>
    <w:rsid w:val="004C5C86"/>
    <w:rsid w:val="004C6854"/>
    <w:rsid w:val="004D1B4C"/>
    <w:rsid w:val="004D4E58"/>
    <w:rsid w:val="004D65E4"/>
    <w:rsid w:val="004E0A6F"/>
    <w:rsid w:val="004E327D"/>
    <w:rsid w:val="004E344B"/>
    <w:rsid w:val="004E5983"/>
    <w:rsid w:val="004E6EB5"/>
    <w:rsid w:val="004E7BEE"/>
    <w:rsid w:val="004E7E0F"/>
    <w:rsid w:val="004F1853"/>
    <w:rsid w:val="004F27C6"/>
    <w:rsid w:val="004F333D"/>
    <w:rsid w:val="004F3930"/>
    <w:rsid w:val="004F4AAD"/>
    <w:rsid w:val="004F4B8B"/>
    <w:rsid w:val="00500A69"/>
    <w:rsid w:val="00500E91"/>
    <w:rsid w:val="00501F3D"/>
    <w:rsid w:val="00502399"/>
    <w:rsid w:val="00502A01"/>
    <w:rsid w:val="00503BB4"/>
    <w:rsid w:val="0050511F"/>
    <w:rsid w:val="005052B8"/>
    <w:rsid w:val="005055A0"/>
    <w:rsid w:val="00505859"/>
    <w:rsid w:val="00510E7F"/>
    <w:rsid w:val="00510F94"/>
    <w:rsid w:val="00512C92"/>
    <w:rsid w:val="005145FA"/>
    <w:rsid w:val="005166A1"/>
    <w:rsid w:val="00516F4F"/>
    <w:rsid w:val="00516FB9"/>
    <w:rsid w:val="005210B6"/>
    <w:rsid w:val="0052200D"/>
    <w:rsid w:val="00523FE7"/>
    <w:rsid w:val="00524EA3"/>
    <w:rsid w:val="00533AE6"/>
    <w:rsid w:val="00540A3D"/>
    <w:rsid w:val="00540C12"/>
    <w:rsid w:val="00541185"/>
    <w:rsid w:val="00541C88"/>
    <w:rsid w:val="00541F44"/>
    <w:rsid w:val="0054204B"/>
    <w:rsid w:val="00542609"/>
    <w:rsid w:val="0054283A"/>
    <w:rsid w:val="005437BB"/>
    <w:rsid w:val="00544059"/>
    <w:rsid w:val="00544D74"/>
    <w:rsid w:val="00545CE5"/>
    <w:rsid w:val="005464A0"/>
    <w:rsid w:val="00547746"/>
    <w:rsid w:val="00550E55"/>
    <w:rsid w:val="00551AFF"/>
    <w:rsid w:val="00555770"/>
    <w:rsid w:val="00556D7F"/>
    <w:rsid w:val="00560DCC"/>
    <w:rsid w:val="00563A3C"/>
    <w:rsid w:val="00564A21"/>
    <w:rsid w:val="00570C2B"/>
    <w:rsid w:val="00571106"/>
    <w:rsid w:val="0057277F"/>
    <w:rsid w:val="00572A5F"/>
    <w:rsid w:val="005739FA"/>
    <w:rsid w:val="005751F2"/>
    <w:rsid w:val="005756B8"/>
    <w:rsid w:val="00575862"/>
    <w:rsid w:val="00575E49"/>
    <w:rsid w:val="00575FBE"/>
    <w:rsid w:val="00577E79"/>
    <w:rsid w:val="005809B8"/>
    <w:rsid w:val="00580BAA"/>
    <w:rsid w:val="005828DE"/>
    <w:rsid w:val="00585226"/>
    <w:rsid w:val="00585516"/>
    <w:rsid w:val="00585A99"/>
    <w:rsid w:val="00585F67"/>
    <w:rsid w:val="00585FB6"/>
    <w:rsid w:val="005861EB"/>
    <w:rsid w:val="00586834"/>
    <w:rsid w:val="005903EE"/>
    <w:rsid w:val="00590985"/>
    <w:rsid w:val="005936ED"/>
    <w:rsid w:val="00593B42"/>
    <w:rsid w:val="00593E0C"/>
    <w:rsid w:val="0059674F"/>
    <w:rsid w:val="005972C0"/>
    <w:rsid w:val="005977A7"/>
    <w:rsid w:val="005A0015"/>
    <w:rsid w:val="005A16EF"/>
    <w:rsid w:val="005A22AD"/>
    <w:rsid w:val="005A2AF8"/>
    <w:rsid w:val="005A2E20"/>
    <w:rsid w:val="005A348C"/>
    <w:rsid w:val="005A39DC"/>
    <w:rsid w:val="005A4F9A"/>
    <w:rsid w:val="005A534B"/>
    <w:rsid w:val="005A75F6"/>
    <w:rsid w:val="005B3887"/>
    <w:rsid w:val="005B3A08"/>
    <w:rsid w:val="005B3C65"/>
    <w:rsid w:val="005B4414"/>
    <w:rsid w:val="005B5711"/>
    <w:rsid w:val="005B5CD9"/>
    <w:rsid w:val="005C43AE"/>
    <w:rsid w:val="005C4438"/>
    <w:rsid w:val="005C6271"/>
    <w:rsid w:val="005C6964"/>
    <w:rsid w:val="005C6ACB"/>
    <w:rsid w:val="005C79F4"/>
    <w:rsid w:val="005D0FCE"/>
    <w:rsid w:val="005D12CD"/>
    <w:rsid w:val="005D192F"/>
    <w:rsid w:val="005D34BB"/>
    <w:rsid w:val="005D3A3C"/>
    <w:rsid w:val="005D4743"/>
    <w:rsid w:val="005D51A0"/>
    <w:rsid w:val="005D54E2"/>
    <w:rsid w:val="005D574B"/>
    <w:rsid w:val="005E005B"/>
    <w:rsid w:val="005E00AE"/>
    <w:rsid w:val="005E0B47"/>
    <w:rsid w:val="005E27FF"/>
    <w:rsid w:val="005E2B7F"/>
    <w:rsid w:val="005E4D40"/>
    <w:rsid w:val="005E76A5"/>
    <w:rsid w:val="005F0354"/>
    <w:rsid w:val="005F0B85"/>
    <w:rsid w:val="005F17C7"/>
    <w:rsid w:val="005F1B12"/>
    <w:rsid w:val="005F225C"/>
    <w:rsid w:val="005F3202"/>
    <w:rsid w:val="005F3438"/>
    <w:rsid w:val="005F4F3E"/>
    <w:rsid w:val="005F73BA"/>
    <w:rsid w:val="005F73C6"/>
    <w:rsid w:val="005F7B74"/>
    <w:rsid w:val="0060063E"/>
    <w:rsid w:val="00601447"/>
    <w:rsid w:val="006025B2"/>
    <w:rsid w:val="006026A0"/>
    <w:rsid w:val="00602D7F"/>
    <w:rsid w:val="006052AE"/>
    <w:rsid w:val="00605B6A"/>
    <w:rsid w:val="00607692"/>
    <w:rsid w:val="00607F2D"/>
    <w:rsid w:val="00611555"/>
    <w:rsid w:val="0061308C"/>
    <w:rsid w:val="006133A3"/>
    <w:rsid w:val="00613437"/>
    <w:rsid w:val="00614F1F"/>
    <w:rsid w:val="00614F30"/>
    <w:rsid w:val="006158E9"/>
    <w:rsid w:val="00615B83"/>
    <w:rsid w:val="00616408"/>
    <w:rsid w:val="00616434"/>
    <w:rsid w:val="00617216"/>
    <w:rsid w:val="006203DF"/>
    <w:rsid w:val="006233DA"/>
    <w:rsid w:val="00623809"/>
    <w:rsid w:val="006252C3"/>
    <w:rsid w:val="006262FA"/>
    <w:rsid w:val="00630C44"/>
    <w:rsid w:val="0063141C"/>
    <w:rsid w:val="00631E35"/>
    <w:rsid w:val="00633291"/>
    <w:rsid w:val="00633943"/>
    <w:rsid w:val="00633C88"/>
    <w:rsid w:val="00634901"/>
    <w:rsid w:val="00637038"/>
    <w:rsid w:val="00637960"/>
    <w:rsid w:val="00637E26"/>
    <w:rsid w:val="006402AC"/>
    <w:rsid w:val="0064096C"/>
    <w:rsid w:val="00640A57"/>
    <w:rsid w:val="00640D3D"/>
    <w:rsid w:val="00643565"/>
    <w:rsid w:val="006438DE"/>
    <w:rsid w:val="0064422C"/>
    <w:rsid w:val="00644A73"/>
    <w:rsid w:val="00646486"/>
    <w:rsid w:val="00646ECC"/>
    <w:rsid w:val="00651191"/>
    <w:rsid w:val="006519A8"/>
    <w:rsid w:val="00651E9C"/>
    <w:rsid w:val="00653314"/>
    <w:rsid w:val="00653429"/>
    <w:rsid w:val="00654789"/>
    <w:rsid w:val="00654CA6"/>
    <w:rsid w:val="0065592B"/>
    <w:rsid w:val="0065764C"/>
    <w:rsid w:val="00662481"/>
    <w:rsid w:val="006643F9"/>
    <w:rsid w:val="00666F18"/>
    <w:rsid w:val="0067073B"/>
    <w:rsid w:val="006708BC"/>
    <w:rsid w:val="0067196F"/>
    <w:rsid w:val="00671F72"/>
    <w:rsid w:val="00673013"/>
    <w:rsid w:val="00674570"/>
    <w:rsid w:val="006746FF"/>
    <w:rsid w:val="00676B0D"/>
    <w:rsid w:val="00677B4A"/>
    <w:rsid w:val="006812ED"/>
    <w:rsid w:val="0068218A"/>
    <w:rsid w:val="00682588"/>
    <w:rsid w:val="0068345B"/>
    <w:rsid w:val="00683E6B"/>
    <w:rsid w:val="00683F7C"/>
    <w:rsid w:val="00684181"/>
    <w:rsid w:val="00684D5C"/>
    <w:rsid w:val="00684EAE"/>
    <w:rsid w:val="006856A6"/>
    <w:rsid w:val="0068584B"/>
    <w:rsid w:val="00686182"/>
    <w:rsid w:val="0068646E"/>
    <w:rsid w:val="00686A44"/>
    <w:rsid w:val="0068782A"/>
    <w:rsid w:val="00692850"/>
    <w:rsid w:val="00692F8D"/>
    <w:rsid w:val="00696211"/>
    <w:rsid w:val="0069726D"/>
    <w:rsid w:val="00697A14"/>
    <w:rsid w:val="006A00F1"/>
    <w:rsid w:val="006A0BD6"/>
    <w:rsid w:val="006A0DC7"/>
    <w:rsid w:val="006A1073"/>
    <w:rsid w:val="006A2A8B"/>
    <w:rsid w:val="006A320C"/>
    <w:rsid w:val="006A37DB"/>
    <w:rsid w:val="006A4BC4"/>
    <w:rsid w:val="006A5A4F"/>
    <w:rsid w:val="006A5CBF"/>
    <w:rsid w:val="006A7AC0"/>
    <w:rsid w:val="006B0455"/>
    <w:rsid w:val="006B240F"/>
    <w:rsid w:val="006B29AD"/>
    <w:rsid w:val="006B3543"/>
    <w:rsid w:val="006B64FC"/>
    <w:rsid w:val="006B6E46"/>
    <w:rsid w:val="006B7C3F"/>
    <w:rsid w:val="006C040D"/>
    <w:rsid w:val="006C0690"/>
    <w:rsid w:val="006C1B15"/>
    <w:rsid w:val="006C234F"/>
    <w:rsid w:val="006C34D7"/>
    <w:rsid w:val="006C5864"/>
    <w:rsid w:val="006C5AA9"/>
    <w:rsid w:val="006C6AD0"/>
    <w:rsid w:val="006D002F"/>
    <w:rsid w:val="006D06B3"/>
    <w:rsid w:val="006D1DE8"/>
    <w:rsid w:val="006D1EFF"/>
    <w:rsid w:val="006D2942"/>
    <w:rsid w:val="006D4340"/>
    <w:rsid w:val="006D4903"/>
    <w:rsid w:val="006D79D7"/>
    <w:rsid w:val="006D7A23"/>
    <w:rsid w:val="006D7D4F"/>
    <w:rsid w:val="006E015A"/>
    <w:rsid w:val="006E0F85"/>
    <w:rsid w:val="006E1E56"/>
    <w:rsid w:val="006E3680"/>
    <w:rsid w:val="006E3E5C"/>
    <w:rsid w:val="006E41EC"/>
    <w:rsid w:val="006E478A"/>
    <w:rsid w:val="006E5748"/>
    <w:rsid w:val="006E5848"/>
    <w:rsid w:val="006E7AC8"/>
    <w:rsid w:val="006E7F8B"/>
    <w:rsid w:val="006F0215"/>
    <w:rsid w:val="006F05D0"/>
    <w:rsid w:val="006F1DC3"/>
    <w:rsid w:val="006F217D"/>
    <w:rsid w:val="006F2A96"/>
    <w:rsid w:val="006F4DAC"/>
    <w:rsid w:val="006F4E82"/>
    <w:rsid w:val="006F6322"/>
    <w:rsid w:val="006F7A43"/>
    <w:rsid w:val="006F7EB9"/>
    <w:rsid w:val="00700307"/>
    <w:rsid w:val="00700695"/>
    <w:rsid w:val="0070209C"/>
    <w:rsid w:val="00703438"/>
    <w:rsid w:val="007048DA"/>
    <w:rsid w:val="0070640A"/>
    <w:rsid w:val="00711420"/>
    <w:rsid w:val="0071152A"/>
    <w:rsid w:val="00711619"/>
    <w:rsid w:val="00711740"/>
    <w:rsid w:val="00711B3C"/>
    <w:rsid w:val="0071359D"/>
    <w:rsid w:val="00715DF7"/>
    <w:rsid w:val="00716CF2"/>
    <w:rsid w:val="00716D89"/>
    <w:rsid w:val="00717C3F"/>
    <w:rsid w:val="00722409"/>
    <w:rsid w:val="00725F03"/>
    <w:rsid w:val="00726F59"/>
    <w:rsid w:val="00727ED0"/>
    <w:rsid w:val="0073008D"/>
    <w:rsid w:val="0073017A"/>
    <w:rsid w:val="00732778"/>
    <w:rsid w:val="007328CF"/>
    <w:rsid w:val="007330C4"/>
    <w:rsid w:val="007332E6"/>
    <w:rsid w:val="00733541"/>
    <w:rsid w:val="007340FE"/>
    <w:rsid w:val="007342A8"/>
    <w:rsid w:val="00734EC9"/>
    <w:rsid w:val="00734EE4"/>
    <w:rsid w:val="0074076C"/>
    <w:rsid w:val="00742AFD"/>
    <w:rsid w:val="00742CB3"/>
    <w:rsid w:val="00743F00"/>
    <w:rsid w:val="007440B2"/>
    <w:rsid w:val="00744E8C"/>
    <w:rsid w:val="00746679"/>
    <w:rsid w:val="00746919"/>
    <w:rsid w:val="007475DD"/>
    <w:rsid w:val="007500AF"/>
    <w:rsid w:val="00754FB9"/>
    <w:rsid w:val="00756EC6"/>
    <w:rsid w:val="0075770C"/>
    <w:rsid w:val="00757E12"/>
    <w:rsid w:val="00761511"/>
    <w:rsid w:val="00761774"/>
    <w:rsid w:val="00762B30"/>
    <w:rsid w:val="00763FC7"/>
    <w:rsid w:val="00764304"/>
    <w:rsid w:val="00764571"/>
    <w:rsid w:val="00764ED5"/>
    <w:rsid w:val="00765058"/>
    <w:rsid w:val="00765DAF"/>
    <w:rsid w:val="00766BA1"/>
    <w:rsid w:val="00767386"/>
    <w:rsid w:val="007674DF"/>
    <w:rsid w:val="0077067D"/>
    <w:rsid w:val="00771047"/>
    <w:rsid w:val="00771664"/>
    <w:rsid w:val="00773EF9"/>
    <w:rsid w:val="007748C8"/>
    <w:rsid w:val="00774E98"/>
    <w:rsid w:val="0077505B"/>
    <w:rsid w:val="0077624B"/>
    <w:rsid w:val="00777576"/>
    <w:rsid w:val="00777DD6"/>
    <w:rsid w:val="00780138"/>
    <w:rsid w:val="007807C1"/>
    <w:rsid w:val="00781E72"/>
    <w:rsid w:val="007838B5"/>
    <w:rsid w:val="0078623C"/>
    <w:rsid w:val="00786D58"/>
    <w:rsid w:val="0078732D"/>
    <w:rsid w:val="00791C67"/>
    <w:rsid w:val="00791E77"/>
    <w:rsid w:val="00796C0D"/>
    <w:rsid w:val="0079757B"/>
    <w:rsid w:val="007A0271"/>
    <w:rsid w:val="007A22F3"/>
    <w:rsid w:val="007A292D"/>
    <w:rsid w:val="007A29D5"/>
    <w:rsid w:val="007A38D2"/>
    <w:rsid w:val="007B01E6"/>
    <w:rsid w:val="007B171E"/>
    <w:rsid w:val="007B210C"/>
    <w:rsid w:val="007B263A"/>
    <w:rsid w:val="007B297F"/>
    <w:rsid w:val="007B2EA8"/>
    <w:rsid w:val="007B37F0"/>
    <w:rsid w:val="007B3B57"/>
    <w:rsid w:val="007B437E"/>
    <w:rsid w:val="007B57AE"/>
    <w:rsid w:val="007B5922"/>
    <w:rsid w:val="007B5AE8"/>
    <w:rsid w:val="007B6154"/>
    <w:rsid w:val="007B7658"/>
    <w:rsid w:val="007B7CDD"/>
    <w:rsid w:val="007C04BF"/>
    <w:rsid w:val="007C07A8"/>
    <w:rsid w:val="007C209B"/>
    <w:rsid w:val="007C2E64"/>
    <w:rsid w:val="007C36C9"/>
    <w:rsid w:val="007C6169"/>
    <w:rsid w:val="007C65FE"/>
    <w:rsid w:val="007C6C96"/>
    <w:rsid w:val="007C6D12"/>
    <w:rsid w:val="007D2683"/>
    <w:rsid w:val="007D6664"/>
    <w:rsid w:val="007E063F"/>
    <w:rsid w:val="007E1273"/>
    <w:rsid w:val="007E1D91"/>
    <w:rsid w:val="007E1E19"/>
    <w:rsid w:val="007E41C1"/>
    <w:rsid w:val="007E5051"/>
    <w:rsid w:val="007E52CE"/>
    <w:rsid w:val="007E7028"/>
    <w:rsid w:val="007E7324"/>
    <w:rsid w:val="007E7E88"/>
    <w:rsid w:val="007F01AB"/>
    <w:rsid w:val="007F3DB5"/>
    <w:rsid w:val="007F4541"/>
    <w:rsid w:val="007F484E"/>
    <w:rsid w:val="007F5A9A"/>
    <w:rsid w:val="007F5FD0"/>
    <w:rsid w:val="00801F47"/>
    <w:rsid w:val="008028B2"/>
    <w:rsid w:val="00803D56"/>
    <w:rsid w:val="00803E3A"/>
    <w:rsid w:val="008066E8"/>
    <w:rsid w:val="00807A24"/>
    <w:rsid w:val="008107BB"/>
    <w:rsid w:val="00810C36"/>
    <w:rsid w:val="00810EBC"/>
    <w:rsid w:val="0081152B"/>
    <w:rsid w:val="00812150"/>
    <w:rsid w:val="0081240E"/>
    <w:rsid w:val="00813C03"/>
    <w:rsid w:val="00813D50"/>
    <w:rsid w:val="00814EE6"/>
    <w:rsid w:val="00815B46"/>
    <w:rsid w:val="00815BEE"/>
    <w:rsid w:val="00817371"/>
    <w:rsid w:val="00817924"/>
    <w:rsid w:val="00820A28"/>
    <w:rsid w:val="00821369"/>
    <w:rsid w:val="008222F9"/>
    <w:rsid w:val="00822ADC"/>
    <w:rsid w:val="00822B03"/>
    <w:rsid w:val="00825372"/>
    <w:rsid w:val="0082630E"/>
    <w:rsid w:val="00827A48"/>
    <w:rsid w:val="00833037"/>
    <w:rsid w:val="00833B2B"/>
    <w:rsid w:val="00833F13"/>
    <w:rsid w:val="008340D1"/>
    <w:rsid w:val="0083519F"/>
    <w:rsid w:val="008351AC"/>
    <w:rsid w:val="00836380"/>
    <w:rsid w:val="008416F7"/>
    <w:rsid w:val="00842320"/>
    <w:rsid w:val="008423F7"/>
    <w:rsid w:val="00842B5A"/>
    <w:rsid w:val="00843942"/>
    <w:rsid w:val="00843F05"/>
    <w:rsid w:val="008442A3"/>
    <w:rsid w:val="00844808"/>
    <w:rsid w:val="00844E18"/>
    <w:rsid w:val="0084524C"/>
    <w:rsid w:val="0085047F"/>
    <w:rsid w:val="00850CA5"/>
    <w:rsid w:val="00850D00"/>
    <w:rsid w:val="00850E50"/>
    <w:rsid w:val="00851851"/>
    <w:rsid w:val="0085330A"/>
    <w:rsid w:val="00854B91"/>
    <w:rsid w:val="00854F4F"/>
    <w:rsid w:val="008561AF"/>
    <w:rsid w:val="00856F38"/>
    <w:rsid w:val="00857909"/>
    <w:rsid w:val="00857CD5"/>
    <w:rsid w:val="008600D8"/>
    <w:rsid w:val="0086116D"/>
    <w:rsid w:val="00861844"/>
    <w:rsid w:val="00862031"/>
    <w:rsid w:val="00862B61"/>
    <w:rsid w:val="008636B9"/>
    <w:rsid w:val="0086619E"/>
    <w:rsid w:val="00866284"/>
    <w:rsid w:val="00866335"/>
    <w:rsid w:val="008672D9"/>
    <w:rsid w:val="00867550"/>
    <w:rsid w:val="00867B4A"/>
    <w:rsid w:val="00867DAD"/>
    <w:rsid w:val="00872B7E"/>
    <w:rsid w:val="00872F57"/>
    <w:rsid w:val="008733E6"/>
    <w:rsid w:val="00874F9F"/>
    <w:rsid w:val="008755E6"/>
    <w:rsid w:val="00875E97"/>
    <w:rsid w:val="008761B0"/>
    <w:rsid w:val="00876576"/>
    <w:rsid w:val="00883D78"/>
    <w:rsid w:val="008840B5"/>
    <w:rsid w:val="008864EA"/>
    <w:rsid w:val="008879D4"/>
    <w:rsid w:val="008925EF"/>
    <w:rsid w:val="00892DA8"/>
    <w:rsid w:val="00893445"/>
    <w:rsid w:val="0089363F"/>
    <w:rsid w:val="00893CBE"/>
    <w:rsid w:val="008940C2"/>
    <w:rsid w:val="00895062"/>
    <w:rsid w:val="0089523D"/>
    <w:rsid w:val="008961E9"/>
    <w:rsid w:val="0089685B"/>
    <w:rsid w:val="00896F51"/>
    <w:rsid w:val="008A0788"/>
    <w:rsid w:val="008A2240"/>
    <w:rsid w:val="008A3B61"/>
    <w:rsid w:val="008A6778"/>
    <w:rsid w:val="008A6A9F"/>
    <w:rsid w:val="008B1011"/>
    <w:rsid w:val="008B2374"/>
    <w:rsid w:val="008B4726"/>
    <w:rsid w:val="008B4874"/>
    <w:rsid w:val="008B4EAA"/>
    <w:rsid w:val="008B699F"/>
    <w:rsid w:val="008C0216"/>
    <w:rsid w:val="008C4821"/>
    <w:rsid w:val="008C5035"/>
    <w:rsid w:val="008C52F5"/>
    <w:rsid w:val="008C6B24"/>
    <w:rsid w:val="008D2395"/>
    <w:rsid w:val="008D2EC8"/>
    <w:rsid w:val="008D38E7"/>
    <w:rsid w:val="008D3F01"/>
    <w:rsid w:val="008D57BE"/>
    <w:rsid w:val="008D5D4A"/>
    <w:rsid w:val="008D7B85"/>
    <w:rsid w:val="008E356A"/>
    <w:rsid w:val="008E3C34"/>
    <w:rsid w:val="008E495D"/>
    <w:rsid w:val="008E4E96"/>
    <w:rsid w:val="008E52D0"/>
    <w:rsid w:val="008E6663"/>
    <w:rsid w:val="008E6F8C"/>
    <w:rsid w:val="008E7D25"/>
    <w:rsid w:val="008F1AA3"/>
    <w:rsid w:val="008F219A"/>
    <w:rsid w:val="008F4A85"/>
    <w:rsid w:val="008F5BB3"/>
    <w:rsid w:val="008F5BD5"/>
    <w:rsid w:val="008F5FC1"/>
    <w:rsid w:val="0090017B"/>
    <w:rsid w:val="00901B64"/>
    <w:rsid w:val="00902433"/>
    <w:rsid w:val="009029E1"/>
    <w:rsid w:val="00902E9F"/>
    <w:rsid w:val="00903464"/>
    <w:rsid w:val="0090490D"/>
    <w:rsid w:val="00904DE5"/>
    <w:rsid w:val="009057E7"/>
    <w:rsid w:val="0090789F"/>
    <w:rsid w:val="00911A77"/>
    <w:rsid w:val="009129D4"/>
    <w:rsid w:val="00913CF7"/>
    <w:rsid w:val="009144B9"/>
    <w:rsid w:val="00915669"/>
    <w:rsid w:val="0091790E"/>
    <w:rsid w:val="0092395D"/>
    <w:rsid w:val="00923A92"/>
    <w:rsid w:val="00925F50"/>
    <w:rsid w:val="00927F1A"/>
    <w:rsid w:val="009302CB"/>
    <w:rsid w:val="00934396"/>
    <w:rsid w:val="00934419"/>
    <w:rsid w:val="00935687"/>
    <w:rsid w:val="00935A68"/>
    <w:rsid w:val="0093668B"/>
    <w:rsid w:val="0093773A"/>
    <w:rsid w:val="0094085E"/>
    <w:rsid w:val="0094495F"/>
    <w:rsid w:val="00945C92"/>
    <w:rsid w:val="00946480"/>
    <w:rsid w:val="00946556"/>
    <w:rsid w:val="00946B8B"/>
    <w:rsid w:val="00947954"/>
    <w:rsid w:val="00947D34"/>
    <w:rsid w:val="0095039D"/>
    <w:rsid w:val="009507A6"/>
    <w:rsid w:val="00951B8B"/>
    <w:rsid w:val="009522A1"/>
    <w:rsid w:val="00952502"/>
    <w:rsid w:val="00953975"/>
    <w:rsid w:val="00956298"/>
    <w:rsid w:val="00957CBC"/>
    <w:rsid w:val="00961B19"/>
    <w:rsid w:val="00961C9D"/>
    <w:rsid w:val="00962DC9"/>
    <w:rsid w:val="00963628"/>
    <w:rsid w:val="0096381B"/>
    <w:rsid w:val="00963DD8"/>
    <w:rsid w:val="00966F49"/>
    <w:rsid w:val="00967EF7"/>
    <w:rsid w:val="00972DBA"/>
    <w:rsid w:val="009749E0"/>
    <w:rsid w:val="00974E7B"/>
    <w:rsid w:val="00975114"/>
    <w:rsid w:val="0098025F"/>
    <w:rsid w:val="00982466"/>
    <w:rsid w:val="009826CE"/>
    <w:rsid w:val="00983C3B"/>
    <w:rsid w:val="00983E74"/>
    <w:rsid w:val="0098406D"/>
    <w:rsid w:val="009844F7"/>
    <w:rsid w:val="009859BB"/>
    <w:rsid w:val="009863DC"/>
    <w:rsid w:val="00986AFC"/>
    <w:rsid w:val="00987EB9"/>
    <w:rsid w:val="00991AC5"/>
    <w:rsid w:val="00995766"/>
    <w:rsid w:val="0099660D"/>
    <w:rsid w:val="00996A97"/>
    <w:rsid w:val="00997CF4"/>
    <w:rsid w:val="00997E7E"/>
    <w:rsid w:val="009A271F"/>
    <w:rsid w:val="009A300E"/>
    <w:rsid w:val="009A3216"/>
    <w:rsid w:val="009A3F8A"/>
    <w:rsid w:val="009A5844"/>
    <w:rsid w:val="009A63C2"/>
    <w:rsid w:val="009B00F1"/>
    <w:rsid w:val="009B0EA1"/>
    <w:rsid w:val="009B1821"/>
    <w:rsid w:val="009B3A41"/>
    <w:rsid w:val="009B3FCD"/>
    <w:rsid w:val="009B45F6"/>
    <w:rsid w:val="009B4D60"/>
    <w:rsid w:val="009B4E77"/>
    <w:rsid w:val="009B506C"/>
    <w:rsid w:val="009B6391"/>
    <w:rsid w:val="009B6958"/>
    <w:rsid w:val="009C0B40"/>
    <w:rsid w:val="009C1A72"/>
    <w:rsid w:val="009C3073"/>
    <w:rsid w:val="009C4463"/>
    <w:rsid w:val="009C4745"/>
    <w:rsid w:val="009C616B"/>
    <w:rsid w:val="009C6C16"/>
    <w:rsid w:val="009D2623"/>
    <w:rsid w:val="009D4506"/>
    <w:rsid w:val="009D4C5F"/>
    <w:rsid w:val="009D5322"/>
    <w:rsid w:val="009D53A2"/>
    <w:rsid w:val="009D63E5"/>
    <w:rsid w:val="009D750F"/>
    <w:rsid w:val="009E1E6A"/>
    <w:rsid w:val="009E2568"/>
    <w:rsid w:val="009E2A92"/>
    <w:rsid w:val="009E2FD2"/>
    <w:rsid w:val="009E311D"/>
    <w:rsid w:val="009E3A8B"/>
    <w:rsid w:val="009E4A03"/>
    <w:rsid w:val="009E624F"/>
    <w:rsid w:val="009F19B6"/>
    <w:rsid w:val="009F25AA"/>
    <w:rsid w:val="009F3D75"/>
    <w:rsid w:val="009F5745"/>
    <w:rsid w:val="009F58AE"/>
    <w:rsid w:val="009F6620"/>
    <w:rsid w:val="009F7229"/>
    <w:rsid w:val="009F783D"/>
    <w:rsid w:val="009F7B0F"/>
    <w:rsid w:val="009F7B6C"/>
    <w:rsid w:val="00A0085A"/>
    <w:rsid w:val="00A011C1"/>
    <w:rsid w:val="00A01F81"/>
    <w:rsid w:val="00A024A0"/>
    <w:rsid w:val="00A049E9"/>
    <w:rsid w:val="00A0667A"/>
    <w:rsid w:val="00A0670B"/>
    <w:rsid w:val="00A06D49"/>
    <w:rsid w:val="00A10210"/>
    <w:rsid w:val="00A10D86"/>
    <w:rsid w:val="00A144CB"/>
    <w:rsid w:val="00A15CCB"/>
    <w:rsid w:val="00A1626B"/>
    <w:rsid w:val="00A17BCE"/>
    <w:rsid w:val="00A205F5"/>
    <w:rsid w:val="00A20638"/>
    <w:rsid w:val="00A21DD0"/>
    <w:rsid w:val="00A21EA7"/>
    <w:rsid w:val="00A23ED4"/>
    <w:rsid w:val="00A24604"/>
    <w:rsid w:val="00A24B6F"/>
    <w:rsid w:val="00A275F6"/>
    <w:rsid w:val="00A3059A"/>
    <w:rsid w:val="00A30939"/>
    <w:rsid w:val="00A32941"/>
    <w:rsid w:val="00A33FDA"/>
    <w:rsid w:val="00A340E5"/>
    <w:rsid w:val="00A341F1"/>
    <w:rsid w:val="00A3543D"/>
    <w:rsid w:val="00A36A37"/>
    <w:rsid w:val="00A36F55"/>
    <w:rsid w:val="00A37F2D"/>
    <w:rsid w:val="00A421A5"/>
    <w:rsid w:val="00A4496D"/>
    <w:rsid w:val="00A45C14"/>
    <w:rsid w:val="00A527CA"/>
    <w:rsid w:val="00A52902"/>
    <w:rsid w:val="00A52AC9"/>
    <w:rsid w:val="00A53011"/>
    <w:rsid w:val="00A5369C"/>
    <w:rsid w:val="00A54137"/>
    <w:rsid w:val="00A556B4"/>
    <w:rsid w:val="00A57225"/>
    <w:rsid w:val="00A57A13"/>
    <w:rsid w:val="00A602D5"/>
    <w:rsid w:val="00A607F3"/>
    <w:rsid w:val="00A62555"/>
    <w:rsid w:val="00A63595"/>
    <w:rsid w:val="00A638AB"/>
    <w:rsid w:val="00A64AE3"/>
    <w:rsid w:val="00A64B2E"/>
    <w:rsid w:val="00A64D46"/>
    <w:rsid w:val="00A65043"/>
    <w:rsid w:val="00A65F53"/>
    <w:rsid w:val="00A661AE"/>
    <w:rsid w:val="00A66513"/>
    <w:rsid w:val="00A66EF4"/>
    <w:rsid w:val="00A6793B"/>
    <w:rsid w:val="00A6798F"/>
    <w:rsid w:val="00A71842"/>
    <w:rsid w:val="00A73013"/>
    <w:rsid w:val="00A73146"/>
    <w:rsid w:val="00A73464"/>
    <w:rsid w:val="00A73E87"/>
    <w:rsid w:val="00A74370"/>
    <w:rsid w:val="00A7473E"/>
    <w:rsid w:val="00A74B05"/>
    <w:rsid w:val="00A7640B"/>
    <w:rsid w:val="00A76691"/>
    <w:rsid w:val="00A804F3"/>
    <w:rsid w:val="00A806B3"/>
    <w:rsid w:val="00A82399"/>
    <w:rsid w:val="00A827E7"/>
    <w:rsid w:val="00A83AED"/>
    <w:rsid w:val="00A84D92"/>
    <w:rsid w:val="00A8516E"/>
    <w:rsid w:val="00A869C6"/>
    <w:rsid w:val="00A87696"/>
    <w:rsid w:val="00A902C8"/>
    <w:rsid w:val="00A91693"/>
    <w:rsid w:val="00A927DF"/>
    <w:rsid w:val="00A95B62"/>
    <w:rsid w:val="00A974AD"/>
    <w:rsid w:val="00A9772F"/>
    <w:rsid w:val="00AA045E"/>
    <w:rsid w:val="00AA2067"/>
    <w:rsid w:val="00AA27FB"/>
    <w:rsid w:val="00AA33F0"/>
    <w:rsid w:val="00AA536C"/>
    <w:rsid w:val="00AA593B"/>
    <w:rsid w:val="00AA6098"/>
    <w:rsid w:val="00AA61B3"/>
    <w:rsid w:val="00AA6BBF"/>
    <w:rsid w:val="00AB0886"/>
    <w:rsid w:val="00AB193C"/>
    <w:rsid w:val="00AB3724"/>
    <w:rsid w:val="00AB3A88"/>
    <w:rsid w:val="00AB42C5"/>
    <w:rsid w:val="00AB4466"/>
    <w:rsid w:val="00AB5981"/>
    <w:rsid w:val="00AB62D4"/>
    <w:rsid w:val="00AC0006"/>
    <w:rsid w:val="00AC14C9"/>
    <w:rsid w:val="00AC2123"/>
    <w:rsid w:val="00AC3BEF"/>
    <w:rsid w:val="00AC63C5"/>
    <w:rsid w:val="00AC74AF"/>
    <w:rsid w:val="00AD10B9"/>
    <w:rsid w:val="00AD3699"/>
    <w:rsid w:val="00AD3922"/>
    <w:rsid w:val="00AD53B3"/>
    <w:rsid w:val="00AD5C97"/>
    <w:rsid w:val="00AD65C9"/>
    <w:rsid w:val="00AD6835"/>
    <w:rsid w:val="00AD69FE"/>
    <w:rsid w:val="00AD77D8"/>
    <w:rsid w:val="00AE0E98"/>
    <w:rsid w:val="00AE33FE"/>
    <w:rsid w:val="00AE6A02"/>
    <w:rsid w:val="00AE731A"/>
    <w:rsid w:val="00AE7487"/>
    <w:rsid w:val="00AE76F7"/>
    <w:rsid w:val="00AE7DB5"/>
    <w:rsid w:val="00AF0A5D"/>
    <w:rsid w:val="00AF2675"/>
    <w:rsid w:val="00AF3483"/>
    <w:rsid w:val="00AF44E0"/>
    <w:rsid w:val="00AF5632"/>
    <w:rsid w:val="00AF5C06"/>
    <w:rsid w:val="00AF69CA"/>
    <w:rsid w:val="00AF7F30"/>
    <w:rsid w:val="00B0038A"/>
    <w:rsid w:val="00B005B2"/>
    <w:rsid w:val="00B007C4"/>
    <w:rsid w:val="00B010CD"/>
    <w:rsid w:val="00B030CB"/>
    <w:rsid w:val="00B032A2"/>
    <w:rsid w:val="00B050FE"/>
    <w:rsid w:val="00B05A26"/>
    <w:rsid w:val="00B0629B"/>
    <w:rsid w:val="00B06F01"/>
    <w:rsid w:val="00B06FDD"/>
    <w:rsid w:val="00B07957"/>
    <w:rsid w:val="00B07F56"/>
    <w:rsid w:val="00B1085F"/>
    <w:rsid w:val="00B10E63"/>
    <w:rsid w:val="00B12916"/>
    <w:rsid w:val="00B1439B"/>
    <w:rsid w:val="00B155AE"/>
    <w:rsid w:val="00B15CCB"/>
    <w:rsid w:val="00B168D7"/>
    <w:rsid w:val="00B16B4A"/>
    <w:rsid w:val="00B16BE7"/>
    <w:rsid w:val="00B173A1"/>
    <w:rsid w:val="00B20D72"/>
    <w:rsid w:val="00B2192B"/>
    <w:rsid w:val="00B22ADA"/>
    <w:rsid w:val="00B23591"/>
    <w:rsid w:val="00B24BDB"/>
    <w:rsid w:val="00B25147"/>
    <w:rsid w:val="00B271FE"/>
    <w:rsid w:val="00B310EE"/>
    <w:rsid w:val="00B35345"/>
    <w:rsid w:val="00B40BE5"/>
    <w:rsid w:val="00B42551"/>
    <w:rsid w:val="00B45584"/>
    <w:rsid w:val="00B46AF6"/>
    <w:rsid w:val="00B47134"/>
    <w:rsid w:val="00B47AB7"/>
    <w:rsid w:val="00B5246F"/>
    <w:rsid w:val="00B53A3B"/>
    <w:rsid w:val="00B56B39"/>
    <w:rsid w:val="00B5785C"/>
    <w:rsid w:val="00B602FB"/>
    <w:rsid w:val="00B62ACC"/>
    <w:rsid w:val="00B64584"/>
    <w:rsid w:val="00B658A9"/>
    <w:rsid w:val="00B65BEB"/>
    <w:rsid w:val="00B65F11"/>
    <w:rsid w:val="00B677DA"/>
    <w:rsid w:val="00B70137"/>
    <w:rsid w:val="00B70C6C"/>
    <w:rsid w:val="00B71054"/>
    <w:rsid w:val="00B71612"/>
    <w:rsid w:val="00B73A15"/>
    <w:rsid w:val="00B74017"/>
    <w:rsid w:val="00B7520E"/>
    <w:rsid w:val="00B75963"/>
    <w:rsid w:val="00B800F0"/>
    <w:rsid w:val="00B81B6E"/>
    <w:rsid w:val="00B82699"/>
    <w:rsid w:val="00B82880"/>
    <w:rsid w:val="00B864EE"/>
    <w:rsid w:val="00B8650C"/>
    <w:rsid w:val="00B871C4"/>
    <w:rsid w:val="00B8765C"/>
    <w:rsid w:val="00B87DA1"/>
    <w:rsid w:val="00B91708"/>
    <w:rsid w:val="00B92BF7"/>
    <w:rsid w:val="00B935BB"/>
    <w:rsid w:val="00B94199"/>
    <w:rsid w:val="00B94C74"/>
    <w:rsid w:val="00B9593E"/>
    <w:rsid w:val="00B95DBA"/>
    <w:rsid w:val="00B973F1"/>
    <w:rsid w:val="00B97695"/>
    <w:rsid w:val="00BA0D99"/>
    <w:rsid w:val="00BA2AB4"/>
    <w:rsid w:val="00BA41AC"/>
    <w:rsid w:val="00BA489C"/>
    <w:rsid w:val="00BA6223"/>
    <w:rsid w:val="00BB04D2"/>
    <w:rsid w:val="00BB37D2"/>
    <w:rsid w:val="00BB5732"/>
    <w:rsid w:val="00BB6C6C"/>
    <w:rsid w:val="00BB7079"/>
    <w:rsid w:val="00BC144A"/>
    <w:rsid w:val="00BC226B"/>
    <w:rsid w:val="00BC2EEF"/>
    <w:rsid w:val="00BC30B9"/>
    <w:rsid w:val="00BC3958"/>
    <w:rsid w:val="00BC4501"/>
    <w:rsid w:val="00BC645B"/>
    <w:rsid w:val="00BC75FD"/>
    <w:rsid w:val="00BC787D"/>
    <w:rsid w:val="00BC78F9"/>
    <w:rsid w:val="00BC7A07"/>
    <w:rsid w:val="00BD0233"/>
    <w:rsid w:val="00BD1324"/>
    <w:rsid w:val="00BD284C"/>
    <w:rsid w:val="00BD30D5"/>
    <w:rsid w:val="00BD35E3"/>
    <w:rsid w:val="00BD5830"/>
    <w:rsid w:val="00BD7FE2"/>
    <w:rsid w:val="00BE0D6C"/>
    <w:rsid w:val="00BE136E"/>
    <w:rsid w:val="00BE3210"/>
    <w:rsid w:val="00BE401B"/>
    <w:rsid w:val="00BE7E37"/>
    <w:rsid w:val="00BF34BB"/>
    <w:rsid w:val="00BF6DD1"/>
    <w:rsid w:val="00BF7E0B"/>
    <w:rsid w:val="00C0060F"/>
    <w:rsid w:val="00C00A66"/>
    <w:rsid w:val="00C00E5B"/>
    <w:rsid w:val="00C01BA9"/>
    <w:rsid w:val="00C032B4"/>
    <w:rsid w:val="00C03626"/>
    <w:rsid w:val="00C03886"/>
    <w:rsid w:val="00C03907"/>
    <w:rsid w:val="00C03D8B"/>
    <w:rsid w:val="00C03FAB"/>
    <w:rsid w:val="00C041D6"/>
    <w:rsid w:val="00C05153"/>
    <w:rsid w:val="00C06432"/>
    <w:rsid w:val="00C10601"/>
    <w:rsid w:val="00C1136A"/>
    <w:rsid w:val="00C129A0"/>
    <w:rsid w:val="00C14812"/>
    <w:rsid w:val="00C14F8E"/>
    <w:rsid w:val="00C16E66"/>
    <w:rsid w:val="00C214FF"/>
    <w:rsid w:val="00C2240B"/>
    <w:rsid w:val="00C22546"/>
    <w:rsid w:val="00C251BA"/>
    <w:rsid w:val="00C26A0F"/>
    <w:rsid w:val="00C27461"/>
    <w:rsid w:val="00C31144"/>
    <w:rsid w:val="00C32EA7"/>
    <w:rsid w:val="00C40C37"/>
    <w:rsid w:val="00C426E3"/>
    <w:rsid w:val="00C44073"/>
    <w:rsid w:val="00C442BF"/>
    <w:rsid w:val="00C4461C"/>
    <w:rsid w:val="00C478F6"/>
    <w:rsid w:val="00C47ABC"/>
    <w:rsid w:val="00C50141"/>
    <w:rsid w:val="00C5092C"/>
    <w:rsid w:val="00C50F64"/>
    <w:rsid w:val="00C5131E"/>
    <w:rsid w:val="00C52054"/>
    <w:rsid w:val="00C543B6"/>
    <w:rsid w:val="00C564D1"/>
    <w:rsid w:val="00C564E1"/>
    <w:rsid w:val="00C56585"/>
    <w:rsid w:val="00C57492"/>
    <w:rsid w:val="00C57BCF"/>
    <w:rsid w:val="00C57D30"/>
    <w:rsid w:val="00C605BB"/>
    <w:rsid w:val="00C63299"/>
    <w:rsid w:val="00C6412D"/>
    <w:rsid w:val="00C651AC"/>
    <w:rsid w:val="00C661EC"/>
    <w:rsid w:val="00C70604"/>
    <w:rsid w:val="00C72386"/>
    <w:rsid w:val="00C728D4"/>
    <w:rsid w:val="00C72E42"/>
    <w:rsid w:val="00C73370"/>
    <w:rsid w:val="00C74B62"/>
    <w:rsid w:val="00C7539C"/>
    <w:rsid w:val="00C76561"/>
    <w:rsid w:val="00C814D5"/>
    <w:rsid w:val="00C82364"/>
    <w:rsid w:val="00C84A4F"/>
    <w:rsid w:val="00C86036"/>
    <w:rsid w:val="00C902F1"/>
    <w:rsid w:val="00C9187A"/>
    <w:rsid w:val="00C93C34"/>
    <w:rsid w:val="00C951F6"/>
    <w:rsid w:val="00C974D0"/>
    <w:rsid w:val="00CA02E2"/>
    <w:rsid w:val="00CA20E2"/>
    <w:rsid w:val="00CA484E"/>
    <w:rsid w:val="00CA5563"/>
    <w:rsid w:val="00CA63AD"/>
    <w:rsid w:val="00CA6759"/>
    <w:rsid w:val="00CA75EB"/>
    <w:rsid w:val="00CB0B73"/>
    <w:rsid w:val="00CB3133"/>
    <w:rsid w:val="00CB555D"/>
    <w:rsid w:val="00CB58E7"/>
    <w:rsid w:val="00CB5DF5"/>
    <w:rsid w:val="00CB782F"/>
    <w:rsid w:val="00CC05BF"/>
    <w:rsid w:val="00CC1121"/>
    <w:rsid w:val="00CC1205"/>
    <w:rsid w:val="00CC2504"/>
    <w:rsid w:val="00CC2BCC"/>
    <w:rsid w:val="00CC2D3F"/>
    <w:rsid w:val="00CC3D38"/>
    <w:rsid w:val="00CC4342"/>
    <w:rsid w:val="00CC5CDF"/>
    <w:rsid w:val="00CC6532"/>
    <w:rsid w:val="00CC6D66"/>
    <w:rsid w:val="00CC76E4"/>
    <w:rsid w:val="00CD0109"/>
    <w:rsid w:val="00CD03DB"/>
    <w:rsid w:val="00CD0632"/>
    <w:rsid w:val="00CD1364"/>
    <w:rsid w:val="00CD2305"/>
    <w:rsid w:val="00CD53D9"/>
    <w:rsid w:val="00CD5F4B"/>
    <w:rsid w:val="00CD633C"/>
    <w:rsid w:val="00CD763C"/>
    <w:rsid w:val="00CD795E"/>
    <w:rsid w:val="00CE0557"/>
    <w:rsid w:val="00CE0BF9"/>
    <w:rsid w:val="00CE1E3C"/>
    <w:rsid w:val="00CE5739"/>
    <w:rsid w:val="00CF04DA"/>
    <w:rsid w:val="00CF1EFF"/>
    <w:rsid w:val="00CF2951"/>
    <w:rsid w:val="00CF4D81"/>
    <w:rsid w:val="00CF52E0"/>
    <w:rsid w:val="00CF6048"/>
    <w:rsid w:val="00D00E79"/>
    <w:rsid w:val="00D01DC0"/>
    <w:rsid w:val="00D01E7E"/>
    <w:rsid w:val="00D03D9A"/>
    <w:rsid w:val="00D049EB"/>
    <w:rsid w:val="00D05E1A"/>
    <w:rsid w:val="00D06D43"/>
    <w:rsid w:val="00D079C1"/>
    <w:rsid w:val="00D1184B"/>
    <w:rsid w:val="00D1210D"/>
    <w:rsid w:val="00D132FB"/>
    <w:rsid w:val="00D1369F"/>
    <w:rsid w:val="00D1423E"/>
    <w:rsid w:val="00D14951"/>
    <w:rsid w:val="00D16767"/>
    <w:rsid w:val="00D17789"/>
    <w:rsid w:val="00D23D3E"/>
    <w:rsid w:val="00D2408D"/>
    <w:rsid w:val="00D243BA"/>
    <w:rsid w:val="00D24BAA"/>
    <w:rsid w:val="00D25744"/>
    <w:rsid w:val="00D25772"/>
    <w:rsid w:val="00D25C90"/>
    <w:rsid w:val="00D26E23"/>
    <w:rsid w:val="00D2709D"/>
    <w:rsid w:val="00D32C32"/>
    <w:rsid w:val="00D339BB"/>
    <w:rsid w:val="00D35614"/>
    <w:rsid w:val="00D35E0A"/>
    <w:rsid w:val="00D36796"/>
    <w:rsid w:val="00D36D2C"/>
    <w:rsid w:val="00D37F7A"/>
    <w:rsid w:val="00D40E99"/>
    <w:rsid w:val="00D4228E"/>
    <w:rsid w:val="00D45390"/>
    <w:rsid w:val="00D45D6A"/>
    <w:rsid w:val="00D46E24"/>
    <w:rsid w:val="00D470BD"/>
    <w:rsid w:val="00D50645"/>
    <w:rsid w:val="00D51C94"/>
    <w:rsid w:val="00D52187"/>
    <w:rsid w:val="00D5288A"/>
    <w:rsid w:val="00D53DEA"/>
    <w:rsid w:val="00D5501E"/>
    <w:rsid w:val="00D555D7"/>
    <w:rsid w:val="00D55EF0"/>
    <w:rsid w:val="00D56C42"/>
    <w:rsid w:val="00D56E95"/>
    <w:rsid w:val="00D57222"/>
    <w:rsid w:val="00D5760B"/>
    <w:rsid w:val="00D57D2B"/>
    <w:rsid w:val="00D6043D"/>
    <w:rsid w:val="00D6106A"/>
    <w:rsid w:val="00D6117C"/>
    <w:rsid w:val="00D64B73"/>
    <w:rsid w:val="00D65FF8"/>
    <w:rsid w:val="00D663D7"/>
    <w:rsid w:val="00D676FF"/>
    <w:rsid w:val="00D67B8C"/>
    <w:rsid w:val="00D70117"/>
    <w:rsid w:val="00D70545"/>
    <w:rsid w:val="00D715C5"/>
    <w:rsid w:val="00D71C4E"/>
    <w:rsid w:val="00D73136"/>
    <w:rsid w:val="00D731EA"/>
    <w:rsid w:val="00D73FE2"/>
    <w:rsid w:val="00D749FD"/>
    <w:rsid w:val="00D75710"/>
    <w:rsid w:val="00D80A96"/>
    <w:rsid w:val="00D80E30"/>
    <w:rsid w:val="00D80F7A"/>
    <w:rsid w:val="00D8305A"/>
    <w:rsid w:val="00D841B2"/>
    <w:rsid w:val="00D844D0"/>
    <w:rsid w:val="00D85608"/>
    <w:rsid w:val="00D9078C"/>
    <w:rsid w:val="00D911B1"/>
    <w:rsid w:val="00D91589"/>
    <w:rsid w:val="00D91752"/>
    <w:rsid w:val="00D920EE"/>
    <w:rsid w:val="00D936BB"/>
    <w:rsid w:val="00D9408E"/>
    <w:rsid w:val="00D940CD"/>
    <w:rsid w:val="00D947D6"/>
    <w:rsid w:val="00D95F0C"/>
    <w:rsid w:val="00D967E4"/>
    <w:rsid w:val="00D974D0"/>
    <w:rsid w:val="00D97893"/>
    <w:rsid w:val="00D97B92"/>
    <w:rsid w:val="00D97BFB"/>
    <w:rsid w:val="00D97DA7"/>
    <w:rsid w:val="00DA4D10"/>
    <w:rsid w:val="00DA5713"/>
    <w:rsid w:val="00DA5F9B"/>
    <w:rsid w:val="00DA6F75"/>
    <w:rsid w:val="00DB1794"/>
    <w:rsid w:val="00DB1E2E"/>
    <w:rsid w:val="00DB35EC"/>
    <w:rsid w:val="00DB422B"/>
    <w:rsid w:val="00DB4A39"/>
    <w:rsid w:val="00DB4E2A"/>
    <w:rsid w:val="00DB50D5"/>
    <w:rsid w:val="00DB6366"/>
    <w:rsid w:val="00DC0BFE"/>
    <w:rsid w:val="00DC0F3F"/>
    <w:rsid w:val="00DC1452"/>
    <w:rsid w:val="00DC2951"/>
    <w:rsid w:val="00DC4F3B"/>
    <w:rsid w:val="00DC7000"/>
    <w:rsid w:val="00DC75E9"/>
    <w:rsid w:val="00DC772D"/>
    <w:rsid w:val="00DC7E8D"/>
    <w:rsid w:val="00DD2A9D"/>
    <w:rsid w:val="00DD4072"/>
    <w:rsid w:val="00DD4888"/>
    <w:rsid w:val="00DD5168"/>
    <w:rsid w:val="00DD6A9E"/>
    <w:rsid w:val="00DE0552"/>
    <w:rsid w:val="00DE29F9"/>
    <w:rsid w:val="00DE3C7A"/>
    <w:rsid w:val="00DE6BAC"/>
    <w:rsid w:val="00DE7975"/>
    <w:rsid w:val="00DF012F"/>
    <w:rsid w:val="00DF16C1"/>
    <w:rsid w:val="00DF1AF3"/>
    <w:rsid w:val="00DF1F73"/>
    <w:rsid w:val="00DF2FEB"/>
    <w:rsid w:val="00DF42A4"/>
    <w:rsid w:val="00DF5B56"/>
    <w:rsid w:val="00DF5E51"/>
    <w:rsid w:val="00DF638B"/>
    <w:rsid w:val="00DF694E"/>
    <w:rsid w:val="00DF7F2C"/>
    <w:rsid w:val="00E012CF"/>
    <w:rsid w:val="00E038E2"/>
    <w:rsid w:val="00E04F02"/>
    <w:rsid w:val="00E058D3"/>
    <w:rsid w:val="00E05A53"/>
    <w:rsid w:val="00E07117"/>
    <w:rsid w:val="00E10CFA"/>
    <w:rsid w:val="00E11260"/>
    <w:rsid w:val="00E1248B"/>
    <w:rsid w:val="00E1258C"/>
    <w:rsid w:val="00E1504B"/>
    <w:rsid w:val="00E15D5B"/>
    <w:rsid w:val="00E16A36"/>
    <w:rsid w:val="00E21EF1"/>
    <w:rsid w:val="00E22459"/>
    <w:rsid w:val="00E234E7"/>
    <w:rsid w:val="00E242EC"/>
    <w:rsid w:val="00E24B2F"/>
    <w:rsid w:val="00E26551"/>
    <w:rsid w:val="00E30A28"/>
    <w:rsid w:val="00E30FDE"/>
    <w:rsid w:val="00E311CB"/>
    <w:rsid w:val="00E34193"/>
    <w:rsid w:val="00E3428C"/>
    <w:rsid w:val="00E35D8C"/>
    <w:rsid w:val="00E3616B"/>
    <w:rsid w:val="00E36F09"/>
    <w:rsid w:val="00E400F6"/>
    <w:rsid w:val="00E421C9"/>
    <w:rsid w:val="00E4241E"/>
    <w:rsid w:val="00E43EB7"/>
    <w:rsid w:val="00E46346"/>
    <w:rsid w:val="00E46C20"/>
    <w:rsid w:val="00E47097"/>
    <w:rsid w:val="00E47D47"/>
    <w:rsid w:val="00E5101E"/>
    <w:rsid w:val="00E51E39"/>
    <w:rsid w:val="00E52288"/>
    <w:rsid w:val="00E549C8"/>
    <w:rsid w:val="00E552BA"/>
    <w:rsid w:val="00E5695B"/>
    <w:rsid w:val="00E60241"/>
    <w:rsid w:val="00E60DD6"/>
    <w:rsid w:val="00E61F39"/>
    <w:rsid w:val="00E62C86"/>
    <w:rsid w:val="00E64592"/>
    <w:rsid w:val="00E66EAE"/>
    <w:rsid w:val="00E67BDC"/>
    <w:rsid w:val="00E73812"/>
    <w:rsid w:val="00E73AE0"/>
    <w:rsid w:val="00E74746"/>
    <w:rsid w:val="00E754B6"/>
    <w:rsid w:val="00E76426"/>
    <w:rsid w:val="00E770F4"/>
    <w:rsid w:val="00E77A6A"/>
    <w:rsid w:val="00E80867"/>
    <w:rsid w:val="00E80E96"/>
    <w:rsid w:val="00E80F25"/>
    <w:rsid w:val="00E8104D"/>
    <w:rsid w:val="00E823B3"/>
    <w:rsid w:val="00E83250"/>
    <w:rsid w:val="00E843A5"/>
    <w:rsid w:val="00E843BD"/>
    <w:rsid w:val="00E84CD2"/>
    <w:rsid w:val="00E84E53"/>
    <w:rsid w:val="00E86753"/>
    <w:rsid w:val="00E871D0"/>
    <w:rsid w:val="00E87BD6"/>
    <w:rsid w:val="00E91360"/>
    <w:rsid w:val="00E926C8"/>
    <w:rsid w:val="00E93051"/>
    <w:rsid w:val="00E9566A"/>
    <w:rsid w:val="00E9749E"/>
    <w:rsid w:val="00EA1421"/>
    <w:rsid w:val="00EA2CCF"/>
    <w:rsid w:val="00EA2CE8"/>
    <w:rsid w:val="00EA3100"/>
    <w:rsid w:val="00EA365C"/>
    <w:rsid w:val="00EA422D"/>
    <w:rsid w:val="00EA6272"/>
    <w:rsid w:val="00EA7D12"/>
    <w:rsid w:val="00EB0473"/>
    <w:rsid w:val="00EB22B4"/>
    <w:rsid w:val="00EB3255"/>
    <w:rsid w:val="00EB3BFD"/>
    <w:rsid w:val="00EB7AC6"/>
    <w:rsid w:val="00EC4EF4"/>
    <w:rsid w:val="00EC697A"/>
    <w:rsid w:val="00ED0240"/>
    <w:rsid w:val="00ED02D4"/>
    <w:rsid w:val="00ED0DE2"/>
    <w:rsid w:val="00ED149D"/>
    <w:rsid w:val="00ED1B87"/>
    <w:rsid w:val="00ED22E0"/>
    <w:rsid w:val="00ED2589"/>
    <w:rsid w:val="00ED27D2"/>
    <w:rsid w:val="00ED2902"/>
    <w:rsid w:val="00ED5F71"/>
    <w:rsid w:val="00ED69DB"/>
    <w:rsid w:val="00ED7AEF"/>
    <w:rsid w:val="00EE0A97"/>
    <w:rsid w:val="00EE16F2"/>
    <w:rsid w:val="00EE1A7F"/>
    <w:rsid w:val="00EE2430"/>
    <w:rsid w:val="00EE30B0"/>
    <w:rsid w:val="00EE338C"/>
    <w:rsid w:val="00EE4310"/>
    <w:rsid w:val="00EE5009"/>
    <w:rsid w:val="00EE6232"/>
    <w:rsid w:val="00EE7D5A"/>
    <w:rsid w:val="00EF3542"/>
    <w:rsid w:val="00EF3B7E"/>
    <w:rsid w:val="00EF40E4"/>
    <w:rsid w:val="00EF6803"/>
    <w:rsid w:val="00EF71C7"/>
    <w:rsid w:val="00F0047D"/>
    <w:rsid w:val="00F03996"/>
    <w:rsid w:val="00F06375"/>
    <w:rsid w:val="00F1040E"/>
    <w:rsid w:val="00F11C05"/>
    <w:rsid w:val="00F11F37"/>
    <w:rsid w:val="00F12C80"/>
    <w:rsid w:val="00F139F5"/>
    <w:rsid w:val="00F13A70"/>
    <w:rsid w:val="00F16AD8"/>
    <w:rsid w:val="00F16FA0"/>
    <w:rsid w:val="00F17020"/>
    <w:rsid w:val="00F20C88"/>
    <w:rsid w:val="00F23E0E"/>
    <w:rsid w:val="00F25E0F"/>
    <w:rsid w:val="00F26E7E"/>
    <w:rsid w:val="00F3014D"/>
    <w:rsid w:val="00F30F8A"/>
    <w:rsid w:val="00F316C4"/>
    <w:rsid w:val="00F3220D"/>
    <w:rsid w:val="00F33533"/>
    <w:rsid w:val="00F34144"/>
    <w:rsid w:val="00F34A97"/>
    <w:rsid w:val="00F34E32"/>
    <w:rsid w:val="00F372D2"/>
    <w:rsid w:val="00F37F76"/>
    <w:rsid w:val="00F40668"/>
    <w:rsid w:val="00F406BC"/>
    <w:rsid w:val="00F42019"/>
    <w:rsid w:val="00F43529"/>
    <w:rsid w:val="00F439A6"/>
    <w:rsid w:val="00F43C28"/>
    <w:rsid w:val="00F43CE5"/>
    <w:rsid w:val="00F44805"/>
    <w:rsid w:val="00F4501A"/>
    <w:rsid w:val="00F50A8A"/>
    <w:rsid w:val="00F50D2E"/>
    <w:rsid w:val="00F52039"/>
    <w:rsid w:val="00F53267"/>
    <w:rsid w:val="00F53576"/>
    <w:rsid w:val="00F54528"/>
    <w:rsid w:val="00F546DC"/>
    <w:rsid w:val="00F55DCC"/>
    <w:rsid w:val="00F57262"/>
    <w:rsid w:val="00F61B2A"/>
    <w:rsid w:val="00F62031"/>
    <w:rsid w:val="00F63D3B"/>
    <w:rsid w:val="00F64B75"/>
    <w:rsid w:val="00F666A9"/>
    <w:rsid w:val="00F67181"/>
    <w:rsid w:val="00F7260E"/>
    <w:rsid w:val="00F72E20"/>
    <w:rsid w:val="00F72F3F"/>
    <w:rsid w:val="00F754A8"/>
    <w:rsid w:val="00F77835"/>
    <w:rsid w:val="00F8123C"/>
    <w:rsid w:val="00F8278C"/>
    <w:rsid w:val="00F827F6"/>
    <w:rsid w:val="00F82B6E"/>
    <w:rsid w:val="00F82B7B"/>
    <w:rsid w:val="00F82C93"/>
    <w:rsid w:val="00F83761"/>
    <w:rsid w:val="00F85BEA"/>
    <w:rsid w:val="00F86255"/>
    <w:rsid w:val="00F879DE"/>
    <w:rsid w:val="00F87AFC"/>
    <w:rsid w:val="00F9007F"/>
    <w:rsid w:val="00F911C3"/>
    <w:rsid w:val="00F913A3"/>
    <w:rsid w:val="00F9210F"/>
    <w:rsid w:val="00F922B1"/>
    <w:rsid w:val="00F92E61"/>
    <w:rsid w:val="00F937F6"/>
    <w:rsid w:val="00F93DD2"/>
    <w:rsid w:val="00F93FAE"/>
    <w:rsid w:val="00F9414B"/>
    <w:rsid w:val="00F94BBE"/>
    <w:rsid w:val="00F954CD"/>
    <w:rsid w:val="00F95531"/>
    <w:rsid w:val="00F97CED"/>
    <w:rsid w:val="00FA060E"/>
    <w:rsid w:val="00FA13B6"/>
    <w:rsid w:val="00FA40AB"/>
    <w:rsid w:val="00FA52D2"/>
    <w:rsid w:val="00FA6233"/>
    <w:rsid w:val="00FA64C1"/>
    <w:rsid w:val="00FB073D"/>
    <w:rsid w:val="00FB07FA"/>
    <w:rsid w:val="00FB0821"/>
    <w:rsid w:val="00FB1086"/>
    <w:rsid w:val="00FB1496"/>
    <w:rsid w:val="00FB16AF"/>
    <w:rsid w:val="00FB16B9"/>
    <w:rsid w:val="00FB1C03"/>
    <w:rsid w:val="00FB259A"/>
    <w:rsid w:val="00FB2FC4"/>
    <w:rsid w:val="00FB49F6"/>
    <w:rsid w:val="00FB6338"/>
    <w:rsid w:val="00FB6B5B"/>
    <w:rsid w:val="00FB76F4"/>
    <w:rsid w:val="00FC013E"/>
    <w:rsid w:val="00FC1038"/>
    <w:rsid w:val="00FC3CD4"/>
    <w:rsid w:val="00FC4EDF"/>
    <w:rsid w:val="00FC4F81"/>
    <w:rsid w:val="00FC5115"/>
    <w:rsid w:val="00FC54CA"/>
    <w:rsid w:val="00FC57A3"/>
    <w:rsid w:val="00FC57AE"/>
    <w:rsid w:val="00FC583D"/>
    <w:rsid w:val="00FC732F"/>
    <w:rsid w:val="00FC7BAC"/>
    <w:rsid w:val="00FC7C3E"/>
    <w:rsid w:val="00FD2A84"/>
    <w:rsid w:val="00FD2CF1"/>
    <w:rsid w:val="00FD2D89"/>
    <w:rsid w:val="00FD2F7C"/>
    <w:rsid w:val="00FD3228"/>
    <w:rsid w:val="00FD4702"/>
    <w:rsid w:val="00FD6B89"/>
    <w:rsid w:val="00FD6F80"/>
    <w:rsid w:val="00FD72F4"/>
    <w:rsid w:val="00FE09A3"/>
    <w:rsid w:val="00FE1834"/>
    <w:rsid w:val="00FE1A83"/>
    <w:rsid w:val="00FE1DCC"/>
    <w:rsid w:val="00FE29B1"/>
    <w:rsid w:val="00FE3B06"/>
    <w:rsid w:val="00FE3B76"/>
    <w:rsid w:val="00FE3F52"/>
    <w:rsid w:val="00FE41C1"/>
    <w:rsid w:val="00FE4BF2"/>
    <w:rsid w:val="00FE74B9"/>
    <w:rsid w:val="00FE7AA9"/>
    <w:rsid w:val="00FF0D3D"/>
    <w:rsid w:val="00FF1833"/>
    <w:rsid w:val="00FF1C5E"/>
    <w:rsid w:val="00FF5DCD"/>
    <w:rsid w:val="00FF640F"/>
    <w:rsid w:val="00FF6769"/>
    <w:rsid w:val="00FF6A1E"/>
    <w:rsid w:val="00FF6C92"/>
    <w:rsid w:val="00FF7E4C"/>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DD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4F"/>
    <w:pPr>
      <w:spacing w:after="0" w:line="360" w:lineRule="auto"/>
      <w:ind w:firstLine="709"/>
      <w:jc w:val="both"/>
    </w:pPr>
    <w:rPr>
      <w:rFonts w:ascii="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rra">
    <w:name w:val="Barra"/>
    <w:basedOn w:val="Felice"/>
    <w:autoRedefine/>
    <w:qFormat/>
    <w:rsid w:val="005055A0"/>
    <w:pPr>
      <w:ind w:firstLine="0"/>
    </w:pPr>
    <w:rPr>
      <w:b/>
      <w:sz w:val="28"/>
      <w:szCs w:val="28"/>
    </w:rPr>
  </w:style>
  <w:style w:type="paragraph" w:customStyle="1" w:styleId="Felice">
    <w:name w:val="Felice"/>
    <w:basedOn w:val="Normal"/>
    <w:qFormat/>
    <w:rsid w:val="00DB50D5"/>
    <w:pPr>
      <w:ind w:firstLine="567"/>
    </w:pPr>
    <w:rPr>
      <w:rFonts w:ascii="Times" w:hAnsi="Times"/>
    </w:rPr>
  </w:style>
  <w:style w:type="paragraph" w:styleId="SemEspaamento">
    <w:name w:val="No Spacing"/>
    <w:uiPriority w:val="1"/>
    <w:qFormat/>
    <w:rsid w:val="00220A84"/>
    <w:pPr>
      <w:spacing w:after="0"/>
    </w:pPr>
  </w:style>
  <w:style w:type="paragraph" w:styleId="Textodenotaderodap">
    <w:name w:val="footnote text"/>
    <w:basedOn w:val="Normal"/>
    <w:link w:val="TextodenotaderodapChar"/>
    <w:unhideWhenUsed/>
    <w:rsid w:val="00A23ED4"/>
    <w:pPr>
      <w:spacing w:line="240" w:lineRule="auto"/>
      <w:ind w:left="142" w:hanging="142"/>
    </w:pPr>
    <w:rPr>
      <w:sz w:val="20"/>
    </w:rPr>
  </w:style>
  <w:style w:type="character" w:customStyle="1" w:styleId="TextodenotaderodapChar">
    <w:name w:val="Texto de nota de rodapé Char"/>
    <w:basedOn w:val="Fontepargpadro"/>
    <w:link w:val="Textodenotaderodap"/>
    <w:rsid w:val="00A23ED4"/>
    <w:rPr>
      <w:rFonts w:ascii="Times New Roman" w:hAnsi="Times New Roman"/>
      <w:sz w:val="20"/>
    </w:rPr>
  </w:style>
  <w:style w:type="character" w:styleId="Refdenotaderodap">
    <w:name w:val="footnote reference"/>
    <w:basedOn w:val="Fontepargpadro"/>
    <w:uiPriority w:val="99"/>
    <w:unhideWhenUsed/>
    <w:rsid w:val="00203EB8"/>
    <w:rPr>
      <w:vertAlign w:val="superscript"/>
    </w:rPr>
  </w:style>
  <w:style w:type="paragraph" w:customStyle="1" w:styleId="Notaderodap">
    <w:name w:val="Nota de rodapé"/>
    <w:basedOn w:val="Textodenotaderodap"/>
    <w:qFormat/>
    <w:rsid w:val="00692F8D"/>
    <w:rPr>
      <w:rFonts w:ascii="Times" w:hAnsi="Times"/>
      <w:szCs w:val="20"/>
    </w:rPr>
  </w:style>
  <w:style w:type="paragraph" w:styleId="NormalWeb">
    <w:name w:val="Normal (Web)"/>
    <w:basedOn w:val="Normal"/>
    <w:uiPriority w:val="99"/>
    <w:unhideWhenUsed/>
    <w:rsid w:val="0064096C"/>
    <w:pPr>
      <w:spacing w:before="100" w:beforeAutospacing="1" w:after="100" w:afterAutospacing="1"/>
    </w:pPr>
    <w:rPr>
      <w:rFonts w:eastAsia="Times New Roman" w:cs="Times New Roman"/>
      <w:lang w:eastAsia="pt-BR"/>
    </w:rPr>
  </w:style>
  <w:style w:type="paragraph" w:customStyle="1" w:styleId="Pargrafo">
    <w:name w:val="Parágrafo"/>
    <w:basedOn w:val="NormalWeb"/>
    <w:qFormat/>
    <w:rsid w:val="0064096C"/>
    <w:pPr>
      <w:spacing w:before="0" w:beforeAutospacing="0" w:after="120" w:afterAutospacing="0"/>
      <w:ind w:left="1440"/>
    </w:pPr>
    <w:rPr>
      <w:spacing w:val="36"/>
      <w:sz w:val="20"/>
    </w:rPr>
  </w:style>
  <w:style w:type="paragraph" w:customStyle="1" w:styleId="Artigo">
    <w:name w:val="Artigo"/>
    <w:basedOn w:val="NormalWeb"/>
    <w:qFormat/>
    <w:rsid w:val="0064096C"/>
    <w:pPr>
      <w:spacing w:before="0" w:beforeAutospacing="0" w:after="120" w:afterAutospacing="0"/>
      <w:ind w:firstLine="567"/>
    </w:pPr>
  </w:style>
  <w:style w:type="paragraph" w:styleId="Rodap">
    <w:name w:val="footer"/>
    <w:basedOn w:val="Normal"/>
    <w:link w:val="RodapChar"/>
    <w:uiPriority w:val="99"/>
    <w:unhideWhenUsed/>
    <w:rsid w:val="00935687"/>
    <w:pPr>
      <w:tabs>
        <w:tab w:val="center" w:pos="4320"/>
        <w:tab w:val="right" w:pos="8640"/>
      </w:tabs>
    </w:pPr>
  </w:style>
  <w:style w:type="character" w:customStyle="1" w:styleId="RodapChar">
    <w:name w:val="Rodapé Char"/>
    <w:basedOn w:val="Fontepargpadro"/>
    <w:link w:val="Rodap"/>
    <w:uiPriority w:val="99"/>
    <w:rsid w:val="00935687"/>
  </w:style>
  <w:style w:type="character" w:styleId="Nmerodepgina">
    <w:name w:val="page number"/>
    <w:basedOn w:val="Fontepargpadro"/>
    <w:uiPriority w:val="99"/>
    <w:semiHidden/>
    <w:unhideWhenUsed/>
    <w:rsid w:val="00935687"/>
  </w:style>
  <w:style w:type="paragraph" w:styleId="Pr-formataoHTML">
    <w:name w:val="HTML Preformatted"/>
    <w:basedOn w:val="Normal"/>
    <w:link w:val="Pr-formataoHTMLChar"/>
    <w:uiPriority w:val="99"/>
    <w:unhideWhenUsed/>
    <w:rsid w:val="0000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eastAsia="en-US"/>
    </w:rPr>
  </w:style>
  <w:style w:type="character" w:customStyle="1" w:styleId="Pr-formataoHTMLChar">
    <w:name w:val="Pré-formatação HTML Char"/>
    <w:basedOn w:val="Fontepargpadro"/>
    <w:link w:val="Pr-formataoHTML"/>
    <w:uiPriority w:val="99"/>
    <w:rsid w:val="00006043"/>
    <w:rPr>
      <w:rFonts w:ascii="Courier" w:eastAsia="Cambria" w:hAnsi="Courier" w:cs="Courier"/>
      <w:sz w:val="20"/>
      <w:szCs w:val="20"/>
      <w:lang w:eastAsia="en-US"/>
    </w:rPr>
  </w:style>
  <w:style w:type="character" w:customStyle="1" w:styleId="highlightbrs">
    <w:name w:val="highlightbrs"/>
    <w:basedOn w:val="Fontepargpadro"/>
    <w:rsid w:val="00006043"/>
  </w:style>
  <w:style w:type="paragraph" w:customStyle="1" w:styleId="Jurisprudncia">
    <w:name w:val="Jurisprudência"/>
    <w:basedOn w:val="Normal"/>
    <w:qFormat/>
    <w:rsid w:val="00D911B1"/>
    <w:pPr>
      <w:widowControl w:val="0"/>
      <w:autoSpaceDE w:val="0"/>
      <w:autoSpaceDN w:val="0"/>
      <w:adjustRightInd w:val="0"/>
      <w:ind w:left="720"/>
    </w:pPr>
    <w:rPr>
      <w:rFonts w:ascii="Times" w:eastAsia="Cambria" w:hAnsi="Times" w:cs="Verdana"/>
      <w:color w:val="660066"/>
      <w:sz w:val="20"/>
      <w:szCs w:val="26"/>
      <w:lang w:eastAsia="en-US"/>
    </w:rPr>
  </w:style>
  <w:style w:type="paragraph" w:customStyle="1" w:styleId="Juris">
    <w:name w:val="Juris"/>
    <w:basedOn w:val="Felice"/>
    <w:qFormat/>
    <w:rsid w:val="006262FA"/>
    <w:pPr>
      <w:ind w:firstLine="0"/>
    </w:pPr>
    <w:rPr>
      <w:sz w:val="20"/>
      <w:szCs w:val="20"/>
    </w:rPr>
  </w:style>
  <w:style w:type="paragraph" w:styleId="Recuodecorpodetexto">
    <w:name w:val="Body Text Indent"/>
    <w:basedOn w:val="Normal"/>
    <w:link w:val="RecuodecorpodetextoChar"/>
    <w:semiHidden/>
    <w:rsid w:val="00B91708"/>
    <w:pPr>
      <w:ind w:left="2268"/>
    </w:pPr>
    <w:rPr>
      <w:rFonts w:ascii="Arial" w:eastAsia="Cambria" w:hAnsi="Arial" w:cs="Times New Roman"/>
      <w:sz w:val="22"/>
      <w:szCs w:val="20"/>
      <w:lang w:eastAsia="en-US"/>
    </w:rPr>
  </w:style>
  <w:style w:type="character" w:customStyle="1" w:styleId="RecuodecorpodetextoChar">
    <w:name w:val="Recuo de corpo de texto Char"/>
    <w:basedOn w:val="Fontepargpadro"/>
    <w:link w:val="Recuodecorpodetexto"/>
    <w:semiHidden/>
    <w:rsid w:val="00B91708"/>
    <w:rPr>
      <w:rFonts w:ascii="Arial" w:eastAsia="Cambria" w:hAnsi="Arial" w:cs="Times New Roman"/>
      <w:sz w:val="22"/>
      <w:szCs w:val="20"/>
      <w:lang w:eastAsia="en-US"/>
    </w:rPr>
  </w:style>
  <w:style w:type="paragraph" w:customStyle="1" w:styleId="Citaodejuris">
    <w:name w:val="Citação de juris"/>
    <w:basedOn w:val="Recuodecorpodetexto"/>
    <w:qFormat/>
    <w:rsid w:val="0014177F"/>
    <w:pPr>
      <w:spacing w:after="240"/>
    </w:pPr>
    <w:rPr>
      <w:rFonts w:ascii="Times" w:hAnsi="Times"/>
    </w:rPr>
  </w:style>
  <w:style w:type="paragraph" w:customStyle="1" w:styleId="texto1">
    <w:name w:val="texto 1"/>
    <w:basedOn w:val="Normal"/>
    <w:qFormat/>
    <w:rsid w:val="008442A3"/>
    <w:pPr>
      <w:tabs>
        <w:tab w:val="left" w:leader="dot" w:pos="8789"/>
      </w:tabs>
      <w:suppressAutoHyphens/>
    </w:pPr>
    <w:rPr>
      <w:rFonts w:ascii="Arial" w:eastAsia="Times New Roman" w:hAnsi="Arial" w:cs="Times New Roman"/>
      <w:snapToGrid w:val="0"/>
      <w:sz w:val="16"/>
      <w:szCs w:val="16"/>
      <w:lang w:eastAsia="pt-BR"/>
    </w:rPr>
  </w:style>
  <w:style w:type="paragraph" w:customStyle="1" w:styleId="Rodap1">
    <w:name w:val="Rodapé1"/>
    <w:basedOn w:val="Textodenotaderodap"/>
    <w:qFormat/>
    <w:rsid w:val="00187DFC"/>
    <w:rPr>
      <w:rFonts w:ascii="Times" w:eastAsia="Cambria" w:hAnsi="Times" w:cs="Times New Roman"/>
      <w:szCs w:val="20"/>
      <w:lang w:val="x-none" w:eastAsia="en-US"/>
    </w:rPr>
  </w:style>
  <w:style w:type="paragraph" w:styleId="Cabealho">
    <w:name w:val="header"/>
    <w:basedOn w:val="Normal"/>
    <w:link w:val="CabealhoChar"/>
    <w:uiPriority w:val="99"/>
    <w:unhideWhenUsed/>
    <w:rsid w:val="003E1024"/>
    <w:pPr>
      <w:tabs>
        <w:tab w:val="center" w:pos="4320"/>
        <w:tab w:val="right" w:pos="8640"/>
      </w:tabs>
    </w:pPr>
  </w:style>
  <w:style w:type="character" w:customStyle="1" w:styleId="CabealhoChar">
    <w:name w:val="Cabeçalho Char"/>
    <w:basedOn w:val="Fontepargpadro"/>
    <w:link w:val="Cabealho"/>
    <w:uiPriority w:val="99"/>
    <w:rsid w:val="003E1024"/>
  </w:style>
  <w:style w:type="paragraph" w:customStyle="1" w:styleId="Ttulo3">
    <w:name w:val="Título3"/>
    <w:basedOn w:val="Normal"/>
    <w:qFormat/>
    <w:rsid w:val="00F666A9"/>
    <w:rPr>
      <w:rFonts w:ascii="Arial" w:hAnsi="Arial" w:cs="Arial"/>
      <w:b/>
      <w:sz w:val="28"/>
      <w:szCs w:val="28"/>
      <w:lang w:eastAsia="en-US"/>
    </w:rPr>
  </w:style>
  <w:style w:type="paragraph" w:customStyle="1" w:styleId="Felice0">
    <w:name w:val="Felice +"/>
    <w:basedOn w:val="Felice"/>
    <w:qFormat/>
    <w:rsid w:val="00F666A9"/>
    <w:pPr>
      <w:spacing w:line="240" w:lineRule="auto"/>
      <w:ind w:firstLine="0"/>
    </w:pPr>
    <w:rPr>
      <w:rFonts w:ascii="Arial" w:hAnsi="Arial" w:cs="Arial"/>
      <w:sz w:val="22"/>
      <w:szCs w:val="22"/>
      <w:lang w:eastAsia="en-US"/>
    </w:rPr>
  </w:style>
  <w:style w:type="character" w:customStyle="1" w:styleId="apple-converted-space">
    <w:name w:val="apple-converted-space"/>
    <w:basedOn w:val="Fontepargpadro"/>
    <w:rsid w:val="007B210C"/>
  </w:style>
  <w:style w:type="character" w:styleId="nfase">
    <w:name w:val="Emphasis"/>
    <w:basedOn w:val="Fontepargpadro"/>
    <w:uiPriority w:val="20"/>
    <w:qFormat/>
    <w:rsid w:val="007B210C"/>
    <w:rPr>
      <w:i/>
      <w:iCs/>
    </w:rPr>
  </w:style>
  <w:style w:type="paragraph" w:customStyle="1" w:styleId="Citao1">
    <w:name w:val="Citação1"/>
    <w:basedOn w:val="Felice"/>
    <w:qFormat/>
    <w:rsid w:val="00F34144"/>
    <w:pPr>
      <w:spacing w:line="240" w:lineRule="atLeast"/>
      <w:ind w:left="709" w:firstLine="0"/>
    </w:pPr>
    <w:rPr>
      <w:rFonts w:ascii="Times New Roman" w:eastAsia="Times New Roman" w:hAnsi="Times New Roman" w:cs="Times New Roman"/>
      <w:spacing w:val="10"/>
      <w:sz w:val="22"/>
      <w:szCs w:val="22"/>
      <w:lang w:eastAsia="pt-BR"/>
    </w:rPr>
  </w:style>
  <w:style w:type="character" w:customStyle="1" w:styleId="txtdescricaolonga">
    <w:name w:val="txtdescricaolonga"/>
    <w:basedOn w:val="Fontepargpadro"/>
    <w:rsid w:val="006A0DC7"/>
  </w:style>
  <w:style w:type="paragraph" w:styleId="Textodebalo">
    <w:name w:val="Balloon Text"/>
    <w:basedOn w:val="Normal"/>
    <w:link w:val="TextodebaloChar"/>
    <w:uiPriority w:val="99"/>
    <w:semiHidden/>
    <w:unhideWhenUsed/>
    <w:rsid w:val="00D4539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3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4F"/>
    <w:pPr>
      <w:spacing w:after="0" w:line="360" w:lineRule="auto"/>
      <w:ind w:firstLine="709"/>
      <w:jc w:val="both"/>
    </w:pPr>
    <w:rPr>
      <w:rFonts w:ascii="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rra">
    <w:name w:val="Barra"/>
    <w:basedOn w:val="Felice"/>
    <w:autoRedefine/>
    <w:qFormat/>
    <w:rsid w:val="005055A0"/>
    <w:pPr>
      <w:ind w:firstLine="0"/>
    </w:pPr>
    <w:rPr>
      <w:b/>
      <w:sz w:val="28"/>
      <w:szCs w:val="28"/>
    </w:rPr>
  </w:style>
  <w:style w:type="paragraph" w:customStyle="1" w:styleId="Felice">
    <w:name w:val="Felice"/>
    <w:basedOn w:val="Normal"/>
    <w:qFormat/>
    <w:rsid w:val="00DB50D5"/>
    <w:pPr>
      <w:ind w:firstLine="567"/>
    </w:pPr>
    <w:rPr>
      <w:rFonts w:ascii="Times" w:hAnsi="Times"/>
    </w:rPr>
  </w:style>
  <w:style w:type="paragraph" w:styleId="SemEspaamento">
    <w:name w:val="No Spacing"/>
    <w:uiPriority w:val="1"/>
    <w:qFormat/>
    <w:rsid w:val="00220A84"/>
    <w:pPr>
      <w:spacing w:after="0"/>
    </w:pPr>
  </w:style>
  <w:style w:type="paragraph" w:styleId="Textodenotaderodap">
    <w:name w:val="footnote text"/>
    <w:basedOn w:val="Normal"/>
    <w:link w:val="TextodenotaderodapChar"/>
    <w:unhideWhenUsed/>
    <w:rsid w:val="00A23ED4"/>
    <w:pPr>
      <w:spacing w:line="240" w:lineRule="auto"/>
      <w:ind w:left="142" w:hanging="142"/>
    </w:pPr>
    <w:rPr>
      <w:sz w:val="20"/>
    </w:rPr>
  </w:style>
  <w:style w:type="character" w:customStyle="1" w:styleId="TextodenotaderodapChar">
    <w:name w:val="Texto de nota de rodapé Char"/>
    <w:basedOn w:val="Fontepargpadro"/>
    <w:link w:val="Textodenotaderodap"/>
    <w:rsid w:val="00A23ED4"/>
    <w:rPr>
      <w:rFonts w:ascii="Times New Roman" w:hAnsi="Times New Roman"/>
      <w:sz w:val="20"/>
    </w:rPr>
  </w:style>
  <w:style w:type="character" w:styleId="Refdenotaderodap">
    <w:name w:val="footnote reference"/>
    <w:basedOn w:val="Fontepargpadro"/>
    <w:uiPriority w:val="99"/>
    <w:unhideWhenUsed/>
    <w:rsid w:val="00203EB8"/>
    <w:rPr>
      <w:vertAlign w:val="superscript"/>
    </w:rPr>
  </w:style>
  <w:style w:type="paragraph" w:customStyle="1" w:styleId="Notaderodap">
    <w:name w:val="Nota de rodapé"/>
    <w:basedOn w:val="Textodenotaderodap"/>
    <w:qFormat/>
    <w:rsid w:val="00692F8D"/>
    <w:rPr>
      <w:rFonts w:ascii="Times" w:hAnsi="Times"/>
      <w:szCs w:val="20"/>
    </w:rPr>
  </w:style>
  <w:style w:type="paragraph" w:styleId="NormalWeb">
    <w:name w:val="Normal (Web)"/>
    <w:basedOn w:val="Normal"/>
    <w:uiPriority w:val="99"/>
    <w:unhideWhenUsed/>
    <w:rsid w:val="0064096C"/>
    <w:pPr>
      <w:spacing w:before="100" w:beforeAutospacing="1" w:after="100" w:afterAutospacing="1"/>
    </w:pPr>
    <w:rPr>
      <w:rFonts w:eastAsia="Times New Roman" w:cs="Times New Roman"/>
      <w:lang w:eastAsia="pt-BR"/>
    </w:rPr>
  </w:style>
  <w:style w:type="paragraph" w:customStyle="1" w:styleId="Pargrafo">
    <w:name w:val="Parágrafo"/>
    <w:basedOn w:val="NormalWeb"/>
    <w:qFormat/>
    <w:rsid w:val="0064096C"/>
    <w:pPr>
      <w:spacing w:before="0" w:beforeAutospacing="0" w:after="120" w:afterAutospacing="0"/>
      <w:ind w:left="1440"/>
    </w:pPr>
    <w:rPr>
      <w:spacing w:val="36"/>
      <w:sz w:val="20"/>
    </w:rPr>
  </w:style>
  <w:style w:type="paragraph" w:customStyle="1" w:styleId="Artigo">
    <w:name w:val="Artigo"/>
    <w:basedOn w:val="NormalWeb"/>
    <w:qFormat/>
    <w:rsid w:val="0064096C"/>
    <w:pPr>
      <w:spacing w:before="0" w:beforeAutospacing="0" w:after="120" w:afterAutospacing="0"/>
      <w:ind w:firstLine="567"/>
    </w:pPr>
  </w:style>
  <w:style w:type="paragraph" w:styleId="Rodap">
    <w:name w:val="footer"/>
    <w:basedOn w:val="Normal"/>
    <w:link w:val="RodapChar"/>
    <w:uiPriority w:val="99"/>
    <w:unhideWhenUsed/>
    <w:rsid w:val="00935687"/>
    <w:pPr>
      <w:tabs>
        <w:tab w:val="center" w:pos="4320"/>
        <w:tab w:val="right" w:pos="8640"/>
      </w:tabs>
    </w:pPr>
  </w:style>
  <w:style w:type="character" w:customStyle="1" w:styleId="RodapChar">
    <w:name w:val="Rodapé Char"/>
    <w:basedOn w:val="Fontepargpadro"/>
    <w:link w:val="Rodap"/>
    <w:uiPriority w:val="99"/>
    <w:rsid w:val="00935687"/>
  </w:style>
  <w:style w:type="character" w:styleId="Nmerodepgina">
    <w:name w:val="page number"/>
    <w:basedOn w:val="Fontepargpadro"/>
    <w:uiPriority w:val="99"/>
    <w:semiHidden/>
    <w:unhideWhenUsed/>
    <w:rsid w:val="00935687"/>
  </w:style>
  <w:style w:type="paragraph" w:styleId="Pr-formataoHTML">
    <w:name w:val="HTML Preformatted"/>
    <w:basedOn w:val="Normal"/>
    <w:link w:val="Pr-formataoHTMLChar"/>
    <w:uiPriority w:val="99"/>
    <w:unhideWhenUsed/>
    <w:rsid w:val="0000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eastAsia="en-US"/>
    </w:rPr>
  </w:style>
  <w:style w:type="character" w:customStyle="1" w:styleId="Pr-formataoHTMLChar">
    <w:name w:val="Pré-formatação HTML Char"/>
    <w:basedOn w:val="Fontepargpadro"/>
    <w:link w:val="Pr-formataoHTML"/>
    <w:uiPriority w:val="99"/>
    <w:rsid w:val="00006043"/>
    <w:rPr>
      <w:rFonts w:ascii="Courier" w:eastAsia="Cambria" w:hAnsi="Courier" w:cs="Courier"/>
      <w:sz w:val="20"/>
      <w:szCs w:val="20"/>
      <w:lang w:eastAsia="en-US"/>
    </w:rPr>
  </w:style>
  <w:style w:type="character" w:customStyle="1" w:styleId="highlightbrs">
    <w:name w:val="highlightbrs"/>
    <w:basedOn w:val="Fontepargpadro"/>
    <w:rsid w:val="00006043"/>
  </w:style>
  <w:style w:type="paragraph" w:customStyle="1" w:styleId="Jurisprudncia">
    <w:name w:val="Jurisprudência"/>
    <w:basedOn w:val="Normal"/>
    <w:qFormat/>
    <w:rsid w:val="00D911B1"/>
    <w:pPr>
      <w:widowControl w:val="0"/>
      <w:autoSpaceDE w:val="0"/>
      <w:autoSpaceDN w:val="0"/>
      <w:adjustRightInd w:val="0"/>
      <w:ind w:left="720"/>
    </w:pPr>
    <w:rPr>
      <w:rFonts w:ascii="Times" w:eastAsia="Cambria" w:hAnsi="Times" w:cs="Verdana"/>
      <w:color w:val="660066"/>
      <w:sz w:val="20"/>
      <w:szCs w:val="26"/>
      <w:lang w:eastAsia="en-US"/>
    </w:rPr>
  </w:style>
  <w:style w:type="paragraph" w:customStyle="1" w:styleId="Juris">
    <w:name w:val="Juris"/>
    <w:basedOn w:val="Felice"/>
    <w:qFormat/>
    <w:rsid w:val="006262FA"/>
    <w:pPr>
      <w:ind w:firstLine="0"/>
    </w:pPr>
    <w:rPr>
      <w:sz w:val="20"/>
      <w:szCs w:val="20"/>
    </w:rPr>
  </w:style>
  <w:style w:type="paragraph" w:styleId="Recuodecorpodetexto">
    <w:name w:val="Body Text Indent"/>
    <w:basedOn w:val="Normal"/>
    <w:link w:val="RecuodecorpodetextoChar"/>
    <w:semiHidden/>
    <w:rsid w:val="00B91708"/>
    <w:pPr>
      <w:ind w:left="2268"/>
    </w:pPr>
    <w:rPr>
      <w:rFonts w:ascii="Arial" w:eastAsia="Cambria" w:hAnsi="Arial" w:cs="Times New Roman"/>
      <w:sz w:val="22"/>
      <w:szCs w:val="20"/>
      <w:lang w:eastAsia="en-US"/>
    </w:rPr>
  </w:style>
  <w:style w:type="character" w:customStyle="1" w:styleId="RecuodecorpodetextoChar">
    <w:name w:val="Recuo de corpo de texto Char"/>
    <w:basedOn w:val="Fontepargpadro"/>
    <w:link w:val="Recuodecorpodetexto"/>
    <w:semiHidden/>
    <w:rsid w:val="00B91708"/>
    <w:rPr>
      <w:rFonts w:ascii="Arial" w:eastAsia="Cambria" w:hAnsi="Arial" w:cs="Times New Roman"/>
      <w:sz w:val="22"/>
      <w:szCs w:val="20"/>
      <w:lang w:eastAsia="en-US"/>
    </w:rPr>
  </w:style>
  <w:style w:type="paragraph" w:customStyle="1" w:styleId="Citaodejuris">
    <w:name w:val="Citação de juris"/>
    <w:basedOn w:val="Recuodecorpodetexto"/>
    <w:qFormat/>
    <w:rsid w:val="0014177F"/>
    <w:pPr>
      <w:spacing w:after="240"/>
    </w:pPr>
    <w:rPr>
      <w:rFonts w:ascii="Times" w:hAnsi="Times"/>
    </w:rPr>
  </w:style>
  <w:style w:type="paragraph" w:customStyle="1" w:styleId="texto1">
    <w:name w:val="texto 1"/>
    <w:basedOn w:val="Normal"/>
    <w:qFormat/>
    <w:rsid w:val="008442A3"/>
    <w:pPr>
      <w:tabs>
        <w:tab w:val="left" w:leader="dot" w:pos="8789"/>
      </w:tabs>
      <w:suppressAutoHyphens/>
    </w:pPr>
    <w:rPr>
      <w:rFonts w:ascii="Arial" w:eastAsia="Times New Roman" w:hAnsi="Arial" w:cs="Times New Roman"/>
      <w:snapToGrid w:val="0"/>
      <w:sz w:val="16"/>
      <w:szCs w:val="16"/>
      <w:lang w:eastAsia="pt-BR"/>
    </w:rPr>
  </w:style>
  <w:style w:type="paragraph" w:customStyle="1" w:styleId="Rodap1">
    <w:name w:val="Rodapé1"/>
    <w:basedOn w:val="Textodenotaderodap"/>
    <w:qFormat/>
    <w:rsid w:val="00187DFC"/>
    <w:rPr>
      <w:rFonts w:ascii="Times" w:eastAsia="Cambria" w:hAnsi="Times" w:cs="Times New Roman"/>
      <w:szCs w:val="20"/>
      <w:lang w:val="x-none" w:eastAsia="en-US"/>
    </w:rPr>
  </w:style>
  <w:style w:type="paragraph" w:styleId="Cabealho">
    <w:name w:val="header"/>
    <w:basedOn w:val="Normal"/>
    <w:link w:val="CabealhoChar"/>
    <w:uiPriority w:val="99"/>
    <w:unhideWhenUsed/>
    <w:rsid w:val="003E1024"/>
    <w:pPr>
      <w:tabs>
        <w:tab w:val="center" w:pos="4320"/>
        <w:tab w:val="right" w:pos="8640"/>
      </w:tabs>
    </w:pPr>
  </w:style>
  <w:style w:type="character" w:customStyle="1" w:styleId="CabealhoChar">
    <w:name w:val="Cabeçalho Char"/>
    <w:basedOn w:val="Fontepargpadro"/>
    <w:link w:val="Cabealho"/>
    <w:uiPriority w:val="99"/>
    <w:rsid w:val="003E1024"/>
  </w:style>
  <w:style w:type="paragraph" w:customStyle="1" w:styleId="Ttulo3">
    <w:name w:val="Título3"/>
    <w:basedOn w:val="Normal"/>
    <w:qFormat/>
    <w:rsid w:val="00F666A9"/>
    <w:rPr>
      <w:rFonts w:ascii="Arial" w:hAnsi="Arial" w:cs="Arial"/>
      <w:b/>
      <w:sz w:val="28"/>
      <w:szCs w:val="28"/>
      <w:lang w:eastAsia="en-US"/>
    </w:rPr>
  </w:style>
  <w:style w:type="paragraph" w:customStyle="1" w:styleId="Felice0">
    <w:name w:val="Felice +"/>
    <w:basedOn w:val="Felice"/>
    <w:qFormat/>
    <w:rsid w:val="00F666A9"/>
    <w:pPr>
      <w:spacing w:line="240" w:lineRule="auto"/>
      <w:ind w:firstLine="0"/>
    </w:pPr>
    <w:rPr>
      <w:rFonts w:ascii="Arial" w:hAnsi="Arial" w:cs="Arial"/>
      <w:sz w:val="22"/>
      <w:szCs w:val="22"/>
      <w:lang w:eastAsia="en-US"/>
    </w:rPr>
  </w:style>
  <w:style w:type="character" w:customStyle="1" w:styleId="apple-converted-space">
    <w:name w:val="apple-converted-space"/>
    <w:basedOn w:val="Fontepargpadro"/>
    <w:rsid w:val="007B210C"/>
  </w:style>
  <w:style w:type="character" w:styleId="nfase">
    <w:name w:val="Emphasis"/>
    <w:basedOn w:val="Fontepargpadro"/>
    <w:uiPriority w:val="20"/>
    <w:qFormat/>
    <w:rsid w:val="007B210C"/>
    <w:rPr>
      <w:i/>
      <w:iCs/>
    </w:rPr>
  </w:style>
  <w:style w:type="paragraph" w:customStyle="1" w:styleId="Citao1">
    <w:name w:val="Citação1"/>
    <w:basedOn w:val="Felice"/>
    <w:qFormat/>
    <w:rsid w:val="00F34144"/>
    <w:pPr>
      <w:spacing w:line="240" w:lineRule="atLeast"/>
      <w:ind w:left="709" w:firstLine="0"/>
    </w:pPr>
    <w:rPr>
      <w:rFonts w:ascii="Times New Roman" w:eastAsia="Times New Roman" w:hAnsi="Times New Roman" w:cs="Times New Roman"/>
      <w:spacing w:val="10"/>
      <w:sz w:val="22"/>
      <w:szCs w:val="22"/>
      <w:lang w:eastAsia="pt-BR"/>
    </w:rPr>
  </w:style>
  <w:style w:type="character" w:customStyle="1" w:styleId="txtdescricaolonga">
    <w:name w:val="txtdescricaolonga"/>
    <w:basedOn w:val="Fontepargpadro"/>
    <w:rsid w:val="006A0DC7"/>
  </w:style>
  <w:style w:type="paragraph" w:styleId="Textodebalo">
    <w:name w:val="Balloon Text"/>
    <w:basedOn w:val="Normal"/>
    <w:link w:val="TextodebaloChar"/>
    <w:uiPriority w:val="99"/>
    <w:semiHidden/>
    <w:unhideWhenUsed/>
    <w:rsid w:val="00D4539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430">
      <w:bodyDiv w:val="1"/>
      <w:marLeft w:val="0"/>
      <w:marRight w:val="0"/>
      <w:marTop w:val="0"/>
      <w:marBottom w:val="0"/>
      <w:divBdr>
        <w:top w:val="none" w:sz="0" w:space="0" w:color="auto"/>
        <w:left w:val="none" w:sz="0" w:space="0" w:color="auto"/>
        <w:bottom w:val="none" w:sz="0" w:space="0" w:color="auto"/>
        <w:right w:val="none" w:sz="0" w:space="0" w:color="auto"/>
      </w:divBdr>
    </w:div>
    <w:div w:id="112329395">
      <w:bodyDiv w:val="1"/>
      <w:marLeft w:val="0"/>
      <w:marRight w:val="0"/>
      <w:marTop w:val="0"/>
      <w:marBottom w:val="0"/>
      <w:divBdr>
        <w:top w:val="none" w:sz="0" w:space="0" w:color="auto"/>
        <w:left w:val="none" w:sz="0" w:space="0" w:color="auto"/>
        <w:bottom w:val="none" w:sz="0" w:space="0" w:color="auto"/>
        <w:right w:val="none" w:sz="0" w:space="0" w:color="auto"/>
      </w:divBdr>
    </w:div>
    <w:div w:id="151719287">
      <w:bodyDiv w:val="1"/>
      <w:marLeft w:val="0"/>
      <w:marRight w:val="0"/>
      <w:marTop w:val="0"/>
      <w:marBottom w:val="0"/>
      <w:divBdr>
        <w:top w:val="none" w:sz="0" w:space="0" w:color="auto"/>
        <w:left w:val="none" w:sz="0" w:space="0" w:color="auto"/>
        <w:bottom w:val="none" w:sz="0" w:space="0" w:color="auto"/>
        <w:right w:val="none" w:sz="0" w:space="0" w:color="auto"/>
      </w:divBdr>
    </w:div>
    <w:div w:id="194924305">
      <w:bodyDiv w:val="1"/>
      <w:marLeft w:val="0"/>
      <w:marRight w:val="0"/>
      <w:marTop w:val="0"/>
      <w:marBottom w:val="0"/>
      <w:divBdr>
        <w:top w:val="none" w:sz="0" w:space="0" w:color="auto"/>
        <w:left w:val="none" w:sz="0" w:space="0" w:color="auto"/>
        <w:bottom w:val="none" w:sz="0" w:space="0" w:color="auto"/>
        <w:right w:val="none" w:sz="0" w:space="0" w:color="auto"/>
      </w:divBdr>
    </w:div>
    <w:div w:id="442071456">
      <w:bodyDiv w:val="1"/>
      <w:marLeft w:val="0"/>
      <w:marRight w:val="0"/>
      <w:marTop w:val="0"/>
      <w:marBottom w:val="0"/>
      <w:divBdr>
        <w:top w:val="none" w:sz="0" w:space="0" w:color="auto"/>
        <w:left w:val="none" w:sz="0" w:space="0" w:color="auto"/>
        <w:bottom w:val="none" w:sz="0" w:space="0" w:color="auto"/>
        <w:right w:val="none" w:sz="0" w:space="0" w:color="auto"/>
      </w:divBdr>
    </w:div>
    <w:div w:id="487869259">
      <w:bodyDiv w:val="1"/>
      <w:marLeft w:val="0"/>
      <w:marRight w:val="0"/>
      <w:marTop w:val="0"/>
      <w:marBottom w:val="0"/>
      <w:divBdr>
        <w:top w:val="none" w:sz="0" w:space="0" w:color="auto"/>
        <w:left w:val="none" w:sz="0" w:space="0" w:color="auto"/>
        <w:bottom w:val="none" w:sz="0" w:space="0" w:color="auto"/>
        <w:right w:val="none" w:sz="0" w:space="0" w:color="auto"/>
      </w:divBdr>
    </w:div>
    <w:div w:id="521239502">
      <w:bodyDiv w:val="1"/>
      <w:marLeft w:val="0"/>
      <w:marRight w:val="0"/>
      <w:marTop w:val="0"/>
      <w:marBottom w:val="0"/>
      <w:divBdr>
        <w:top w:val="none" w:sz="0" w:space="0" w:color="auto"/>
        <w:left w:val="none" w:sz="0" w:space="0" w:color="auto"/>
        <w:bottom w:val="none" w:sz="0" w:space="0" w:color="auto"/>
        <w:right w:val="none" w:sz="0" w:space="0" w:color="auto"/>
      </w:divBdr>
    </w:div>
    <w:div w:id="593703701">
      <w:bodyDiv w:val="1"/>
      <w:marLeft w:val="0"/>
      <w:marRight w:val="0"/>
      <w:marTop w:val="0"/>
      <w:marBottom w:val="0"/>
      <w:divBdr>
        <w:top w:val="none" w:sz="0" w:space="0" w:color="auto"/>
        <w:left w:val="none" w:sz="0" w:space="0" w:color="auto"/>
        <w:bottom w:val="none" w:sz="0" w:space="0" w:color="auto"/>
        <w:right w:val="none" w:sz="0" w:space="0" w:color="auto"/>
      </w:divBdr>
    </w:div>
    <w:div w:id="716898715">
      <w:bodyDiv w:val="1"/>
      <w:marLeft w:val="0"/>
      <w:marRight w:val="0"/>
      <w:marTop w:val="0"/>
      <w:marBottom w:val="0"/>
      <w:divBdr>
        <w:top w:val="none" w:sz="0" w:space="0" w:color="auto"/>
        <w:left w:val="none" w:sz="0" w:space="0" w:color="auto"/>
        <w:bottom w:val="none" w:sz="0" w:space="0" w:color="auto"/>
        <w:right w:val="none" w:sz="0" w:space="0" w:color="auto"/>
      </w:divBdr>
    </w:div>
    <w:div w:id="940069922">
      <w:bodyDiv w:val="1"/>
      <w:marLeft w:val="0"/>
      <w:marRight w:val="0"/>
      <w:marTop w:val="0"/>
      <w:marBottom w:val="0"/>
      <w:divBdr>
        <w:top w:val="none" w:sz="0" w:space="0" w:color="auto"/>
        <w:left w:val="none" w:sz="0" w:space="0" w:color="auto"/>
        <w:bottom w:val="none" w:sz="0" w:space="0" w:color="auto"/>
        <w:right w:val="none" w:sz="0" w:space="0" w:color="auto"/>
      </w:divBdr>
    </w:div>
    <w:div w:id="988481556">
      <w:bodyDiv w:val="1"/>
      <w:marLeft w:val="0"/>
      <w:marRight w:val="0"/>
      <w:marTop w:val="0"/>
      <w:marBottom w:val="0"/>
      <w:divBdr>
        <w:top w:val="none" w:sz="0" w:space="0" w:color="auto"/>
        <w:left w:val="none" w:sz="0" w:space="0" w:color="auto"/>
        <w:bottom w:val="none" w:sz="0" w:space="0" w:color="auto"/>
        <w:right w:val="none" w:sz="0" w:space="0" w:color="auto"/>
      </w:divBdr>
    </w:div>
    <w:div w:id="1014528617">
      <w:bodyDiv w:val="1"/>
      <w:marLeft w:val="0"/>
      <w:marRight w:val="0"/>
      <w:marTop w:val="0"/>
      <w:marBottom w:val="0"/>
      <w:divBdr>
        <w:top w:val="none" w:sz="0" w:space="0" w:color="auto"/>
        <w:left w:val="none" w:sz="0" w:space="0" w:color="auto"/>
        <w:bottom w:val="none" w:sz="0" w:space="0" w:color="auto"/>
        <w:right w:val="none" w:sz="0" w:space="0" w:color="auto"/>
      </w:divBdr>
    </w:div>
    <w:div w:id="1082289185">
      <w:bodyDiv w:val="1"/>
      <w:marLeft w:val="0"/>
      <w:marRight w:val="0"/>
      <w:marTop w:val="0"/>
      <w:marBottom w:val="0"/>
      <w:divBdr>
        <w:top w:val="none" w:sz="0" w:space="0" w:color="auto"/>
        <w:left w:val="none" w:sz="0" w:space="0" w:color="auto"/>
        <w:bottom w:val="none" w:sz="0" w:space="0" w:color="auto"/>
        <w:right w:val="none" w:sz="0" w:space="0" w:color="auto"/>
      </w:divBdr>
    </w:div>
    <w:div w:id="1083337336">
      <w:bodyDiv w:val="1"/>
      <w:marLeft w:val="0"/>
      <w:marRight w:val="0"/>
      <w:marTop w:val="0"/>
      <w:marBottom w:val="0"/>
      <w:divBdr>
        <w:top w:val="none" w:sz="0" w:space="0" w:color="auto"/>
        <w:left w:val="none" w:sz="0" w:space="0" w:color="auto"/>
        <w:bottom w:val="none" w:sz="0" w:space="0" w:color="auto"/>
        <w:right w:val="none" w:sz="0" w:space="0" w:color="auto"/>
      </w:divBdr>
    </w:div>
    <w:div w:id="1085612890">
      <w:bodyDiv w:val="1"/>
      <w:marLeft w:val="0"/>
      <w:marRight w:val="0"/>
      <w:marTop w:val="0"/>
      <w:marBottom w:val="0"/>
      <w:divBdr>
        <w:top w:val="none" w:sz="0" w:space="0" w:color="auto"/>
        <w:left w:val="none" w:sz="0" w:space="0" w:color="auto"/>
        <w:bottom w:val="none" w:sz="0" w:space="0" w:color="auto"/>
        <w:right w:val="none" w:sz="0" w:space="0" w:color="auto"/>
      </w:divBdr>
    </w:div>
    <w:div w:id="1285695598">
      <w:bodyDiv w:val="1"/>
      <w:marLeft w:val="0"/>
      <w:marRight w:val="0"/>
      <w:marTop w:val="0"/>
      <w:marBottom w:val="0"/>
      <w:divBdr>
        <w:top w:val="none" w:sz="0" w:space="0" w:color="auto"/>
        <w:left w:val="none" w:sz="0" w:space="0" w:color="auto"/>
        <w:bottom w:val="none" w:sz="0" w:space="0" w:color="auto"/>
        <w:right w:val="none" w:sz="0" w:space="0" w:color="auto"/>
      </w:divBdr>
    </w:div>
    <w:div w:id="1384015596">
      <w:bodyDiv w:val="1"/>
      <w:marLeft w:val="0"/>
      <w:marRight w:val="0"/>
      <w:marTop w:val="0"/>
      <w:marBottom w:val="0"/>
      <w:divBdr>
        <w:top w:val="none" w:sz="0" w:space="0" w:color="auto"/>
        <w:left w:val="none" w:sz="0" w:space="0" w:color="auto"/>
        <w:bottom w:val="none" w:sz="0" w:space="0" w:color="auto"/>
        <w:right w:val="none" w:sz="0" w:space="0" w:color="auto"/>
      </w:divBdr>
    </w:div>
    <w:div w:id="1403720859">
      <w:bodyDiv w:val="1"/>
      <w:marLeft w:val="0"/>
      <w:marRight w:val="0"/>
      <w:marTop w:val="0"/>
      <w:marBottom w:val="0"/>
      <w:divBdr>
        <w:top w:val="none" w:sz="0" w:space="0" w:color="auto"/>
        <w:left w:val="none" w:sz="0" w:space="0" w:color="auto"/>
        <w:bottom w:val="none" w:sz="0" w:space="0" w:color="auto"/>
        <w:right w:val="none" w:sz="0" w:space="0" w:color="auto"/>
      </w:divBdr>
    </w:div>
    <w:div w:id="1523393005">
      <w:bodyDiv w:val="1"/>
      <w:marLeft w:val="0"/>
      <w:marRight w:val="0"/>
      <w:marTop w:val="0"/>
      <w:marBottom w:val="0"/>
      <w:divBdr>
        <w:top w:val="none" w:sz="0" w:space="0" w:color="auto"/>
        <w:left w:val="none" w:sz="0" w:space="0" w:color="auto"/>
        <w:bottom w:val="none" w:sz="0" w:space="0" w:color="auto"/>
        <w:right w:val="none" w:sz="0" w:space="0" w:color="auto"/>
      </w:divBdr>
    </w:div>
    <w:div w:id="1619138277">
      <w:bodyDiv w:val="1"/>
      <w:marLeft w:val="0"/>
      <w:marRight w:val="0"/>
      <w:marTop w:val="0"/>
      <w:marBottom w:val="0"/>
      <w:divBdr>
        <w:top w:val="none" w:sz="0" w:space="0" w:color="auto"/>
        <w:left w:val="none" w:sz="0" w:space="0" w:color="auto"/>
        <w:bottom w:val="none" w:sz="0" w:space="0" w:color="auto"/>
        <w:right w:val="none" w:sz="0" w:space="0" w:color="auto"/>
      </w:divBdr>
    </w:div>
    <w:div w:id="1620063401">
      <w:bodyDiv w:val="1"/>
      <w:marLeft w:val="0"/>
      <w:marRight w:val="0"/>
      <w:marTop w:val="0"/>
      <w:marBottom w:val="0"/>
      <w:divBdr>
        <w:top w:val="none" w:sz="0" w:space="0" w:color="auto"/>
        <w:left w:val="none" w:sz="0" w:space="0" w:color="auto"/>
        <w:bottom w:val="none" w:sz="0" w:space="0" w:color="auto"/>
        <w:right w:val="none" w:sz="0" w:space="0" w:color="auto"/>
      </w:divBdr>
    </w:div>
    <w:div w:id="1680038035">
      <w:bodyDiv w:val="1"/>
      <w:marLeft w:val="0"/>
      <w:marRight w:val="0"/>
      <w:marTop w:val="0"/>
      <w:marBottom w:val="0"/>
      <w:divBdr>
        <w:top w:val="none" w:sz="0" w:space="0" w:color="auto"/>
        <w:left w:val="none" w:sz="0" w:space="0" w:color="auto"/>
        <w:bottom w:val="none" w:sz="0" w:space="0" w:color="auto"/>
        <w:right w:val="none" w:sz="0" w:space="0" w:color="auto"/>
      </w:divBdr>
    </w:div>
    <w:div w:id="1790120771">
      <w:bodyDiv w:val="1"/>
      <w:marLeft w:val="0"/>
      <w:marRight w:val="0"/>
      <w:marTop w:val="0"/>
      <w:marBottom w:val="0"/>
      <w:divBdr>
        <w:top w:val="none" w:sz="0" w:space="0" w:color="auto"/>
        <w:left w:val="none" w:sz="0" w:space="0" w:color="auto"/>
        <w:bottom w:val="none" w:sz="0" w:space="0" w:color="auto"/>
        <w:right w:val="none" w:sz="0" w:space="0" w:color="auto"/>
      </w:divBdr>
    </w:div>
    <w:div w:id="1795101649">
      <w:bodyDiv w:val="1"/>
      <w:marLeft w:val="0"/>
      <w:marRight w:val="0"/>
      <w:marTop w:val="0"/>
      <w:marBottom w:val="0"/>
      <w:divBdr>
        <w:top w:val="none" w:sz="0" w:space="0" w:color="auto"/>
        <w:left w:val="none" w:sz="0" w:space="0" w:color="auto"/>
        <w:bottom w:val="none" w:sz="0" w:space="0" w:color="auto"/>
        <w:right w:val="none" w:sz="0" w:space="0" w:color="auto"/>
      </w:divBdr>
    </w:div>
    <w:div w:id="1935287372">
      <w:bodyDiv w:val="1"/>
      <w:marLeft w:val="0"/>
      <w:marRight w:val="0"/>
      <w:marTop w:val="0"/>
      <w:marBottom w:val="0"/>
      <w:divBdr>
        <w:top w:val="none" w:sz="0" w:space="0" w:color="auto"/>
        <w:left w:val="none" w:sz="0" w:space="0" w:color="auto"/>
        <w:bottom w:val="none" w:sz="0" w:space="0" w:color="auto"/>
        <w:right w:val="none" w:sz="0" w:space="0" w:color="auto"/>
      </w:divBdr>
    </w:div>
    <w:div w:id="1977492224">
      <w:bodyDiv w:val="1"/>
      <w:marLeft w:val="0"/>
      <w:marRight w:val="0"/>
      <w:marTop w:val="0"/>
      <w:marBottom w:val="0"/>
      <w:divBdr>
        <w:top w:val="none" w:sz="0" w:space="0" w:color="auto"/>
        <w:left w:val="none" w:sz="0" w:space="0" w:color="auto"/>
        <w:bottom w:val="none" w:sz="0" w:space="0" w:color="auto"/>
        <w:right w:val="none" w:sz="0" w:space="0" w:color="auto"/>
      </w:divBdr>
    </w:div>
    <w:div w:id="2079787819">
      <w:bodyDiv w:val="1"/>
      <w:marLeft w:val="0"/>
      <w:marRight w:val="0"/>
      <w:marTop w:val="0"/>
      <w:marBottom w:val="0"/>
      <w:divBdr>
        <w:top w:val="none" w:sz="0" w:space="0" w:color="auto"/>
        <w:left w:val="none" w:sz="0" w:space="0" w:color="auto"/>
        <w:bottom w:val="none" w:sz="0" w:space="0" w:color="auto"/>
        <w:right w:val="none" w:sz="0" w:space="0" w:color="auto"/>
      </w:divBdr>
    </w:div>
    <w:div w:id="2093963792">
      <w:bodyDiv w:val="1"/>
      <w:marLeft w:val="0"/>
      <w:marRight w:val="0"/>
      <w:marTop w:val="0"/>
      <w:marBottom w:val="0"/>
      <w:divBdr>
        <w:top w:val="none" w:sz="0" w:space="0" w:color="auto"/>
        <w:left w:val="none" w:sz="0" w:space="0" w:color="auto"/>
        <w:bottom w:val="none" w:sz="0" w:space="0" w:color="auto"/>
        <w:right w:val="none" w:sz="0" w:space="0" w:color="auto"/>
      </w:divBdr>
    </w:div>
    <w:div w:id="2142648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D828-959D-4F71-A483-17414C22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3740</Words>
  <Characters>20200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Balzano e Palermo</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Felice Balzano</dc:creator>
  <cp:lastModifiedBy>daniely</cp:lastModifiedBy>
  <cp:revision>2</cp:revision>
  <cp:lastPrinted>2016-06-11T14:39:00Z</cp:lastPrinted>
  <dcterms:created xsi:type="dcterms:W3CDTF">2016-07-21T18:52:00Z</dcterms:created>
  <dcterms:modified xsi:type="dcterms:W3CDTF">2016-07-21T18:52:00Z</dcterms:modified>
</cp:coreProperties>
</file>