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4EA" w:rsidRPr="00E334EA" w:rsidRDefault="00E334EA" w:rsidP="00E334EA">
      <w:pPr>
        <w:spacing w:line="360" w:lineRule="auto"/>
        <w:jc w:val="both"/>
        <w:rPr>
          <w:bCs/>
          <w:color w:val="000000"/>
        </w:rPr>
      </w:pPr>
      <w:r w:rsidRPr="00E334EA">
        <w:rPr>
          <w:color w:val="000000"/>
        </w:rPr>
        <w:t>OTIMIZAÇÃO DO PROCESSO DE PURIFICAÇÃO POR "DRY WASHING" DO BIODIESEL ETÍLICO DE BABAÇU COM DELINEAMENTO COMPOSTO CENTRAL ROTACIONAL</w:t>
      </w:r>
    </w:p>
    <w:p w:rsidR="00302D10" w:rsidRPr="00E334EA" w:rsidRDefault="00302D10" w:rsidP="0011014C">
      <w:pPr>
        <w:spacing w:line="360" w:lineRule="auto"/>
        <w:jc w:val="right"/>
        <w:rPr>
          <w:color w:val="000000"/>
        </w:rPr>
      </w:pPr>
      <w:r>
        <w:rPr>
          <w:color w:val="000000"/>
        </w:rPr>
        <w:t xml:space="preserve">  Autora: Silmara Amorim</w:t>
      </w:r>
      <w:r w:rsidR="00DA2BCD">
        <w:rPr>
          <w:color w:val="000000"/>
        </w:rPr>
        <w:t xml:space="preserve"> Machado</w:t>
      </w:r>
      <w:bookmarkStart w:id="0" w:name="_GoBack"/>
      <w:bookmarkEnd w:id="0"/>
    </w:p>
    <w:p w:rsidR="00E334EA" w:rsidRPr="00302D10" w:rsidRDefault="00E334EA" w:rsidP="00302D10">
      <w:pPr>
        <w:jc w:val="both"/>
      </w:pPr>
      <w:r w:rsidRPr="00E334EA">
        <w:rPr>
          <w:rFonts w:ascii="Arial" w:hAnsi="Arial" w:cs="Arial"/>
          <w:b/>
          <w:noProof w:val="0"/>
        </w:rPr>
        <w:t>RESUMO</w:t>
      </w:r>
    </w:p>
    <w:p w:rsidR="00E334EA" w:rsidRDefault="00E334EA" w:rsidP="00302D10">
      <w:pPr>
        <w:autoSpaceDE w:val="0"/>
        <w:autoSpaceDN w:val="0"/>
        <w:adjustRightInd w:val="0"/>
        <w:jc w:val="both"/>
      </w:pPr>
    </w:p>
    <w:p w:rsidR="00302D10" w:rsidRPr="00302D10" w:rsidRDefault="00302D10" w:rsidP="00302D10">
      <w:pPr>
        <w:autoSpaceDE w:val="0"/>
        <w:autoSpaceDN w:val="0"/>
        <w:adjustRightInd w:val="0"/>
        <w:jc w:val="both"/>
      </w:pPr>
    </w:p>
    <w:p w:rsidR="00E334EA" w:rsidRPr="00302D10" w:rsidRDefault="00E334EA" w:rsidP="00302D10">
      <w:pPr>
        <w:autoSpaceDE w:val="0"/>
        <w:autoSpaceDN w:val="0"/>
        <w:adjustRightInd w:val="0"/>
        <w:jc w:val="both"/>
        <w:rPr>
          <w:lang w:val="pt-PT"/>
        </w:rPr>
      </w:pPr>
      <w:r w:rsidRPr="00302D10">
        <w:t xml:space="preserve">No Brasil, atualmente os processos industriais para produção de biodiesel utilizam grandes quantidades de água para neutralização e lavagem dos ésteres, gerando um grande volume de efluentes. Portanto,deve-se desenvolver novos processos de purificação de biodiesel, no intuito de minimizar a geração desses efluentes. Além do mais, o processo de purificação do biodiesel com água apresenta desvantagens como à formação de emulsões, que podem levar a formação de sabão prejudicando o rendimento final da produção do biodiesel. Portanto, há necessidade de desenvolver processos de purificação de biocombustíveis que minimizem a geração de efluentes e ao mesmo tempo atendam as leis ambientais. O presente trabalho tem o objetivo de substituir a lavagem com água, pelo processo de lavagem a seco, utilizando como adsorvente o(composto por silicato de magnésio devido a sua grande afinidade com os contaminantes presentes após a transesterificação. </w:t>
      </w:r>
      <w:r w:rsidRPr="00302D10">
        <w:rPr>
          <w:lang w:val="pt-PT"/>
        </w:rPr>
        <w:t xml:space="preserve">O </w:t>
      </w:r>
      <w:r w:rsidRPr="00302D10">
        <w:t>composto por silicato de magnésio amorfo e sulfato de sódio anidro</w:t>
      </w:r>
      <w:r w:rsidRPr="00302D10">
        <w:rPr>
          <w:vertAlign w:val="superscript"/>
        </w:rPr>
        <w:t xml:space="preserve"> </w:t>
      </w:r>
      <w:r w:rsidRPr="00302D10">
        <w:t>foi eficiente na purificação do biodiesel, removendo os principais contaminantes presentes, os resultados foram comparados com o processo de purificação convencional obtendo-se uma resposta semelhante</w:t>
      </w:r>
      <w:r w:rsidRPr="00302D10">
        <w:rPr>
          <w:lang w:val="pt-PT"/>
        </w:rPr>
        <w:t>.</w:t>
      </w:r>
    </w:p>
    <w:p w:rsidR="00E334EA" w:rsidRPr="00302D10" w:rsidRDefault="00E334EA" w:rsidP="00302D10">
      <w:pPr>
        <w:autoSpaceDE w:val="0"/>
        <w:autoSpaceDN w:val="0"/>
        <w:adjustRightInd w:val="0"/>
        <w:jc w:val="both"/>
        <w:rPr>
          <w:lang w:val="pt-PT"/>
        </w:rPr>
      </w:pPr>
    </w:p>
    <w:p w:rsidR="00E334EA" w:rsidRPr="00302D10" w:rsidRDefault="00E334EA" w:rsidP="00302D10">
      <w:pPr>
        <w:spacing w:line="360" w:lineRule="auto"/>
        <w:jc w:val="both"/>
        <w:rPr>
          <w:b/>
          <w:bCs/>
        </w:rPr>
      </w:pPr>
      <w:r w:rsidRPr="00302D10">
        <w:rPr>
          <w:b/>
          <w:bCs/>
        </w:rPr>
        <w:t>Palavras Chaves: Biodiesel, Purificação, Adsorção, Adsorventes.</w:t>
      </w:r>
    </w:p>
    <w:p w:rsidR="00E334EA" w:rsidRPr="00302D10" w:rsidRDefault="00E334EA" w:rsidP="00302D10">
      <w:pPr>
        <w:spacing w:line="360" w:lineRule="auto"/>
        <w:jc w:val="both"/>
        <w:rPr>
          <w:b/>
          <w:lang w:val="en-US"/>
        </w:rPr>
      </w:pPr>
    </w:p>
    <w:p w:rsidR="00E334EA" w:rsidRPr="00302D10" w:rsidRDefault="00E334EA" w:rsidP="00302D10">
      <w:pPr>
        <w:spacing w:line="360" w:lineRule="auto"/>
        <w:jc w:val="both"/>
        <w:rPr>
          <w:b/>
          <w:lang w:val="en-US"/>
        </w:rPr>
      </w:pPr>
      <w:r w:rsidRPr="00302D10">
        <w:rPr>
          <w:b/>
          <w:lang w:val="en-US"/>
        </w:rPr>
        <w:t>ABSTRACT</w:t>
      </w:r>
    </w:p>
    <w:p w:rsidR="00302D10" w:rsidRPr="00302D10" w:rsidRDefault="00302D10" w:rsidP="00302D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noProof w:val="0"/>
          <w:color w:val="212121"/>
          <w:sz w:val="20"/>
          <w:szCs w:val="20"/>
        </w:rPr>
      </w:pPr>
      <w:r w:rsidRPr="00302D10">
        <w:rPr>
          <w:noProof w:val="0"/>
          <w:color w:val="212121"/>
          <w:lang w:val="en"/>
        </w:rPr>
        <w:t xml:space="preserve">In Brazil, current industrial processes for biodiesel production utilize large amounts of water for neutralization and washing esters, generating large volumes of effluent. Therefore, one must develop new biodiesel purification processes in order to minimize the generation of waste. Furthermore, biodiesel purification process with water has disadvantages such as the formation of emulsions, which can lead to the formation of soap impairing the final yield of production of biodiesel. Therefore, there is a need to develop biofuel purification processes that minimize the generation of effluents and at the same time meet the environmental regulations. This study aims to replace the washing with water, the cleaning process, using as adsorbent the (composed of magnesium silicate due to its high affinity for contaminants after transesterification. The composed of amorphous magnesium silicate and anhydrous sodium sulfate was effective in biodiesel purification, removing the major </w:t>
      </w:r>
      <w:proofErr w:type="gramStart"/>
      <w:r w:rsidRPr="00302D10">
        <w:rPr>
          <w:noProof w:val="0"/>
          <w:color w:val="212121"/>
          <w:lang w:val="en"/>
        </w:rPr>
        <w:t>contaminants,</w:t>
      </w:r>
      <w:proofErr w:type="gramEnd"/>
      <w:r w:rsidRPr="00302D10">
        <w:rPr>
          <w:noProof w:val="0"/>
          <w:color w:val="212121"/>
          <w:lang w:val="en"/>
        </w:rPr>
        <w:t xml:space="preserve"> the results were compared with the conventional purification procedure yielding a similar response</w:t>
      </w:r>
      <w:r w:rsidRPr="00302D10">
        <w:rPr>
          <w:rFonts w:ascii="inherit" w:hAnsi="inherit" w:cs="Courier New"/>
          <w:noProof w:val="0"/>
          <w:color w:val="212121"/>
          <w:sz w:val="20"/>
          <w:szCs w:val="20"/>
          <w:lang w:val="en"/>
        </w:rPr>
        <w:t>.</w:t>
      </w:r>
    </w:p>
    <w:p w:rsidR="00E334EA" w:rsidRPr="00602634" w:rsidRDefault="00E334EA" w:rsidP="00E334EA">
      <w:pPr>
        <w:spacing w:line="360" w:lineRule="auto"/>
        <w:jc w:val="both"/>
        <w:rPr>
          <w:rFonts w:ascii="Arial" w:hAnsi="Arial" w:cs="Arial"/>
          <w:color w:val="000000"/>
        </w:rPr>
      </w:pPr>
    </w:p>
    <w:p w:rsidR="00E334EA" w:rsidRDefault="00E334EA" w:rsidP="00E334EA">
      <w:pPr>
        <w:spacing w:line="360" w:lineRule="auto"/>
        <w:jc w:val="both"/>
        <w:rPr>
          <w:rFonts w:ascii="Arial" w:hAnsi="Arial" w:cs="Arial"/>
          <w:lang w:val="en-US"/>
        </w:rPr>
      </w:pPr>
      <w:r w:rsidRPr="00602634">
        <w:rPr>
          <w:rFonts w:ascii="Arial" w:hAnsi="Arial" w:cs="Arial"/>
          <w:b/>
          <w:lang w:val="en-US"/>
        </w:rPr>
        <w:t>Key words</w:t>
      </w:r>
      <w:r w:rsidRPr="00602634">
        <w:rPr>
          <w:rFonts w:ascii="Arial" w:hAnsi="Arial" w:cs="Arial"/>
          <w:lang w:val="en-US"/>
        </w:rPr>
        <w:t>: Biodiesel; Purification; babassu, ethanol, adsorbents</w:t>
      </w:r>
    </w:p>
    <w:p w:rsidR="00302D10" w:rsidRDefault="00302D10" w:rsidP="00E334EA">
      <w:pPr>
        <w:spacing w:line="360" w:lineRule="auto"/>
        <w:jc w:val="both"/>
        <w:rPr>
          <w:rFonts w:ascii="Arial" w:hAnsi="Arial" w:cs="Arial"/>
          <w:lang w:val="en-US"/>
        </w:rPr>
      </w:pPr>
    </w:p>
    <w:p w:rsidR="00302D10" w:rsidRDefault="00302D10" w:rsidP="00E334EA">
      <w:pPr>
        <w:spacing w:line="360" w:lineRule="auto"/>
        <w:jc w:val="both"/>
        <w:rPr>
          <w:rFonts w:ascii="Arial" w:hAnsi="Arial" w:cs="Arial"/>
          <w:lang w:val="en-US"/>
        </w:rPr>
      </w:pPr>
    </w:p>
    <w:p w:rsidR="00302D10" w:rsidRDefault="00302D10" w:rsidP="00E334EA">
      <w:pPr>
        <w:spacing w:line="360" w:lineRule="auto"/>
        <w:jc w:val="both"/>
        <w:rPr>
          <w:rFonts w:ascii="Arial" w:hAnsi="Arial" w:cs="Arial"/>
          <w:lang w:val="en-US"/>
        </w:rPr>
      </w:pPr>
    </w:p>
    <w:p w:rsidR="00302D10" w:rsidRDefault="00302D10" w:rsidP="00E334EA">
      <w:pPr>
        <w:spacing w:line="360" w:lineRule="auto"/>
        <w:jc w:val="both"/>
        <w:rPr>
          <w:rFonts w:ascii="Arial" w:hAnsi="Arial" w:cs="Arial"/>
          <w:lang w:val="en-US"/>
        </w:rPr>
      </w:pPr>
    </w:p>
    <w:p w:rsidR="00E334EA" w:rsidRPr="00A508A9" w:rsidRDefault="00E334EA" w:rsidP="00E334EA">
      <w:pPr>
        <w:keepNext/>
        <w:spacing w:line="360" w:lineRule="auto"/>
        <w:jc w:val="both"/>
        <w:outlineLvl w:val="0"/>
        <w:rPr>
          <w:b/>
          <w:caps/>
        </w:rPr>
      </w:pPr>
      <w:bookmarkStart w:id="1" w:name="_Toc220323229"/>
      <w:r w:rsidRPr="00A508A9">
        <w:rPr>
          <w:b/>
          <w:caps/>
        </w:rPr>
        <w:t>1 INTRODUÇÃO</w:t>
      </w:r>
      <w:bookmarkEnd w:id="1"/>
    </w:p>
    <w:p w:rsidR="00E334EA" w:rsidRPr="00A508A9" w:rsidRDefault="00E334EA" w:rsidP="00A508A9">
      <w:pPr>
        <w:jc w:val="both"/>
        <w:rPr>
          <w:color w:val="000000"/>
        </w:rPr>
      </w:pPr>
    </w:p>
    <w:p w:rsidR="00E334EA" w:rsidRPr="00A508A9" w:rsidRDefault="00E334EA" w:rsidP="00A508A9">
      <w:pPr>
        <w:spacing w:line="360" w:lineRule="auto"/>
        <w:ind w:firstLine="1134"/>
        <w:jc w:val="both"/>
        <w:rPr>
          <w:color w:val="000000"/>
        </w:rPr>
      </w:pPr>
      <w:r w:rsidRPr="00A508A9">
        <w:rPr>
          <w:color w:val="000000"/>
        </w:rPr>
        <w:t>A maior parte de toda a energia consumida no mundo provém do petróleo, do carvão e do gás natural. Como essas fontes de energia são limitadas, as buscas por fontes renováveis têm sido muito freqüentes. Os óleos vegetais surgem como uma alternativa para substituição do óleo diesel, em motores de ignição por compressão, quando transformados em ésteres de ácidos graxos, recebendo a denominação de biodiesel (FERRARI, R. A., 2005).</w:t>
      </w:r>
    </w:p>
    <w:p w:rsidR="00E334EA" w:rsidRPr="00A508A9" w:rsidRDefault="00E334EA" w:rsidP="00A508A9">
      <w:pPr>
        <w:spacing w:line="360" w:lineRule="auto"/>
        <w:ind w:firstLine="1134"/>
        <w:jc w:val="both"/>
        <w:rPr>
          <w:color w:val="000000"/>
        </w:rPr>
      </w:pPr>
      <w:r w:rsidRPr="00A508A9">
        <w:rPr>
          <w:color w:val="000000"/>
        </w:rPr>
        <w:t>O Biodiesel é um combustível renovável produzido a partir de óleos vegetais e álcoois. As principais fontes de óleos vegetais no Brasil são: Soja, Babaçu, Girassol, Amendoim, Algodão, Palma/Dendê, Colza/Canola, Coco, Macaúba, Mamona, Pequi, e.de Álcool: etanol (cana-de-açúcar).</w:t>
      </w:r>
    </w:p>
    <w:p w:rsidR="00E334EA" w:rsidRPr="00A508A9" w:rsidRDefault="00E334EA" w:rsidP="00A508A9">
      <w:pPr>
        <w:spacing w:line="360" w:lineRule="auto"/>
        <w:ind w:firstLine="1134"/>
        <w:jc w:val="both"/>
        <w:rPr>
          <w:color w:val="000000"/>
        </w:rPr>
      </w:pPr>
      <w:r w:rsidRPr="00A508A9">
        <w:rPr>
          <w:color w:val="000000"/>
        </w:rPr>
        <w:t>O Maranhão devido a sua localização geográfica e a sua vocação agrícola, possui um grande potencial para a produção de biodiesel a partir do óleo de soja, de babaçu e de outros vegetais, como o pinhão manso e a mamona. A produção de biodiesel a partir da biomassa é um dos caminhos para a inclusão social e regionalização do desenvolvimento do Estado, utilizando como apoio à agricultura familiar e ao fortalecimento da produção de oleaginosas e sua comercialização nas regiões Norte e Nordeste (MDA, 2004). O biodiesel pode ser utilizado, puro (B100) ou em misturas com o Diesel de petróleo (por exemplo, B2 – 2% Biodiesel mais 98% Diesel), em motores a diesel com vantagens em termos de emissões e de desgaste do motor. (</w:t>
      </w:r>
      <w:r w:rsidRPr="00A508A9">
        <w:t>SINIPOMA, 2004).</w:t>
      </w:r>
    </w:p>
    <w:p w:rsidR="00E334EA" w:rsidRPr="00A508A9" w:rsidRDefault="00E334EA" w:rsidP="00A508A9">
      <w:pPr>
        <w:spacing w:line="360" w:lineRule="auto"/>
        <w:ind w:firstLine="1134"/>
        <w:jc w:val="both"/>
        <w:rPr>
          <w:color w:val="000000"/>
        </w:rPr>
      </w:pPr>
      <w:r w:rsidRPr="00A508A9">
        <w:rPr>
          <w:color w:val="000000"/>
        </w:rPr>
        <w:t>A transformação dos óleos vegetais em biodiesel tem a vantagem de produzirem localmente combustíveis e gerar empregos, desde o plantio das oleaginosas até a produção e comercialização desse biocombustíve</w:t>
      </w:r>
    </w:p>
    <w:p w:rsidR="00E334EA" w:rsidRPr="00A508A9" w:rsidRDefault="00E334EA" w:rsidP="00A508A9">
      <w:pPr>
        <w:autoSpaceDE w:val="0"/>
        <w:autoSpaceDN w:val="0"/>
        <w:adjustRightInd w:val="0"/>
        <w:spacing w:line="360" w:lineRule="auto"/>
        <w:ind w:firstLine="1134"/>
        <w:jc w:val="both"/>
        <w:rPr>
          <w:noProof w:val="0"/>
        </w:rPr>
      </w:pPr>
      <w:r w:rsidRPr="00A508A9">
        <w:rPr>
          <w:noProof w:val="0"/>
        </w:rPr>
        <w:t xml:space="preserve">Dentre as matérias-primas mais utilizadas figuram os óleos de soja, babaçu, mamona e dendê e alguns tipos de óleos de fritura, como aqueles derivados do processamento industrial de alimentos para refeições industriais. </w:t>
      </w:r>
      <w:r w:rsidRPr="00A508A9">
        <w:rPr>
          <w:noProof w:val="0"/>
          <w:color w:val="000000"/>
        </w:rPr>
        <w:t xml:space="preserve">O processo para a transformação do óleo vegetal em biodiesel chama-se </w:t>
      </w:r>
      <w:r w:rsidRPr="00A508A9">
        <w:rPr>
          <w:bCs/>
          <w:noProof w:val="0"/>
          <w:color w:val="000000"/>
        </w:rPr>
        <w:t>transesterificação</w:t>
      </w:r>
      <w:r w:rsidRPr="00A508A9">
        <w:rPr>
          <w:noProof w:val="0"/>
          <w:color w:val="000000"/>
        </w:rPr>
        <w:t xml:space="preserve">. Transesterificação nada mais é do que a separação da glicerina do óleo vegetal. Cerca de 20% de uma molécula de óleo vegetal é formada por glicerina. A glicerina torna o óleo mais denso e viscoso. Durante o processo de transesterificação, a glicerina é </w:t>
      </w:r>
      <w:r w:rsidRPr="00A508A9">
        <w:rPr>
          <w:noProof w:val="0"/>
          <w:color w:val="000000"/>
        </w:rPr>
        <w:lastRenderedPageBreak/>
        <w:t>removida do óleo vegetal, deixando o óleo mais fino e reduzindo a viscosidade. (</w:t>
      </w:r>
      <w:r w:rsidRPr="00A508A9">
        <w:t>URIOSTE, 2004)</w:t>
      </w:r>
    </w:p>
    <w:p w:rsidR="00E334EA" w:rsidRPr="00A508A9" w:rsidRDefault="00E334EA" w:rsidP="00A508A9">
      <w:pPr>
        <w:spacing w:line="360" w:lineRule="auto"/>
        <w:ind w:firstLine="1134"/>
        <w:jc w:val="both"/>
        <w:rPr>
          <w:color w:val="000000"/>
        </w:rPr>
      </w:pPr>
      <w:r w:rsidRPr="00A508A9">
        <w:rPr>
          <w:color w:val="000000"/>
        </w:rPr>
        <w:t>Após o processo de produção do biodiesel estão presentes algumas impurezas ou contaminantes solúveis em água. Entre os principais estão traços de álcool (metanol ou etanol), glicerina livre, além de mono, di e triglicerídeos</w:t>
      </w:r>
    </w:p>
    <w:p w:rsidR="00E334EA" w:rsidRPr="00A508A9" w:rsidRDefault="00E334EA" w:rsidP="00A508A9">
      <w:pPr>
        <w:spacing w:line="360" w:lineRule="auto"/>
        <w:ind w:firstLine="1134"/>
        <w:jc w:val="both"/>
        <w:rPr>
          <w:color w:val="000000"/>
        </w:rPr>
      </w:pPr>
      <w:r w:rsidRPr="00A508A9">
        <w:rPr>
          <w:color w:val="000000"/>
        </w:rPr>
        <w:t>Portanto, torna-se necessário o desenvolvimento de um processo de purificação de biodiesel, que elimine os problemas relacionados à lavagem com água. Um processo viável é o que utiliza adsorventes, como o silicato de magnésio amorfo e sulfato de sódio anidro, recentemente patenteado como Magnesol</w:t>
      </w:r>
      <w:r w:rsidRPr="00A508A9">
        <w:rPr>
          <w:color w:val="000000"/>
          <w:vertAlign w:val="superscript"/>
        </w:rPr>
        <w:t xml:space="preserve">® </w:t>
      </w:r>
      <w:r w:rsidRPr="00A508A9">
        <w:rPr>
          <w:color w:val="000000"/>
        </w:rPr>
        <w:t>(DALLAS, 2005) e o gel de sílica, chamado de TriSyl</w:t>
      </w:r>
      <w:r w:rsidRPr="00A508A9">
        <w:rPr>
          <w:color w:val="000000"/>
          <w:vertAlign w:val="superscript"/>
        </w:rPr>
        <w:t>®</w:t>
      </w:r>
      <w:r w:rsidRPr="00A508A9">
        <w:rPr>
          <w:color w:val="000000"/>
        </w:rPr>
        <w:t xml:space="preserve"> (GRACE DAVISON, 2007). Esses adsorventes têm grande afinidade com os contaminantes presentes no biodiesel, não geram efluentes e podem ser reutilizados no processo de purificação.</w:t>
      </w:r>
    </w:p>
    <w:p w:rsidR="00E334EA" w:rsidRPr="00A508A9" w:rsidRDefault="00E334EA" w:rsidP="00A508A9">
      <w:pPr>
        <w:tabs>
          <w:tab w:val="left" w:pos="80"/>
        </w:tabs>
        <w:autoSpaceDE w:val="0"/>
        <w:autoSpaceDN w:val="0"/>
        <w:adjustRightInd w:val="0"/>
        <w:spacing w:line="360" w:lineRule="auto"/>
        <w:ind w:firstLine="1134"/>
        <w:jc w:val="both"/>
      </w:pPr>
      <w:r w:rsidRPr="00A508A9">
        <w:t>Os processos de purificação do biodiesel convencionais baseiam-se na lavagem com água. Como o processo por borbulhamento de gás, onde as bolhas de ar permitem uma agitação do meio e o arraste dos contaminantes solúveis, porém, nesse processo há a formação de emulsão, constituída de sais de ácidos graxos (sabão), água e biodiesel, dificultando a separação das fases (</w:t>
      </w:r>
      <w:r w:rsidRPr="00A508A9">
        <w:rPr>
          <w:bCs/>
        </w:rPr>
        <w:t xml:space="preserve">COLLABORATIVE BIODIESEL TUTORIAL, 2007). E </w:t>
      </w:r>
      <w:r w:rsidRPr="00A508A9">
        <w:t>o processo por borrifação (“mist washing”), que utiliza um chuveiro para borrifar água no biodiesel na forma de uma névoa fina capaz de solubilizar as impurezas e se depositar no fundo do recipiente, sendo aos poucos retirada. Esta por sua vez é mais eficiente, visto que não há formação de emulsão, no entanto gera uma grande quantidade de resíduo liquído (HILL, 2007).</w:t>
      </w:r>
    </w:p>
    <w:p w:rsidR="00E334EA" w:rsidRPr="00A508A9" w:rsidRDefault="00097E25" w:rsidP="00A508A9">
      <w:pPr>
        <w:keepNext/>
        <w:spacing w:line="360" w:lineRule="auto"/>
        <w:jc w:val="both"/>
        <w:outlineLvl w:val="0"/>
        <w:rPr>
          <w:b/>
          <w:caps/>
        </w:rPr>
      </w:pPr>
      <w:r w:rsidRPr="00A508A9">
        <w:rPr>
          <w:b/>
          <w:caps/>
        </w:rPr>
        <w:t>2.</w:t>
      </w:r>
      <w:r w:rsidR="00E334EA" w:rsidRPr="00A508A9">
        <w:rPr>
          <w:b/>
          <w:caps/>
        </w:rPr>
        <w:t>METODOLOGIA</w:t>
      </w:r>
    </w:p>
    <w:p w:rsidR="00E334EA" w:rsidRPr="00A508A9" w:rsidRDefault="00E334EA" w:rsidP="00A508A9">
      <w:pPr>
        <w:spacing w:line="360" w:lineRule="auto"/>
        <w:ind w:firstLine="1134"/>
        <w:jc w:val="both"/>
        <w:rPr>
          <w:color w:val="000000"/>
        </w:rPr>
      </w:pPr>
      <w:r w:rsidRPr="00A508A9">
        <w:rPr>
          <w:color w:val="000000"/>
        </w:rPr>
        <w:t>Os ensaios de bancada para obtenção do biodiesel foram realizados nos Laboratórios do núcleo de Biodiesel, Central Analítica - CA, localizados no Bloco 8 (anexo) e 10 respectivamente, do Centro de Ciências Exatas e Tecnologia, Campus do Bacanga, UFMA. Nesse capítulo estão relacionados os equipamentos, materiais, reagentes, métodos para análise dos óleos, reação de transesterificação, decantação, purificação do biodiesel e estudo do efeito da relação óleo/álcool, teor do catalisador, temperatura e os métodos de análises para o Biodiesel nas condições otimizadas neste trabalho.</w:t>
      </w:r>
    </w:p>
    <w:p w:rsidR="00E334EA" w:rsidRPr="00A508A9" w:rsidRDefault="00E334EA" w:rsidP="00A508A9">
      <w:pPr>
        <w:autoSpaceDE w:val="0"/>
        <w:autoSpaceDN w:val="0"/>
        <w:adjustRightInd w:val="0"/>
        <w:spacing w:line="360" w:lineRule="auto"/>
        <w:ind w:firstLine="1134"/>
        <w:jc w:val="both"/>
        <w:rPr>
          <w:color w:val="000000"/>
        </w:rPr>
      </w:pPr>
      <w:r w:rsidRPr="00A508A9">
        <w:rPr>
          <w:color w:val="000000"/>
        </w:rPr>
        <w:t xml:space="preserve">Na primeira etapa deste trabalho foram realizados testes físico-quimicos (índice de acidez, índice de peróxido, índice de iodo e viscosidade) para o controle de </w:t>
      </w:r>
      <w:r w:rsidRPr="00A508A9">
        <w:rPr>
          <w:color w:val="000000"/>
        </w:rPr>
        <w:lastRenderedPageBreak/>
        <w:t>qualidade do óleo de babaçu, para verificar se o mesmo estava em condições adequadas para a produção de biodiesel.</w:t>
      </w:r>
    </w:p>
    <w:p w:rsidR="00E334EA" w:rsidRPr="00A508A9" w:rsidRDefault="00E334EA" w:rsidP="00A508A9">
      <w:pPr>
        <w:autoSpaceDE w:val="0"/>
        <w:autoSpaceDN w:val="0"/>
        <w:adjustRightInd w:val="0"/>
        <w:spacing w:line="360" w:lineRule="auto"/>
        <w:ind w:firstLine="1134"/>
        <w:jc w:val="both"/>
      </w:pPr>
      <w:r w:rsidRPr="00A508A9">
        <w:t>A próxima etapa foi obter o biodiesel etílico de babaçu utilizando as condições reacionais otimizadas por SILVA, F. C. e LACERDA, F. B., no Laboratório do Núc</w:t>
      </w:r>
      <w:r w:rsidR="00097E25" w:rsidRPr="00A508A9">
        <w:t>leo de Biodiesel da UFMA  que teve início em 2014</w:t>
      </w:r>
      <w:r w:rsidRPr="00A508A9">
        <w:t xml:space="preserve">: </w:t>
      </w:r>
      <w:smartTag w:uri="urn:schemas-microsoft-com:office:smarttags" w:element="metricconverter">
        <w:smartTagPr>
          <w:attr w:name="ProductID" w:val="100 g"/>
        </w:smartTagPr>
        <w:r w:rsidRPr="00A508A9">
          <w:t>100 g</w:t>
        </w:r>
      </w:smartTag>
      <w:r w:rsidRPr="00A508A9">
        <w:t xml:space="preserve"> de óleo de babaçu refinado; </w:t>
      </w:r>
      <w:smartTag w:uri="urn:schemas-microsoft-com:office:smarttags" w:element="metricconverter">
        <w:smartTagPr>
          <w:attr w:name="ProductID" w:val="2,0 g"/>
        </w:smartTagPr>
        <w:r w:rsidRPr="00A508A9">
          <w:t>2,0 g</w:t>
        </w:r>
      </w:smartTag>
      <w:r w:rsidRPr="00A508A9">
        <w:t xml:space="preserve"> de Hidróxido de Potássio; 80 mL de etanol; 1 hora de agitação a temperatura ambiente.</w:t>
      </w:r>
    </w:p>
    <w:p w:rsidR="00E334EA" w:rsidRPr="00A508A9" w:rsidRDefault="00E334EA" w:rsidP="00A508A9">
      <w:pPr>
        <w:autoSpaceDE w:val="0"/>
        <w:autoSpaceDN w:val="0"/>
        <w:adjustRightInd w:val="0"/>
        <w:spacing w:line="360" w:lineRule="auto"/>
        <w:ind w:firstLine="1134"/>
        <w:jc w:val="both"/>
      </w:pPr>
      <w:r w:rsidRPr="00A508A9">
        <w:t xml:space="preserve">Otimizou-se o processo de purificação do biodiesel com lavagem a seco, utilizando o delineamento composto central rotacional. Durante o processo de purificação do biodiesel com a adição do Silicato de Magnésio utilizou-se várias percentagens adsorvente (0,66% a 2,34% por </w:t>
      </w:r>
      <w:smartTag w:uri="urn:schemas-microsoft-com:office:smarttags" w:element="metricconverter">
        <w:smartTagPr>
          <w:attr w:name="ProductID" w:val="50 g"/>
        </w:smartTagPr>
        <w:r w:rsidRPr="00A508A9">
          <w:t>50 g</w:t>
        </w:r>
      </w:smartTag>
      <w:r w:rsidRPr="00A508A9">
        <w:t xml:space="preserve"> de etil éster) para remoção de impurezas (sabões, glicerina, etanol e catalisador) na temperatura de </w:t>
      </w:r>
      <w:smartTag w:uri="urn:schemas-microsoft-com:office:smarttags" w:element="metricconverter">
        <w:smartTagPr>
          <w:attr w:name="ProductID" w:val="40 a"/>
        </w:smartTagPr>
        <w:r w:rsidRPr="00A508A9">
          <w:t>40 a</w:t>
        </w:r>
      </w:smartTag>
      <w:r w:rsidRPr="00A508A9">
        <w:t xml:space="preserve"> 80 ºC e tempo de39,55 a 140,45 min. Em seguida, filtrou-se (com membranas filtrantes de 0,20 </w:t>
      </w:r>
      <w:r w:rsidRPr="00A508A9">
        <w:sym w:font="Symbol" w:char="F06D"/>
      </w:r>
      <w:r w:rsidRPr="00A508A9">
        <w:t>m de espessura de poros) o biodiesel para remoção total do Silicato de Magnésio com as impurezas adsorvidas. O método de lavagem a seco foi comparado com o processo de lavagem com água, através da determinação do teor de glicerina livre, por análises cromatográficas e de medidas de capacitância. O biodiesel foi caracterizado físico-quimicamente utilizando as normas da ANP.</w:t>
      </w:r>
    </w:p>
    <w:p w:rsidR="00E334EA" w:rsidRPr="00A508A9" w:rsidRDefault="00E334EA" w:rsidP="00A508A9">
      <w:pPr>
        <w:spacing w:line="360" w:lineRule="auto"/>
        <w:ind w:firstLine="1134"/>
        <w:jc w:val="both"/>
        <w:rPr>
          <w:lang w:val="pt-PT"/>
        </w:rPr>
      </w:pPr>
      <w:r w:rsidRPr="00A508A9">
        <w:rPr>
          <w:lang w:val="pt-PT"/>
        </w:rPr>
        <w:t xml:space="preserve">O biodiesel nas condições otimizadas foi caracterizado utilizando os  seguintes equipamentos: Densímetro digital (Density Meter DMA, 4500); Viscosímetro (Visco Bath HVD – 438);   Banho Termostático (Visco Bath, HVD-438); Capilar de rotina Cannon- Fenske nº 75, 150 e 300; Ponto de Fulgor (Alter Herzog GmbH, HFP 360);  Estufa Quimis Q317b-32. pHmetro Hanna Instruments modelo HI2300; Estufa Fanem Orion 512; Medidor de capacitância LCR 800 séries; Agitador mecânico IKA Labortechnik modelo RW 20. n; Balança Analítica Ficculab L-séries, LT – </w:t>
      </w:r>
      <w:smartTag w:uri="urn:schemas-microsoft-com:office:smarttags" w:element="metricconverter">
        <w:smartTagPr>
          <w:attr w:name="ProductID" w:val="320 g"/>
        </w:smartTagPr>
        <w:r w:rsidRPr="00A508A9">
          <w:rPr>
            <w:lang w:val="pt-PT"/>
          </w:rPr>
          <w:t>320 g</w:t>
        </w:r>
      </w:smartTag>
      <w:r w:rsidRPr="00A508A9">
        <w:rPr>
          <w:lang w:val="pt-PT"/>
        </w:rPr>
        <w:t xml:space="preserve">; Bomba de vácuo Quimis Modelo Q355 B2; Capilar de rotina Cannon-Fenske; Papel de filtro em circulo (Phase Separador PS Silicone Treated Circles </w:t>
      </w:r>
      <w:smartTag w:uri="urn:schemas-microsoft-com:office:smarttags" w:element="metricconverter">
        <w:smartTagPr>
          <w:attr w:name="ProductID" w:val="90 mm"/>
        </w:smartTagPr>
        <w:r w:rsidRPr="00A508A9">
          <w:rPr>
            <w:lang w:val="pt-PT"/>
          </w:rPr>
          <w:t>90 mm</w:t>
        </w:r>
      </w:smartTag>
      <w:r w:rsidRPr="00A508A9">
        <w:rPr>
          <w:lang w:val="pt-PT"/>
        </w:rPr>
        <w:t xml:space="preserve"> Cat nº 2200 090 WHATMAN); Membrana de nylon 66 (0,20 </w:t>
      </w:r>
      <w:r w:rsidRPr="00A508A9">
        <w:rPr>
          <w:color w:val="000000"/>
          <w:lang w:val="pt-PT"/>
        </w:rPr>
        <w:sym w:font="Symbol" w:char="F06D"/>
      </w:r>
      <w:r w:rsidRPr="00A508A9">
        <w:rPr>
          <w:lang w:val="pt-PT"/>
        </w:rPr>
        <w:t xml:space="preserve">m x </w:t>
      </w:r>
      <w:smartTag w:uri="urn:schemas-microsoft-com:office:smarttags" w:element="metricconverter">
        <w:smartTagPr>
          <w:attr w:name="ProductID" w:val="47 mm"/>
        </w:smartTagPr>
        <w:r w:rsidRPr="00A508A9">
          <w:rPr>
            <w:lang w:val="pt-PT"/>
          </w:rPr>
          <w:t>47 mm</w:t>
        </w:r>
      </w:smartTag>
      <w:r w:rsidRPr="00A508A9">
        <w:rPr>
          <w:lang w:val="pt-PT"/>
        </w:rPr>
        <w:t>) (Supelco).</w:t>
      </w:r>
    </w:p>
    <w:p w:rsidR="00E334EA" w:rsidRPr="00A508A9" w:rsidRDefault="00097E25" w:rsidP="00A508A9">
      <w:pPr>
        <w:keepNext/>
        <w:spacing w:line="360" w:lineRule="auto"/>
        <w:outlineLvl w:val="1"/>
        <w:rPr>
          <w:b/>
        </w:rPr>
      </w:pPr>
      <w:bookmarkStart w:id="2" w:name="_Toc220323252"/>
      <w:r w:rsidRPr="00A508A9">
        <w:rPr>
          <w:b/>
        </w:rPr>
        <w:t>2</w:t>
      </w:r>
      <w:r w:rsidR="00E334EA" w:rsidRPr="00A508A9">
        <w:rPr>
          <w:b/>
        </w:rPr>
        <w:t>.2 Matéria-prima e Reagentes</w:t>
      </w:r>
      <w:bookmarkEnd w:id="2"/>
    </w:p>
    <w:p w:rsidR="00E334EA" w:rsidRPr="00A508A9" w:rsidRDefault="00E334EA" w:rsidP="00A508A9">
      <w:pPr>
        <w:spacing w:line="360" w:lineRule="auto"/>
        <w:ind w:firstLine="1134"/>
        <w:jc w:val="both"/>
      </w:pPr>
      <w:r w:rsidRPr="00A508A9">
        <w:rPr>
          <w:color w:val="000000"/>
        </w:rPr>
        <w:t>Óleo de babaçu refinado comercial; Óleo de babaçu bruto OLEAMA; Etanol anidro da Distribuidora Petrobrás; Metanol(ISOFAR) (P.A., pureza = 99,8  %);  Hidróxido  de  potássio  (P.A.,  p= 85  %)(ISOFAR);  Sulfato de sódio(QUIMEX), (P.A., p = 99,0 %);  Silicato amorfo de Magnésio e de Sósio  Anidro (CROMOLINE</w:t>
      </w:r>
      <w:r w:rsidRPr="00A508A9">
        <w:rPr>
          <w:vertAlign w:val="superscript"/>
        </w:rPr>
        <w:t>®</w:t>
      </w:r>
      <w:r w:rsidRPr="00A508A9">
        <w:rPr>
          <w:color w:val="000000"/>
        </w:rPr>
        <w:t xml:space="preserve"> ); Cloreto de sódio (P.A., p= 99,5 %)(QM); Éter  etílico(QUIMEX);  Ácido </w:t>
      </w:r>
      <w:r w:rsidRPr="00A508A9">
        <w:rPr>
          <w:color w:val="000000"/>
        </w:rPr>
        <w:lastRenderedPageBreak/>
        <w:t>acético(ISOFAR); Colorofórmio(ISOFAR);  Iodeto de potássio(QUIMEX);  Tiossulfato de sódio(QUIMEX);  Solução  de  Wijs(QUIMEX);  Hidróxido  de  sódio(ISOFAR);  Fenolftaleína(QUIMEX);  Amido(MAISENA);  Tolueno(QUIMEX);  2- propanol(QUIMEX).</w:t>
      </w:r>
      <w:r w:rsidRPr="00A508A9">
        <w:t xml:space="preserve"> </w:t>
      </w:r>
    </w:p>
    <w:p w:rsidR="00E334EA" w:rsidRPr="00A508A9" w:rsidRDefault="009239C4" w:rsidP="00A508A9">
      <w:pPr>
        <w:keepNext/>
        <w:spacing w:line="360" w:lineRule="auto"/>
        <w:outlineLvl w:val="1"/>
        <w:rPr>
          <w:b/>
        </w:rPr>
      </w:pPr>
      <w:bookmarkStart w:id="3" w:name="_Toc220323254"/>
      <w:r>
        <w:rPr>
          <w:b/>
          <w:noProof w:val="0"/>
          <w:color w:val="000000"/>
        </w:rPr>
        <w:t xml:space="preserve">2.3 </w:t>
      </w:r>
      <w:r w:rsidR="00E334EA" w:rsidRPr="00A508A9">
        <w:rPr>
          <w:b/>
          <w:noProof w:val="0"/>
          <w:color w:val="000000"/>
        </w:rPr>
        <w:t>Obtenção</w:t>
      </w:r>
      <w:r w:rsidR="00E334EA" w:rsidRPr="00A508A9">
        <w:rPr>
          <w:b/>
        </w:rPr>
        <w:t xml:space="preserve"> do Biodiesel</w:t>
      </w:r>
      <w:bookmarkEnd w:id="3"/>
    </w:p>
    <w:p w:rsidR="00E334EA" w:rsidRPr="00A508A9" w:rsidRDefault="00E334EA" w:rsidP="00A508A9">
      <w:pPr>
        <w:spacing w:line="360" w:lineRule="auto"/>
        <w:ind w:firstLine="1134"/>
        <w:jc w:val="both"/>
      </w:pPr>
      <w:r w:rsidRPr="00A508A9">
        <w:t>O óleo de babaçu refinado foi adquirido na OLEAMA e analisado conforme os métodos do “Standard Methods for the Analysis of Oils, Fats and Derivates” publicadas pela IUPAC</w:t>
      </w:r>
      <w:r w:rsidRPr="00A508A9">
        <w:rPr>
          <w:color w:val="FF0000"/>
        </w:rPr>
        <w:t>.</w:t>
      </w:r>
    </w:p>
    <w:p w:rsidR="00E334EA" w:rsidRPr="00A508A9" w:rsidRDefault="00E334EA" w:rsidP="00A508A9">
      <w:pPr>
        <w:spacing w:line="360" w:lineRule="auto"/>
        <w:ind w:firstLine="1134"/>
        <w:jc w:val="both"/>
        <w:rPr>
          <w:color w:val="000000"/>
        </w:rPr>
      </w:pPr>
      <w:r w:rsidRPr="00A508A9">
        <w:t xml:space="preserve">A produção de biodiesel consiste nas seguintes etapas: a secagem do óleo em estufa a </w:t>
      </w:r>
      <w:smartTag w:uri="urn:schemas-microsoft-com:office:smarttags" w:element="metricconverter">
        <w:smartTagPr>
          <w:attr w:name="ProductID" w:val="110ﾰC"/>
        </w:smartTagPr>
        <w:r w:rsidRPr="00A508A9">
          <w:t>110°C</w:t>
        </w:r>
      </w:smartTag>
      <w:r w:rsidRPr="00A508A9">
        <w:t xml:space="preserve"> durante 3 horas; a reação do óleo com a mistura álcool/catalisador, separação dos esteres da glicerina, purificação e a secagem do biodiesel </w:t>
      </w:r>
      <w:r w:rsidRPr="00A508A9">
        <w:rPr>
          <w:b/>
          <w:color w:val="000000"/>
        </w:rPr>
        <w:t>(Figura 6</w:t>
      </w:r>
      <w:r w:rsidRPr="00A508A9">
        <w:rPr>
          <w:color w:val="000000"/>
        </w:rPr>
        <w:t>).</w:t>
      </w:r>
    </w:p>
    <w:p w:rsidR="00E334EA" w:rsidRPr="00A508A9" w:rsidRDefault="00E334EA" w:rsidP="00A508A9">
      <w:pPr>
        <w:spacing w:line="360" w:lineRule="auto"/>
        <w:jc w:val="both"/>
        <w:rPr>
          <w:color w:val="000000"/>
        </w:rPr>
      </w:pPr>
      <w:r w:rsidRPr="00A508A9">
        <w:rPr>
          <w:color w:val="000000"/>
        </w:rPr>
        <w:drawing>
          <wp:inline distT="0" distB="0" distL="0" distR="0" wp14:anchorId="27643492" wp14:editId="4A41A000">
            <wp:extent cx="5657850" cy="1514475"/>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l="24884" t="38879" r="18721" b="31451"/>
                    <a:stretch>
                      <a:fillRect/>
                    </a:stretch>
                  </pic:blipFill>
                  <pic:spPr bwMode="auto">
                    <a:xfrm>
                      <a:off x="0" y="0"/>
                      <a:ext cx="5657850" cy="1514475"/>
                    </a:xfrm>
                    <a:prstGeom prst="rect">
                      <a:avLst/>
                    </a:prstGeom>
                    <a:noFill/>
                    <a:ln>
                      <a:noFill/>
                    </a:ln>
                  </pic:spPr>
                </pic:pic>
              </a:graphicData>
            </a:graphic>
          </wp:inline>
        </w:drawing>
      </w:r>
    </w:p>
    <w:p w:rsidR="00E334EA" w:rsidRPr="00A508A9" w:rsidRDefault="00E334EA" w:rsidP="00A508A9">
      <w:pPr>
        <w:ind w:firstLine="600"/>
        <w:rPr>
          <w:bCs/>
          <w:sz w:val="20"/>
          <w:szCs w:val="20"/>
        </w:rPr>
      </w:pPr>
      <w:bookmarkStart w:id="4" w:name="_Toc220322593"/>
      <w:r w:rsidRPr="00A508A9">
        <w:rPr>
          <w:b/>
          <w:bCs/>
          <w:sz w:val="20"/>
          <w:szCs w:val="20"/>
        </w:rPr>
        <w:t xml:space="preserve">Figura </w:t>
      </w:r>
      <w:r w:rsidRPr="00A508A9">
        <w:rPr>
          <w:b/>
          <w:bCs/>
          <w:sz w:val="20"/>
          <w:szCs w:val="20"/>
        </w:rPr>
        <w:fldChar w:fldCharType="begin"/>
      </w:r>
      <w:r w:rsidRPr="00A508A9">
        <w:rPr>
          <w:b/>
          <w:bCs/>
          <w:sz w:val="20"/>
          <w:szCs w:val="20"/>
        </w:rPr>
        <w:instrText xml:space="preserve"> SEQ Figura \* ARABIC </w:instrText>
      </w:r>
      <w:r w:rsidRPr="00A508A9">
        <w:rPr>
          <w:b/>
          <w:bCs/>
          <w:sz w:val="20"/>
          <w:szCs w:val="20"/>
        </w:rPr>
        <w:fldChar w:fldCharType="separate"/>
      </w:r>
      <w:r w:rsidRPr="00A508A9">
        <w:rPr>
          <w:b/>
          <w:bCs/>
          <w:sz w:val="20"/>
          <w:szCs w:val="20"/>
        </w:rPr>
        <w:t>6</w:t>
      </w:r>
      <w:r w:rsidRPr="00A508A9">
        <w:rPr>
          <w:b/>
          <w:bCs/>
          <w:sz w:val="20"/>
          <w:szCs w:val="20"/>
        </w:rPr>
        <w:fldChar w:fldCharType="end"/>
      </w:r>
      <w:r w:rsidRPr="00A508A9">
        <w:rPr>
          <w:b/>
          <w:bCs/>
          <w:sz w:val="20"/>
          <w:szCs w:val="20"/>
        </w:rPr>
        <w:t xml:space="preserve"> - </w:t>
      </w:r>
      <w:r w:rsidRPr="00A508A9">
        <w:rPr>
          <w:bCs/>
          <w:sz w:val="20"/>
          <w:szCs w:val="20"/>
        </w:rPr>
        <w:t>Esquema do processo utilizado para a produção do biodiesel.</w:t>
      </w:r>
      <w:bookmarkEnd w:id="4"/>
    </w:p>
    <w:p w:rsidR="00E334EA" w:rsidRPr="00A508A9" w:rsidRDefault="00E334EA" w:rsidP="00A508A9">
      <w:pPr>
        <w:spacing w:line="360" w:lineRule="auto"/>
        <w:ind w:firstLine="1134"/>
        <w:jc w:val="both"/>
      </w:pPr>
    </w:p>
    <w:p w:rsidR="00E334EA" w:rsidRPr="00A508A9" w:rsidRDefault="00E334EA" w:rsidP="00A508A9">
      <w:pPr>
        <w:spacing w:line="360" w:lineRule="auto"/>
        <w:ind w:firstLine="1134"/>
        <w:jc w:val="both"/>
        <w:rPr>
          <w:color w:val="000000"/>
        </w:rPr>
      </w:pPr>
      <w:r w:rsidRPr="00A508A9">
        <w:t>Utilizou-se o óleo de babaçu clarificado, porque o óleo bruto deposita certos sedimentos junto com a glicerina no fundo do recipiente, que interfere na separação das fases liquidas (biodiesel/glicerina) e pode tender a promover a formação de emulsão. O óleo original na maioria das vezes contém água livre, esta deve ser eliminada porque moléculas de água destroem moléculas de catalisador, diminuindo assim a sua concentração.</w:t>
      </w:r>
      <w:r w:rsidRPr="00A508A9">
        <w:rPr>
          <w:color w:val="000000"/>
        </w:rPr>
        <w:t>(</w:t>
      </w:r>
      <w:r w:rsidRPr="00A508A9">
        <w:rPr>
          <w:bCs/>
          <w:color w:val="000000"/>
        </w:rPr>
        <w:t xml:space="preserve"> GERPEN, J. V</w:t>
      </w:r>
      <w:r w:rsidRPr="00A508A9">
        <w:rPr>
          <w:color w:val="000000"/>
        </w:rPr>
        <w:t xml:space="preserve"> )</w:t>
      </w:r>
    </w:p>
    <w:p w:rsidR="00E334EA" w:rsidRPr="00A508A9" w:rsidRDefault="00E334EA" w:rsidP="00877854">
      <w:pPr>
        <w:spacing w:line="360" w:lineRule="auto"/>
        <w:ind w:firstLine="851"/>
        <w:jc w:val="both"/>
      </w:pPr>
      <w:r w:rsidRPr="00A508A9">
        <w:t>O álcool utilizado no processo transesterificação é o etanol anidro (sem umidade), pois até mesmo pequenas quantidades de água (menos que 1 %) diminuem a conversão dos ácidos graxos e dificultam a separação das fases liquidas</w:t>
      </w:r>
      <w:r w:rsidRPr="00A508A9">
        <w:rPr>
          <w:color w:val="000000" w:themeColor="text1"/>
        </w:rPr>
        <w:t>.( HILL, P</w:t>
      </w:r>
      <w:r w:rsidR="00F634A8" w:rsidRPr="00A508A9">
        <w:rPr>
          <w:color w:val="000000" w:themeColor="text1"/>
        </w:rPr>
        <w:t>.2008</w:t>
      </w:r>
      <w:r w:rsidRPr="00A508A9">
        <w:rPr>
          <w:color w:val="000000" w:themeColor="text1"/>
        </w:rPr>
        <w:t>)</w:t>
      </w:r>
    </w:p>
    <w:p w:rsidR="00E334EA" w:rsidRPr="00A508A9" w:rsidRDefault="00E334EA" w:rsidP="00E334EA">
      <w:pPr>
        <w:spacing w:line="360" w:lineRule="auto"/>
        <w:ind w:firstLine="1134"/>
        <w:jc w:val="both"/>
        <w:rPr>
          <w:color w:val="000000"/>
        </w:rPr>
      </w:pPr>
      <w:r w:rsidRPr="00A508A9">
        <w:t xml:space="preserve">O catalisador utilizado foi o KOH, pureza = 85%. Até os melhores graus de reagente Hidróxido de Potássio tem em torno de </w:t>
      </w:r>
      <w:smartTag w:uri="urn:schemas-microsoft-com:office:smarttags" w:element="metricconverter">
        <w:smartTagPr>
          <w:attr w:name="ProductID" w:val="14 a"/>
        </w:smartTagPr>
        <w:r w:rsidRPr="00A508A9">
          <w:t>14 a</w:t>
        </w:r>
      </w:smartTag>
      <w:r w:rsidRPr="00A508A9">
        <w:t xml:space="preserve"> 15 % de água que não pode ser removida em sua composição. O KOH também deve ter baixo teor de carbonato, porque o carbonato de potássio causa nebulosidade no óleo. Outros catalisadores que podem ser utilizados são o etóxido de potássio, e etóxido de sódio, no entanto são bastante caros</w:t>
      </w:r>
      <w:r w:rsidR="00877854">
        <w:rPr>
          <w:color w:val="000000"/>
        </w:rPr>
        <w:t>.(</w:t>
      </w:r>
      <w:r w:rsidRPr="00A508A9">
        <w:rPr>
          <w:color w:val="000000"/>
        </w:rPr>
        <w:t>CALDEIRA &amp; MOTA,2008)</w:t>
      </w:r>
    </w:p>
    <w:p w:rsidR="00E334EA" w:rsidRDefault="00E334EA" w:rsidP="00877854">
      <w:pPr>
        <w:spacing w:line="360" w:lineRule="auto"/>
        <w:ind w:firstLine="1134"/>
        <w:jc w:val="both"/>
      </w:pPr>
      <w:r w:rsidRPr="00A508A9">
        <w:lastRenderedPageBreak/>
        <w:t>O processo de produção de ésteres etílicos não é tão simples quanto à dos ésteres metílicos, com relação à separação das fases biodiesel e glicerina. Esse processo consiste em misturar o óleo de babaçu clarificado com etanol e o hidróxido de potássio solubilizado, agitar constantemente por 1 h (</w:t>
      </w:r>
      <w:r w:rsidRPr="00A508A9">
        <w:rPr>
          <w:color w:val="000000"/>
        </w:rPr>
        <w:t>Figura 7b)</w:t>
      </w:r>
      <w:r w:rsidRPr="00A508A9">
        <w:t xml:space="preserve"> e transferir para um funil de separação para observar a separação das fases biodiesel/glicerina </w:t>
      </w:r>
      <w:r w:rsidRPr="00A508A9">
        <w:rPr>
          <w:color w:val="000000"/>
        </w:rPr>
        <w:t>(Figura 7c).</w:t>
      </w:r>
      <w:r w:rsidRPr="00A508A9">
        <w:t xml:space="preserve"> A função da glicerina pura, da água destilada e da glicerina bruta retirada no processo de separação é deslocar a reação no sentido dos produtos, ou seja, para produção de biodiesel e obtenção do menor teor de glicerina livre no biodiesel. As duas fases obtidas, biodiesel e glicerina, possuem densidades bem distintas podendo assim ser separadas facilmente através de uma simples decantação (figura 7d). A fase mais densa, isto é, a glicerina arrasta consigo a maior parte do etanol em excesso e o hidróxido de potássio. Após a separação das duas fases biodiesel/glicerina, efetuou-se a destilação a vácuo de ambos separadamente para retirar o etanol em excesso do biodiesel e da glicerina e transfere-se novamente para o funil de separação onde permanecerão em repouso por 12 horas </w:t>
      </w:r>
      <w:r w:rsidRPr="00A508A9">
        <w:rPr>
          <w:color w:val="000000"/>
        </w:rPr>
        <w:t>(Figura 7e).</w:t>
      </w:r>
      <w:r w:rsidRPr="00A508A9">
        <w:t xml:space="preserve"> Observou-se que a quantidade de etanol presente na fase de glicerina é superior.</w:t>
      </w:r>
    </w:p>
    <w:p w:rsidR="00AB5252" w:rsidRPr="00A508A9" w:rsidRDefault="00E334EA">
      <w:r w:rsidRPr="00A508A9">
        <w:drawing>
          <wp:inline distT="0" distB="0" distL="0" distR="0" wp14:anchorId="52A40D78" wp14:editId="7AA59CE4">
            <wp:extent cx="5391150" cy="2846928"/>
            <wp:effectExtent l="0" t="0" r="0" b="0"/>
            <wp:docPr id="3" name="Imagem 3" descr="image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m4"/>
                    <pic:cNvPicPr>
                      <a:picLocks noChangeAspect="1" noChangeArrowheads="1"/>
                    </pic:cNvPicPr>
                  </pic:nvPicPr>
                  <pic:blipFill>
                    <a:blip r:embed="rId9">
                      <a:extLst>
                        <a:ext uri="{28A0092B-C50C-407E-A947-70E740481C1C}">
                          <a14:useLocalDpi xmlns:a14="http://schemas.microsoft.com/office/drawing/2010/main" val="0"/>
                        </a:ext>
                      </a:extLst>
                    </a:blip>
                    <a:srcRect b="35020"/>
                    <a:stretch>
                      <a:fillRect/>
                    </a:stretch>
                  </pic:blipFill>
                  <pic:spPr bwMode="auto">
                    <a:xfrm>
                      <a:off x="0" y="0"/>
                      <a:ext cx="5400040" cy="2851623"/>
                    </a:xfrm>
                    <a:prstGeom prst="rect">
                      <a:avLst/>
                    </a:prstGeom>
                    <a:noFill/>
                    <a:ln>
                      <a:noFill/>
                    </a:ln>
                  </pic:spPr>
                </pic:pic>
              </a:graphicData>
            </a:graphic>
          </wp:inline>
        </w:drawing>
      </w:r>
    </w:p>
    <w:p w:rsidR="00E334EA" w:rsidRPr="00A508A9" w:rsidRDefault="00E334EA" w:rsidP="00E334EA">
      <w:pPr>
        <w:ind w:firstLine="720"/>
        <w:rPr>
          <w:b/>
          <w:bCs/>
          <w:color w:val="000000"/>
          <w:sz w:val="20"/>
          <w:szCs w:val="20"/>
        </w:rPr>
      </w:pPr>
      <w:bookmarkStart w:id="5" w:name="_Toc220322594"/>
      <w:r w:rsidRPr="00A508A9">
        <w:rPr>
          <w:b/>
          <w:bCs/>
          <w:sz w:val="20"/>
          <w:szCs w:val="20"/>
        </w:rPr>
        <w:t xml:space="preserve">Figura </w:t>
      </w:r>
      <w:r w:rsidRPr="00A508A9">
        <w:rPr>
          <w:b/>
          <w:bCs/>
          <w:sz w:val="20"/>
          <w:szCs w:val="20"/>
        </w:rPr>
        <w:fldChar w:fldCharType="begin"/>
      </w:r>
      <w:r w:rsidRPr="00A508A9">
        <w:rPr>
          <w:b/>
          <w:bCs/>
          <w:sz w:val="20"/>
          <w:szCs w:val="20"/>
        </w:rPr>
        <w:instrText xml:space="preserve"> SEQ Figura \* ARABIC </w:instrText>
      </w:r>
      <w:r w:rsidRPr="00A508A9">
        <w:rPr>
          <w:b/>
          <w:bCs/>
          <w:sz w:val="20"/>
          <w:szCs w:val="20"/>
        </w:rPr>
        <w:fldChar w:fldCharType="separate"/>
      </w:r>
      <w:r w:rsidRPr="00A508A9">
        <w:rPr>
          <w:b/>
          <w:bCs/>
          <w:sz w:val="20"/>
          <w:szCs w:val="20"/>
        </w:rPr>
        <w:t>7</w:t>
      </w:r>
      <w:r w:rsidRPr="00A508A9">
        <w:rPr>
          <w:b/>
          <w:bCs/>
          <w:sz w:val="20"/>
          <w:szCs w:val="20"/>
        </w:rPr>
        <w:fldChar w:fldCharType="end"/>
      </w:r>
      <w:r w:rsidRPr="00A508A9">
        <w:rPr>
          <w:bCs/>
          <w:color w:val="000000"/>
          <w:sz w:val="20"/>
          <w:szCs w:val="20"/>
        </w:rPr>
        <w:t xml:space="preserve"> - Etapas de produção do biodiesel etilico de babaçu</w:t>
      </w:r>
      <w:bookmarkEnd w:id="5"/>
    </w:p>
    <w:p w:rsidR="00E334EA" w:rsidRPr="00A508A9" w:rsidRDefault="00E334EA" w:rsidP="00E334EA">
      <w:pPr>
        <w:spacing w:line="360" w:lineRule="auto"/>
        <w:rPr>
          <w:sz w:val="20"/>
          <w:szCs w:val="20"/>
        </w:rPr>
      </w:pPr>
    </w:p>
    <w:p w:rsidR="00E334EA" w:rsidRPr="00A508A9" w:rsidRDefault="00F634A8" w:rsidP="00E334EA">
      <w:pPr>
        <w:keepNext/>
        <w:spacing w:line="360" w:lineRule="auto"/>
        <w:outlineLvl w:val="1"/>
        <w:rPr>
          <w:b/>
        </w:rPr>
      </w:pPr>
      <w:bookmarkStart w:id="6" w:name="_Toc220323255"/>
      <w:proofErr w:type="gramStart"/>
      <w:r w:rsidRPr="00A508A9">
        <w:rPr>
          <w:b/>
          <w:noProof w:val="0"/>
          <w:color w:val="000000"/>
        </w:rPr>
        <w:t>2.4</w:t>
      </w:r>
      <w:r w:rsidR="00E334EA" w:rsidRPr="00A508A9">
        <w:rPr>
          <w:b/>
          <w:noProof w:val="0"/>
          <w:color w:val="000000"/>
        </w:rPr>
        <w:t xml:space="preserve"> </w:t>
      </w:r>
      <w:bookmarkStart w:id="7" w:name="_Toc195069505"/>
      <w:r w:rsidR="00E334EA" w:rsidRPr="00A508A9">
        <w:rPr>
          <w:b/>
        </w:rPr>
        <w:t>Purificação</w:t>
      </w:r>
      <w:proofErr w:type="gramEnd"/>
      <w:r w:rsidR="00E334EA" w:rsidRPr="00A508A9">
        <w:rPr>
          <w:b/>
        </w:rPr>
        <w:t xml:space="preserve"> do Biodiesel Etílico de Babaçu com </w:t>
      </w:r>
      <w:bookmarkEnd w:id="7"/>
      <w:r w:rsidR="00E334EA" w:rsidRPr="00A508A9">
        <w:rPr>
          <w:b/>
        </w:rPr>
        <w:t>Silicato de magnésio</w:t>
      </w:r>
      <w:bookmarkEnd w:id="6"/>
    </w:p>
    <w:p w:rsidR="00E334EA" w:rsidRPr="00A508A9" w:rsidRDefault="00E334EA" w:rsidP="00E334EA">
      <w:pPr>
        <w:spacing w:line="360" w:lineRule="auto"/>
        <w:ind w:firstLine="1134"/>
        <w:jc w:val="both"/>
        <w:rPr>
          <w:color w:val="000000"/>
        </w:rPr>
      </w:pPr>
      <w:r w:rsidRPr="00A508A9">
        <w:rPr>
          <w:color w:val="000000"/>
        </w:rPr>
        <w:t xml:space="preserve">A metodologia envolve quatro etapas: a adição do Silicato de Magnésio em várias percentagens em relação à massa de ésteres etílicos para remoção de impurezas como sabões, glicerina, etanol e catalisador; agitação da mistura a temperatura determinanda (Figura 8(a)); filtração simples em papel de filtro  (Figura 8(b)); e </w:t>
      </w:r>
      <w:r w:rsidRPr="00A508A9">
        <w:rPr>
          <w:color w:val="000000"/>
        </w:rPr>
        <w:lastRenderedPageBreak/>
        <w:t xml:space="preserve">finalmente a filtração em um sistema de filtração adequado com papel de filtro especifico de diâmetro pequeno </w:t>
      </w:r>
      <w:r w:rsidRPr="00A508A9">
        <w:rPr>
          <w:color w:val="000000"/>
          <w:lang w:val="pt-PT"/>
        </w:rPr>
        <w:t xml:space="preserve">0,25 </w:t>
      </w:r>
      <w:r w:rsidRPr="00A508A9">
        <w:rPr>
          <w:color w:val="000000"/>
          <w:lang w:val="pt-PT"/>
        </w:rPr>
        <w:sym w:font="Symbol" w:char="F06D"/>
      </w:r>
      <w:r w:rsidRPr="00A508A9">
        <w:rPr>
          <w:color w:val="000000"/>
          <w:lang w:val="pt-PT"/>
        </w:rPr>
        <w:t>m</w:t>
      </w:r>
      <w:r w:rsidRPr="00A508A9">
        <w:rPr>
          <w:color w:val="000000"/>
        </w:rPr>
        <w:t xml:space="preserve"> para remoção total do Silicato de Magnésio adsorvido com as impurezas (Figura 8(c)).</w:t>
      </w:r>
    </w:p>
    <w:p w:rsidR="00E334EA" w:rsidRPr="00A508A9" w:rsidRDefault="00E334EA" w:rsidP="00E334EA">
      <w:pPr>
        <w:spacing w:line="360" w:lineRule="auto"/>
        <w:jc w:val="both"/>
      </w:pPr>
    </w:p>
    <w:p w:rsidR="00E334EA" w:rsidRPr="00A508A9" w:rsidRDefault="00E334EA" w:rsidP="00E334EA">
      <w:pPr>
        <w:spacing w:line="360" w:lineRule="auto"/>
        <w:jc w:val="both"/>
      </w:pPr>
      <w:r w:rsidRPr="00A508A9">
        <w:drawing>
          <wp:inline distT="0" distB="0" distL="0" distR="0" wp14:anchorId="3E80D109" wp14:editId="6EE029FF">
            <wp:extent cx="5857875" cy="1695450"/>
            <wp:effectExtent l="0" t="0" r="9525" b="0"/>
            <wp:docPr id="7" name="Imagem 7" descr="image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m4"/>
                    <pic:cNvPicPr>
                      <a:picLocks noChangeAspect="1" noChangeArrowheads="1"/>
                    </pic:cNvPicPr>
                  </pic:nvPicPr>
                  <pic:blipFill>
                    <a:blip r:embed="rId9">
                      <a:extLst>
                        <a:ext uri="{28A0092B-C50C-407E-A947-70E740481C1C}">
                          <a14:useLocalDpi xmlns:a14="http://schemas.microsoft.com/office/drawing/2010/main" val="0"/>
                        </a:ext>
                      </a:extLst>
                    </a:blip>
                    <a:srcRect t="64717" b="3389"/>
                    <a:stretch>
                      <a:fillRect/>
                    </a:stretch>
                  </pic:blipFill>
                  <pic:spPr bwMode="auto">
                    <a:xfrm>
                      <a:off x="0" y="0"/>
                      <a:ext cx="5857875" cy="1695450"/>
                    </a:xfrm>
                    <a:prstGeom prst="rect">
                      <a:avLst/>
                    </a:prstGeom>
                    <a:noFill/>
                    <a:ln>
                      <a:noFill/>
                    </a:ln>
                  </pic:spPr>
                </pic:pic>
              </a:graphicData>
            </a:graphic>
          </wp:inline>
        </w:drawing>
      </w:r>
    </w:p>
    <w:p w:rsidR="00E334EA" w:rsidRPr="00A508A9" w:rsidRDefault="00E334EA" w:rsidP="00E334EA">
      <w:pPr>
        <w:ind w:firstLine="1134"/>
        <w:jc w:val="both"/>
        <w:rPr>
          <w:sz w:val="20"/>
          <w:szCs w:val="20"/>
        </w:rPr>
      </w:pPr>
      <w:r w:rsidRPr="00A508A9">
        <w:rPr>
          <w:sz w:val="20"/>
          <w:szCs w:val="20"/>
        </w:rPr>
        <w:t>(a)                                                (b)                                            (c)</w:t>
      </w:r>
    </w:p>
    <w:p w:rsidR="00E334EA" w:rsidRPr="00A508A9" w:rsidRDefault="00E334EA" w:rsidP="00E334EA">
      <w:pPr>
        <w:ind w:right="-48"/>
        <w:jc w:val="both"/>
        <w:rPr>
          <w:bCs/>
          <w:sz w:val="20"/>
          <w:szCs w:val="20"/>
        </w:rPr>
      </w:pPr>
      <w:bookmarkStart w:id="8" w:name="_Toc220322595"/>
      <w:r w:rsidRPr="00A508A9">
        <w:rPr>
          <w:b/>
          <w:bCs/>
          <w:sz w:val="20"/>
          <w:szCs w:val="20"/>
        </w:rPr>
        <w:t xml:space="preserve">Figura </w:t>
      </w:r>
      <w:r w:rsidRPr="00A508A9">
        <w:rPr>
          <w:b/>
          <w:bCs/>
          <w:sz w:val="20"/>
          <w:szCs w:val="20"/>
        </w:rPr>
        <w:fldChar w:fldCharType="begin"/>
      </w:r>
      <w:r w:rsidRPr="00A508A9">
        <w:rPr>
          <w:b/>
          <w:bCs/>
          <w:sz w:val="20"/>
          <w:szCs w:val="20"/>
        </w:rPr>
        <w:instrText xml:space="preserve"> SEQ Figura \* ARABIC </w:instrText>
      </w:r>
      <w:r w:rsidRPr="00A508A9">
        <w:rPr>
          <w:b/>
          <w:bCs/>
          <w:sz w:val="20"/>
          <w:szCs w:val="20"/>
        </w:rPr>
        <w:fldChar w:fldCharType="separate"/>
      </w:r>
      <w:r w:rsidRPr="00A508A9">
        <w:rPr>
          <w:b/>
          <w:bCs/>
          <w:sz w:val="20"/>
          <w:szCs w:val="20"/>
        </w:rPr>
        <w:t>8</w:t>
      </w:r>
      <w:r w:rsidRPr="00A508A9">
        <w:rPr>
          <w:b/>
          <w:bCs/>
          <w:sz w:val="20"/>
          <w:szCs w:val="20"/>
        </w:rPr>
        <w:fldChar w:fldCharType="end"/>
      </w:r>
      <w:r w:rsidRPr="00A508A9">
        <w:rPr>
          <w:b/>
          <w:bCs/>
          <w:sz w:val="20"/>
          <w:szCs w:val="20"/>
        </w:rPr>
        <w:t xml:space="preserve"> - </w:t>
      </w:r>
      <w:r w:rsidRPr="00A508A9">
        <w:rPr>
          <w:bCs/>
          <w:sz w:val="20"/>
          <w:szCs w:val="20"/>
        </w:rPr>
        <w:t>Etapas de purificação do biodiesel etilico de babaçu com silicato de magnésio</w:t>
      </w:r>
      <w:bookmarkEnd w:id="8"/>
    </w:p>
    <w:p w:rsidR="00E334EA" w:rsidRPr="00A508A9" w:rsidRDefault="00E334EA" w:rsidP="00E334EA">
      <w:pPr>
        <w:spacing w:line="360" w:lineRule="auto"/>
        <w:jc w:val="both"/>
        <w:rPr>
          <w:sz w:val="20"/>
          <w:szCs w:val="20"/>
          <w:lang w:val="pt-PT"/>
        </w:rPr>
      </w:pPr>
    </w:p>
    <w:p w:rsidR="00E334EA" w:rsidRPr="00A508A9" w:rsidRDefault="00E334EA" w:rsidP="00E334EA">
      <w:pPr>
        <w:spacing w:line="360" w:lineRule="auto"/>
        <w:ind w:firstLine="1134"/>
        <w:jc w:val="both"/>
        <w:rPr>
          <w:lang w:val="pt-PT"/>
        </w:rPr>
      </w:pPr>
      <w:r w:rsidRPr="00A508A9">
        <w:rPr>
          <w:lang w:val="pt-PT"/>
        </w:rPr>
        <w:t>O método desenvolvido para a purificação do biodiesel utilizando o Silicato de Magnésio será comparado com o processo de purificação utilizando lavagem com água, através do controle de qualidade determinando o teor de glicerina, teor de álcool por cromatografia a gás, e o teor de sabões.</w:t>
      </w:r>
    </w:p>
    <w:p w:rsidR="00E334EA" w:rsidRPr="00A508A9" w:rsidRDefault="00E334EA" w:rsidP="00E334EA">
      <w:pPr>
        <w:spacing w:line="360" w:lineRule="auto"/>
        <w:ind w:firstLine="1134"/>
        <w:jc w:val="both"/>
        <w:rPr>
          <w:lang w:val="pt-PT"/>
        </w:rPr>
      </w:pPr>
      <w:r w:rsidRPr="00A508A9">
        <w:rPr>
          <w:lang w:val="pt-PT"/>
        </w:rPr>
        <w:t>Com o término do processo de purificação através da lavagem com água foi realizada uma nova batelada de reações de transesterificação, com o objetivo de iniciar um novo tipo de purificação, através do uso de adsorvente. Este método de purificação consiste em não produzir efluentes, em substituição do processo de lavagem com água que gera uma quantidade muito grande desses efluentes, que não tratados podem gerar impacto ambiental. Então foi feito um planejamento fatorial para iniciar a purificação com o adsorvente, que consistiu nas seguintes variáveis (Tabela 2).</w:t>
      </w:r>
    </w:p>
    <w:p w:rsidR="00E334EA" w:rsidRPr="00A508A9" w:rsidRDefault="00E334EA" w:rsidP="00E334EA">
      <w:pPr>
        <w:tabs>
          <w:tab w:val="left" w:pos="1800"/>
        </w:tabs>
        <w:spacing w:line="360" w:lineRule="auto"/>
        <w:jc w:val="both"/>
        <w:rPr>
          <w:b/>
          <w:bCs/>
          <w:color w:val="000000"/>
        </w:rPr>
      </w:pPr>
    </w:p>
    <w:p w:rsidR="00E334EA" w:rsidRPr="00A508A9" w:rsidRDefault="00E334EA" w:rsidP="00E334EA">
      <w:pPr>
        <w:rPr>
          <w:bCs/>
        </w:rPr>
      </w:pPr>
      <w:bookmarkStart w:id="9" w:name="_Toc220322618"/>
      <w:r w:rsidRPr="00A508A9">
        <w:rPr>
          <w:b/>
          <w:bCs/>
        </w:rPr>
        <w:t xml:space="preserve">Tabela </w:t>
      </w:r>
      <w:r w:rsidRPr="00A508A9">
        <w:rPr>
          <w:b/>
          <w:bCs/>
        </w:rPr>
        <w:fldChar w:fldCharType="begin"/>
      </w:r>
      <w:r w:rsidRPr="00A508A9">
        <w:rPr>
          <w:b/>
          <w:bCs/>
        </w:rPr>
        <w:instrText xml:space="preserve"> SEQ Tabela \* ARABIC </w:instrText>
      </w:r>
      <w:r w:rsidRPr="00A508A9">
        <w:rPr>
          <w:b/>
          <w:bCs/>
        </w:rPr>
        <w:fldChar w:fldCharType="separate"/>
      </w:r>
      <w:r w:rsidRPr="00A508A9">
        <w:rPr>
          <w:b/>
          <w:bCs/>
        </w:rPr>
        <w:t>2</w:t>
      </w:r>
      <w:r w:rsidRPr="00A508A9">
        <w:rPr>
          <w:b/>
          <w:bCs/>
        </w:rPr>
        <w:fldChar w:fldCharType="end"/>
      </w:r>
      <w:r w:rsidRPr="00A508A9">
        <w:rPr>
          <w:bCs/>
        </w:rPr>
        <w:t xml:space="preserve"> - Planejamento fatorial2</w:t>
      </w:r>
      <w:r w:rsidRPr="00A508A9">
        <w:rPr>
          <w:bCs/>
          <w:vertAlign w:val="superscript"/>
        </w:rPr>
        <w:t>3</w:t>
      </w:r>
      <w:r w:rsidRPr="00A508A9">
        <w:rPr>
          <w:bCs/>
        </w:rPr>
        <w:t xml:space="preserve"> para purificação do BEB</w:t>
      </w:r>
      <w:bookmarkEnd w:id="9"/>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246"/>
        <w:gridCol w:w="1022"/>
        <w:gridCol w:w="1417"/>
        <w:gridCol w:w="1276"/>
        <w:gridCol w:w="1417"/>
      </w:tblGrid>
      <w:tr w:rsidR="00E334EA" w:rsidRPr="00A508A9" w:rsidTr="00097E25">
        <w:tc>
          <w:tcPr>
            <w:tcW w:w="2802" w:type="dxa"/>
            <w:tcBorders>
              <w:left w:val="nil"/>
              <w:bottom w:val="single" w:sz="4" w:space="0" w:color="auto"/>
              <w:right w:val="nil"/>
            </w:tcBorders>
            <w:vAlign w:val="center"/>
          </w:tcPr>
          <w:p w:rsidR="00E334EA" w:rsidRPr="00A508A9" w:rsidRDefault="00E334EA" w:rsidP="00E334EA">
            <w:pPr>
              <w:jc w:val="center"/>
              <w:rPr>
                <w:b/>
              </w:rPr>
            </w:pPr>
            <w:r w:rsidRPr="00A508A9">
              <w:rPr>
                <w:b/>
              </w:rPr>
              <w:t>Variável</w:t>
            </w:r>
          </w:p>
        </w:tc>
        <w:tc>
          <w:tcPr>
            <w:tcW w:w="1246" w:type="dxa"/>
            <w:tcBorders>
              <w:left w:val="nil"/>
              <w:bottom w:val="single" w:sz="4" w:space="0" w:color="auto"/>
              <w:right w:val="nil"/>
            </w:tcBorders>
            <w:vAlign w:val="center"/>
          </w:tcPr>
          <w:p w:rsidR="00E334EA" w:rsidRPr="00A508A9" w:rsidRDefault="00E334EA" w:rsidP="00E334EA">
            <w:pPr>
              <w:jc w:val="center"/>
              <w:rPr>
                <w:b/>
              </w:rPr>
            </w:pPr>
            <w:r w:rsidRPr="00A508A9">
              <w:rPr>
                <w:b/>
              </w:rPr>
              <w:t xml:space="preserve">Nível </w:t>
            </w:r>
          </w:p>
          <w:p w:rsidR="00E334EA" w:rsidRPr="00A508A9" w:rsidRDefault="00E334EA" w:rsidP="00E334EA">
            <w:pPr>
              <w:jc w:val="center"/>
              <w:rPr>
                <w:b/>
              </w:rPr>
            </w:pPr>
            <w:r w:rsidRPr="00A508A9">
              <w:rPr>
                <w:b/>
              </w:rPr>
              <w:t>(- 1,68)</w:t>
            </w:r>
          </w:p>
        </w:tc>
        <w:tc>
          <w:tcPr>
            <w:tcW w:w="1022" w:type="dxa"/>
            <w:tcBorders>
              <w:left w:val="nil"/>
              <w:bottom w:val="single" w:sz="4" w:space="0" w:color="auto"/>
              <w:right w:val="nil"/>
            </w:tcBorders>
            <w:vAlign w:val="center"/>
          </w:tcPr>
          <w:p w:rsidR="00E334EA" w:rsidRPr="00A508A9" w:rsidRDefault="00E334EA" w:rsidP="00E334EA">
            <w:pPr>
              <w:jc w:val="center"/>
              <w:rPr>
                <w:b/>
              </w:rPr>
            </w:pPr>
            <w:r w:rsidRPr="00A508A9">
              <w:rPr>
                <w:b/>
              </w:rPr>
              <w:t xml:space="preserve">Nível </w:t>
            </w:r>
          </w:p>
          <w:p w:rsidR="00E334EA" w:rsidRPr="00A508A9" w:rsidRDefault="00E334EA" w:rsidP="00E334EA">
            <w:pPr>
              <w:jc w:val="center"/>
              <w:rPr>
                <w:b/>
              </w:rPr>
            </w:pPr>
            <w:r w:rsidRPr="00A508A9">
              <w:rPr>
                <w:b/>
              </w:rPr>
              <w:t>(- 1)</w:t>
            </w:r>
          </w:p>
        </w:tc>
        <w:tc>
          <w:tcPr>
            <w:tcW w:w="1417" w:type="dxa"/>
            <w:tcBorders>
              <w:left w:val="nil"/>
              <w:bottom w:val="single" w:sz="4" w:space="0" w:color="auto"/>
              <w:right w:val="nil"/>
            </w:tcBorders>
            <w:vAlign w:val="center"/>
          </w:tcPr>
          <w:p w:rsidR="00E334EA" w:rsidRPr="00A508A9" w:rsidRDefault="00E334EA" w:rsidP="00E334EA">
            <w:pPr>
              <w:jc w:val="center"/>
              <w:rPr>
                <w:b/>
              </w:rPr>
            </w:pPr>
            <w:r w:rsidRPr="00A508A9">
              <w:rPr>
                <w:b/>
              </w:rPr>
              <w:t xml:space="preserve">Ponto </w:t>
            </w:r>
          </w:p>
          <w:p w:rsidR="00E334EA" w:rsidRPr="00A508A9" w:rsidRDefault="00E334EA" w:rsidP="00E334EA">
            <w:pPr>
              <w:jc w:val="center"/>
              <w:rPr>
                <w:b/>
              </w:rPr>
            </w:pPr>
            <w:r w:rsidRPr="00A508A9">
              <w:rPr>
                <w:b/>
              </w:rPr>
              <w:t>Central (0)</w:t>
            </w:r>
          </w:p>
        </w:tc>
        <w:tc>
          <w:tcPr>
            <w:tcW w:w="1276" w:type="dxa"/>
            <w:tcBorders>
              <w:left w:val="nil"/>
              <w:bottom w:val="single" w:sz="4" w:space="0" w:color="auto"/>
              <w:right w:val="nil"/>
            </w:tcBorders>
            <w:vAlign w:val="center"/>
          </w:tcPr>
          <w:p w:rsidR="00E334EA" w:rsidRPr="00A508A9" w:rsidRDefault="00E334EA" w:rsidP="00E334EA">
            <w:pPr>
              <w:jc w:val="center"/>
              <w:rPr>
                <w:b/>
              </w:rPr>
            </w:pPr>
            <w:r w:rsidRPr="00A508A9">
              <w:rPr>
                <w:b/>
              </w:rPr>
              <w:t xml:space="preserve">Nível </w:t>
            </w:r>
          </w:p>
          <w:p w:rsidR="00E334EA" w:rsidRPr="00A508A9" w:rsidRDefault="00E334EA" w:rsidP="00E334EA">
            <w:pPr>
              <w:jc w:val="center"/>
              <w:rPr>
                <w:b/>
              </w:rPr>
            </w:pPr>
            <w:r w:rsidRPr="00A508A9">
              <w:rPr>
                <w:b/>
              </w:rPr>
              <w:t>(+ 1)</w:t>
            </w:r>
          </w:p>
        </w:tc>
        <w:tc>
          <w:tcPr>
            <w:tcW w:w="1417" w:type="dxa"/>
            <w:tcBorders>
              <w:left w:val="nil"/>
              <w:bottom w:val="single" w:sz="4" w:space="0" w:color="auto"/>
              <w:right w:val="nil"/>
            </w:tcBorders>
            <w:vAlign w:val="center"/>
          </w:tcPr>
          <w:p w:rsidR="00E334EA" w:rsidRPr="00A508A9" w:rsidRDefault="00E334EA" w:rsidP="00E334EA">
            <w:pPr>
              <w:jc w:val="center"/>
              <w:rPr>
                <w:b/>
              </w:rPr>
            </w:pPr>
            <w:r w:rsidRPr="00A508A9">
              <w:rPr>
                <w:b/>
              </w:rPr>
              <w:t xml:space="preserve">Nível </w:t>
            </w:r>
          </w:p>
          <w:p w:rsidR="00E334EA" w:rsidRPr="00A508A9" w:rsidRDefault="00E334EA" w:rsidP="00E334EA">
            <w:pPr>
              <w:jc w:val="center"/>
              <w:rPr>
                <w:b/>
              </w:rPr>
            </w:pPr>
            <w:r w:rsidRPr="00A508A9">
              <w:rPr>
                <w:b/>
              </w:rPr>
              <w:t>(+ 1,68)</w:t>
            </w:r>
          </w:p>
        </w:tc>
      </w:tr>
      <w:tr w:rsidR="00E334EA" w:rsidRPr="00A508A9" w:rsidTr="00097E25">
        <w:tc>
          <w:tcPr>
            <w:tcW w:w="2802" w:type="dxa"/>
            <w:tcBorders>
              <w:left w:val="nil"/>
              <w:bottom w:val="nil"/>
              <w:right w:val="nil"/>
            </w:tcBorders>
            <w:vAlign w:val="center"/>
          </w:tcPr>
          <w:p w:rsidR="00E334EA" w:rsidRPr="00A508A9" w:rsidRDefault="00E334EA" w:rsidP="00E334EA">
            <w:r w:rsidRPr="00A508A9">
              <w:t>Teor deSilicato de Magnésio (%)</w:t>
            </w:r>
          </w:p>
        </w:tc>
        <w:tc>
          <w:tcPr>
            <w:tcW w:w="1246" w:type="dxa"/>
            <w:tcBorders>
              <w:left w:val="nil"/>
              <w:bottom w:val="nil"/>
              <w:right w:val="nil"/>
            </w:tcBorders>
            <w:vAlign w:val="center"/>
          </w:tcPr>
          <w:p w:rsidR="00E334EA" w:rsidRPr="00A508A9" w:rsidRDefault="00E334EA" w:rsidP="00E334EA">
            <w:pPr>
              <w:jc w:val="center"/>
              <w:rPr>
                <w:lang w:val="es-ES"/>
              </w:rPr>
            </w:pPr>
            <w:r w:rsidRPr="00A508A9">
              <w:rPr>
                <w:lang w:val="es-ES"/>
              </w:rPr>
              <w:t>0,66</w:t>
            </w:r>
          </w:p>
        </w:tc>
        <w:tc>
          <w:tcPr>
            <w:tcW w:w="1022" w:type="dxa"/>
            <w:tcBorders>
              <w:left w:val="nil"/>
              <w:bottom w:val="nil"/>
              <w:right w:val="nil"/>
            </w:tcBorders>
            <w:vAlign w:val="center"/>
          </w:tcPr>
          <w:p w:rsidR="00E334EA" w:rsidRPr="00A508A9" w:rsidRDefault="00E334EA" w:rsidP="00E334EA">
            <w:pPr>
              <w:jc w:val="center"/>
              <w:rPr>
                <w:lang w:val="es-ES"/>
              </w:rPr>
            </w:pPr>
            <w:r w:rsidRPr="00A508A9">
              <w:rPr>
                <w:lang w:val="es-ES"/>
              </w:rPr>
              <w:t>1,0</w:t>
            </w:r>
          </w:p>
        </w:tc>
        <w:tc>
          <w:tcPr>
            <w:tcW w:w="1417" w:type="dxa"/>
            <w:tcBorders>
              <w:left w:val="nil"/>
              <w:bottom w:val="nil"/>
              <w:right w:val="nil"/>
            </w:tcBorders>
            <w:vAlign w:val="center"/>
          </w:tcPr>
          <w:p w:rsidR="00E334EA" w:rsidRPr="00A508A9" w:rsidRDefault="00E334EA" w:rsidP="00E334EA">
            <w:pPr>
              <w:jc w:val="center"/>
            </w:pPr>
            <w:r w:rsidRPr="00A508A9">
              <w:t>1,5</w:t>
            </w:r>
          </w:p>
        </w:tc>
        <w:tc>
          <w:tcPr>
            <w:tcW w:w="1276" w:type="dxa"/>
            <w:tcBorders>
              <w:left w:val="nil"/>
              <w:bottom w:val="nil"/>
              <w:right w:val="nil"/>
            </w:tcBorders>
            <w:vAlign w:val="center"/>
          </w:tcPr>
          <w:p w:rsidR="00E334EA" w:rsidRPr="00A508A9" w:rsidRDefault="00E334EA" w:rsidP="00E334EA">
            <w:pPr>
              <w:jc w:val="center"/>
            </w:pPr>
            <w:r w:rsidRPr="00A508A9">
              <w:t>2,0</w:t>
            </w:r>
          </w:p>
        </w:tc>
        <w:tc>
          <w:tcPr>
            <w:tcW w:w="1417" w:type="dxa"/>
            <w:tcBorders>
              <w:left w:val="nil"/>
              <w:bottom w:val="nil"/>
              <w:right w:val="nil"/>
            </w:tcBorders>
            <w:vAlign w:val="center"/>
          </w:tcPr>
          <w:p w:rsidR="00E334EA" w:rsidRPr="00A508A9" w:rsidRDefault="00E334EA" w:rsidP="00E334EA">
            <w:pPr>
              <w:jc w:val="center"/>
            </w:pPr>
            <w:r w:rsidRPr="00A508A9">
              <w:t>2,34</w:t>
            </w:r>
          </w:p>
        </w:tc>
      </w:tr>
      <w:tr w:rsidR="00E334EA" w:rsidRPr="00A508A9" w:rsidTr="00097E25">
        <w:tc>
          <w:tcPr>
            <w:tcW w:w="2802" w:type="dxa"/>
            <w:tcBorders>
              <w:top w:val="nil"/>
              <w:left w:val="nil"/>
              <w:bottom w:val="nil"/>
              <w:right w:val="nil"/>
            </w:tcBorders>
            <w:vAlign w:val="center"/>
          </w:tcPr>
          <w:p w:rsidR="00E334EA" w:rsidRPr="00A508A9" w:rsidRDefault="00E334EA" w:rsidP="00E334EA">
            <w:r w:rsidRPr="00A508A9">
              <w:t>Temperatura (ºC)</w:t>
            </w:r>
          </w:p>
        </w:tc>
        <w:tc>
          <w:tcPr>
            <w:tcW w:w="1246" w:type="dxa"/>
            <w:tcBorders>
              <w:top w:val="nil"/>
              <w:left w:val="nil"/>
              <w:bottom w:val="nil"/>
              <w:right w:val="nil"/>
            </w:tcBorders>
            <w:vAlign w:val="center"/>
          </w:tcPr>
          <w:p w:rsidR="00E334EA" w:rsidRPr="00A508A9" w:rsidRDefault="00E334EA" w:rsidP="00E334EA">
            <w:pPr>
              <w:jc w:val="center"/>
            </w:pPr>
            <w:r w:rsidRPr="00A508A9">
              <w:t>43,18</w:t>
            </w:r>
          </w:p>
        </w:tc>
        <w:tc>
          <w:tcPr>
            <w:tcW w:w="1022" w:type="dxa"/>
            <w:tcBorders>
              <w:top w:val="nil"/>
              <w:left w:val="nil"/>
              <w:bottom w:val="nil"/>
              <w:right w:val="nil"/>
            </w:tcBorders>
            <w:vAlign w:val="center"/>
          </w:tcPr>
          <w:p w:rsidR="00E334EA" w:rsidRPr="00A508A9" w:rsidRDefault="00E334EA" w:rsidP="00E334EA">
            <w:pPr>
              <w:jc w:val="center"/>
            </w:pPr>
            <w:r w:rsidRPr="00A508A9">
              <w:t>50</w:t>
            </w:r>
          </w:p>
        </w:tc>
        <w:tc>
          <w:tcPr>
            <w:tcW w:w="1417" w:type="dxa"/>
            <w:tcBorders>
              <w:top w:val="nil"/>
              <w:left w:val="nil"/>
              <w:bottom w:val="nil"/>
              <w:right w:val="nil"/>
            </w:tcBorders>
            <w:vAlign w:val="center"/>
          </w:tcPr>
          <w:p w:rsidR="00E334EA" w:rsidRPr="00A508A9" w:rsidRDefault="00E334EA" w:rsidP="00E334EA">
            <w:pPr>
              <w:jc w:val="center"/>
            </w:pPr>
            <w:r w:rsidRPr="00A508A9">
              <w:t>60</w:t>
            </w:r>
          </w:p>
        </w:tc>
        <w:tc>
          <w:tcPr>
            <w:tcW w:w="1276" w:type="dxa"/>
            <w:tcBorders>
              <w:top w:val="nil"/>
              <w:left w:val="nil"/>
              <w:bottom w:val="nil"/>
              <w:right w:val="nil"/>
            </w:tcBorders>
            <w:vAlign w:val="center"/>
          </w:tcPr>
          <w:p w:rsidR="00E334EA" w:rsidRPr="00A508A9" w:rsidRDefault="00E334EA" w:rsidP="00E334EA">
            <w:pPr>
              <w:jc w:val="center"/>
            </w:pPr>
            <w:r w:rsidRPr="00A508A9">
              <w:t>70</w:t>
            </w:r>
          </w:p>
        </w:tc>
        <w:tc>
          <w:tcPr>
            <w:tcW w:w="1417" w:type="dxa"/>
            <w:tcBorders>
              <w:top w:val="nil"/>
              <w:left w:val="nil"/>
              <w:bottom w:val="nil"/>
              <w:right w:val="nil"/>
            </w:tcBorders>
            <w:vAlign w:val="center"/>
          </w:tcPr>
          <w:p w:rsidR="00E334EA" w:rsidRPr="00A508A9" w:rsidRDefault="00E334EA" w:rsidP="00E334EA">
            <w:pPr>
              <w:jc w:val="center"/>
            </w:pPr>
            <w:r w:rsidRPr="00A508A9">
              <w:t>76,82</w:t>
            </w:r>
          </w:p>
        </w:tc>
      </w:tr>
      <w:tr w:rsidR="00E334EA" w:rsidRPr="00A508A9" w:rsidTr="00A508A9">
        <w:trPr>
          <w:trHeight w:val="80"/>
        </w:trPr>
        <w:tc>
          <w:tcPr>
            <w:tcW w:w="2802" w:type="dxa"/>
            <w:tcBorders>
              <w:top w:val="nil"/>
              <w:left w:val="nil"/>
              <w:right w:val="nil"/>
            </w:tcBorders>
            <w:vAlign w:val="center"/>
          </w:tcPr>
          <w:p w:rsidR="00E334EA" w:rsidRPr="00A508A9" w:rsidRDefault="00E334EA" w:rsidP="00E334EA">
            <w:r w:rsidRPr="00A508A9">
              <w:t>Tempo (min)</w:t>
            </w:r>
          </w:p>
        </w:tc>
        <w:tc>
          <w:tcPr>
            <w:tcW w:w="1246" w:type="dxa"/>
            <w:tcBorders>
              <w:top w:val="nil"/>
              <w:left w:val="nil"/>
              <w:right w:val="nil"/>
            </w:tcBorders>
            <w:vAlign w:val="center"/>
          </w:tcPr>
          <w:p w:rsidR="00E334EA" w:rsidRPr="00A508A9" w:rsidRDefault="00E334EA" w:rsidP="00E334EA">
            <w:pPr>
              <w:jc w:val="center"/>
            </w:pPr>
            <w:r w:rsidRPr="00A508A9">
              <w:t>39,55</w:t>
            </w:r>
          </w:p>
        </w:tc>
        <w:tc>
          <w:tcPr>
            <w:tcW w:w="1022" w:type="dxa"/>
            <w:tcBorders>
              <w:top w:val="nil"/>
              <w:left w:val="nil"/>
              <w:right w:val="nil"/>
            </w:tcBorders>
            <w:vAlign w:val="center"/>
          </w:tcPr>
          <w:p w:rsidR="00E334EA" w:rsidRPr="00A508A9" w:rsidRDefault="00E334EA" w:rsidP="00E334EA">
            <w:pPr>
              <w:jc w:val="center"/>
            </w:pPr>
            <w:r w:rsidRPr="00A508A9">
              <w:t>60</w:t>
            </w:r>
          </w:p>
        </w:tc>
        <w:tc>
          <w:tcPr>
            <w:tcW w:w="1417" w:type="dxa"/>
            <w:tcBorders>
              <w:top w:val="nil"/>
              <w:left w:val="nil"/>
              <w:right w:val="nil"/>
            </w:tcBorders>
            <w:vAlign w:val="center"/>
          </w:tcPr>
          <w:p w:rsidR="00E334EA" w:rsidRPr="00A508A9" w:rsidRDefault="00E334EA" w:rsidP="00E334EA">
            <w:pPr>
              <w:jc w:val="center"/>
            </w:pPr>
            <w:r w:rsidRPr="00A508A9">
              <w:t>90</w:t>
            </w:r>
          </w:p>
        </w:tc>
        <w:tc>
          <w:tcPr>
            <w:tcW w:w="1276" w:type="dxa"/>
            <w:tcBorders>
              <w:top w:val="nil"/>
              <w:left w:val="nil"/>
              <w:right w:val="nil"/>
            </w:tcBorders>
            <w:vAlign w:val="center"/>
          </w:tcPr>
          <w:p w:rsidR="00E334EA" w:rsidRPr="00A508A9" w:rsidRDefault="00E334EA" w:rsidP="00E334EA">
            <w:pPr>
              <w:jc w:val="center"/>
            </w:pPr>
            <w:r w:rsidRPr="00A508A9">
              <w:t>120</w:t>
            </w:r>
          </w:p>
        </w:tc>
        <w:tc>
          <w:tcPr>
            <w:tcW w:w="1417" w:type="dxa"/>
            <w:tcBorders>
              <w:top w:val="nil"/>
              <w:left w:val="nil"/>
              <w:right w:val="nil"/>
            </w:tcBorders>
            <w:vAlign w:val="center"/>
          </w:tcPr>
          <w:p w:rsidR="00E334EA" w:rsidRPr="00A508A9" w:rsidRDefault="00E334EA" w:rsidP="00E334EA">
            <w:pPr>
              <w:jc w:val="center"/>
            </w:pPr>
            <w:r w:rsidRPr="00A508A9">
              <w:t>140,45</w:t>
            </w:r>
          </w:p>
        </w:tc>
      </w:tr>
    </w:tbl>
    <w:p w:rsidR="00E334EA" w:rsidRPr="00A508A9" w:rsidRDefault="00E334EA" w:rsidP="00877854">
      <w:pPr>
        <w:tabs>
          <w:tab w:val="left" w:pos="1800"/>
        </w:tabs>
        <w:spacing w:line="360" w:lineRule="auto"/>
        <w:rPr>
          <w:bCs/>
          <w:color w:val="000000"/>
        </w:rPr>
      </w:pPr>
    </w:p>
    <w:p w:rsidR="00E334EA" w:rsidRPr="00A508A9" w:rsidRDefault="00E334EA" w:rsidP="00877854">
      <w:pPr>
        <w:spacing w:line="360" w:lineRule="auto"/>
        <w:jc w:val="both"/>
        <w:rPr>
          <w:lang w:val="pt-PT"/>
        </w:rPr>
      </w:pPr>
      <w:r w:rsidRPr="00A508A9">
        <w:t xml:space="preserve">Após ás 12 h de decantação decorrente da destilação iniciou-se a purificação do biodiesel utilizando </w:t>
      </w:r>
      <w:r w:rsidRPr="00A508A9">
        <w:rPr>
          <w:lang w:val="pt-PT"/>
        </w:rPr>
        <w:t xml:space="preserve">com o </w:t>
      </w:r>
      <w:r w:rsidRPr="00A508A9">
        <w:t>Silicato de Magnésio</w:t>
      </w:r>
      <w:r w:rsidRPr="00A508A9">
        <w:rPr>
          <w:vertAlign w:val="superscript"/>
        </w:rPr>
        <w:t xml:space="preserve"> </w:t>
      </w:r>
      <w:r w:rsidRPr="00A508A9">
        <w:rPr>
          <w:lang w:val="pt-PT"/>
        </w:rPr>
        <w:t xml:space="preserve">da seguinte forma: certificou-se que a reação de transesterificação foi completa; separou-se as fases etil éster / glicerol. </w:t>
      </w:r>
      <w:r w:rsidRPr="00A508A9">
        <w:rPr>
          <w:lang w:val="pt-PT"/>
        </w:rPr>
        <w:lastRenderedPageBreak/>
        <w:t xml:space="preserve">Removeu-se o excesso de álcool e glicerol por destilação seguida da decantação; Adicionou-se </w:t>
      </w:r>
      <w:r w:rsidRPr="00A508A9">
        <w:t>0,66 % a 2,34 % Silicato de Magnésio,</w:t>
      </w:r>
      <w:r w:rsidRPr="00A508A9">
        <w:rPr>
          <w:lang w:val="pt-PT"/>
        </w:rPr>
        <w:t xml:space="preserve"> por </w:t>
      </w:r>
      <w:smartTag w:uri="urn:schemas-microsoft-com:office:smarttags" w:element="metricconverter">
        <w:smartTagPr>
          <w:attr w:name="ProductID" w:val="50 g"/>
        </w:smartTagPr>
        <w:r w:rsidRPr="00A508A9">
          <w:rPr>
            <w:lang w:val="pt-PT"/>
          </w:rPr>
          <w:t>50 g</w:t>
        </w:r>
      </w:smartTag>
      <w:r w:rsidRPr="00A508A9">
        <w:rPr>
          <w:lang w:val="pt-PT"/>
        </w:rPr>
        <w:t xml:space="preserve"> de etil éster a ser purificado a uma temperatura entre </w:t>
      </w:r>
      <w:smartTag w:uri="urn:schemas-microsoft-com:office:smarttags" w:element="metricconverter">
        <w:smartTagPr>
          <w:attr w:name="ProductID" w:val="43,18 a"/>
        </w:smartTagPr>
        <w:r w:rsidRPr="00A508A9">
          <w:t>43,18 a</w:t>
        </w:r>
      </w:smartTag>
      <w:r w:rsidRPr="00A508A9">
        <w:t xml:space="preserve"> 76,82 ºC</w:t>
      </w:r>
      <w:r w:rsidRPr="00A508A9">
        <w:rPr>
          <w:lang w:val="pt-PT"/>
        </w:rPr>
        <w:t xml:space="preserve">; Misturou-se durante </w:t>
      </w:r>
      <w:smartTag w:uri="urn:schemas-microsoft-com:office:smarttags" w:element="metricconverter">
        <w:smartTagPr>
          <w:attr w:name="ProductID" w:val="39,55 a"/>
        </w:smartTagPr>
        <w:r w:rsidRPr="00A508A9">
          <w:t>39,55 a</w:t>
        </w:r>
      </w:smartTag>
      <w:r w:rsidRPr="00A508A9">
        <w:t xml:space="preserve"> 140,45 </w:t>
      </w:r>
      <w:r w:rsidRPr="00A508A9">
        <w:rPr>
          <w:lang w:val="pt-PT"/>
        </w:rPr>
        <w:t xml:space="preserve"> minutos; efetuou-se uma filtração à vácuo através de um papel filtro de 90 mm seguido de filtração em membrana filtrante de 0,25 </w:t>
      </w:r>
      <w:r w:rsidRPr="00A508A9">
        <w:rPr>
          <w:lang w:val="pt-PT"/>
        </w:rPr>
        <w:sym w:font="Symbol" w:char="F06D"/>
      </w:r>
      <w:r w:rsidRPr="00A508A9">
        <w:rPr>
          <w:lang w:val="pt-PT"/>
        </w:rPr>
        <w:t>m de diâmetro de poros até clarificar o biodiesel. Após o processo de purificação efetuou-se as leituras de condutividade,capacitância</w:t>
      </w:r>
      <w:r w:rsidR="00097E25" w:rsidRPr="00A508A9">
        <w:rPr>
          <w:lang w:val="pt-PT"/>
        </w:rPr>
        <w:t>.</w:t>
      </w:r>
    </w:p>
    <w:p w:rsidR="00E334EA" w:rsidRPr="00A508A9" w:rsidRDefault="00E334EA" w:rsidP="00E334EA">
      <w:pPr>
        <w:jc w:val="both"/>
      </w:pPr>
    </w:p>
    <w:p w:rsidR="00097E25" w:rsidRPr="00A508A9" w:rsidRDefault="00F634A8" w:rsidP="00097E25">
      <w:pPr>
        <w:keepNext/>
        <w:spacing w:line="360" w:lineRule="auto"/>
        <w:outlineLvl w:val="1"/>
        <w:rPr>
          <w:b/>
        </w:rPr>
      </w:pPr>
      <w:bookmarkStart w:id="10" w:name="_Toc220323256"/>
      <w:r w:rsidRPr="00A508A9">
        <w:rPr>
          <w:b/>
          <w:noProof w:val="0"/>
          <w:color w:val="000000"/>
        </w:rPr>
        <w:t>2.5</w:t>
      </w:r>
      <w:r w:rsidR="00097E25" w:rsidRPr="00A508A9">
        <w:rPr>
          <w:b/>
          <w:noProof w:val="0"/>
          <w:color w:val="000000"/>
        </w:rPr>
        <w:t xml:space="preserve"> </w:t>
      </w:r>
      <w:r w:rsidR="00097E25" w:rsidRPr="00A508A9">
        <w:rPr>
          <w:b/>
        </w:rPr>
        <w:t>Capacitância</w:t>
      </w:r>
      <w:bookmarkEnd w:id="10"/>
    </w:p>
    <w:p w:rsidR="00097E25" w:rsidRPr="00A508A9" w:rsidRDefault="00097E25" w:rsidP="00097E25">
      <w:pPr>
        <w:autoSpaceDE w:val="0"/>
        <w:autoSpaceDN w:val="0"/>
        <w:adjustRightInd w:val="0"/>
        <w:spacing w:line="360" w:lineRule="auto"/>
        <w:ind w:firstLine="1134"/>
        <w:jc w:val="both"/>
        <w:rPr>
          <w:noProof w:val="0"/>
        </w:rPr>
      </w:pPr>
      <w:r w:rsidRPr="00A508A9">
        <w:rPr>
          <w:noProof w:val="0"/>
        </w:rPr>
        <w:t xml:space="preserve">Para as amostras disponíveis no laboratório do núcleo de biodiesel, </w:t>
      </w:r>
      <w:proofErr w:type="gramStart"/>
      <w:r w:rsidRPr="00A508A9">
        <w:rPr>
          <w:noProof w:val="0"/>
        </w:rPr>
        <w:t>obteve-se</w:t>
      </w:r>
      <w:proofErr w:type="gramEnd"/>
      <w:r w:rsidRPr="00A508A9">
        <w:rPr>
          <w:noProof w:val="0"/>
        </w:rPr>
        <w:t xml:space="preserve"> as medidas de capacitâncias após serem realizadas as purificações das amostras utilizando o planejamento fatorial 2</w:t>
      </w:r>
      <w:r w:rsidRPr="00A508A9">
        <w:rPr>
          <w:noProof w:val="0"/>
          <w:vertAlign w:val="superscript"/>
        </w:rPr>
        <w:t>3</w:t>
      </w:r>
      <w:r w:rsidRPr="00A508A9">
        <w:rPr>
          <w:noProof w:val="0"/>
        </w:rPr>
        <w:t xml:space="preserve"> utilizando com superfície de resposta o teor de silicato de magnésio, tempo de contato e temperatura. Para estas medidas foi importante que seguir os seguintes métodos, a temperatura ambiente, sala estivesse totalmente fechada e isenta de algum material que gerasse campo magnético à amostra. Antes de cada analise, fez-se o seguinte método, estabilizou-se o medidor de capacitância fazendo a leitura em sistema aberto e em seguida em sistema fechado e, antes de cada leitura feita com as amostras mediu-se o </w:t>
      </w:r>
      <w:proofErr w:type="spellStart"/>
      <w:r w:rsidRPr="00A508A9">
        <w:rPr>
          <w:noProof w:val="0"/>
        </w:rPr>
        <w:t>C</w:t>
      </w:r>
      <w:r w:rsidRPr="00A508A9">
        <w:rPr>
          <w:noProof w:val="0"/>
          <w:vertAlign w:val="subscript"/>
        </w:rPr>
        <w:t>o</w:t>
      </w:r>
      <w:proofErr w:type="spellEnd"/>
      <w:r w:rsidRPr="00A508A9">
        <w:rPr>
          <w:noProof w:val="0"/>
          <w:vertAlign w:val="subscript"/>
        </w:rPr>
        <w:t xml:space="preserve"> </w:t>
      </w:r>
      <w:r w:rsidRPr="00A508A9">
        <w:rPr>
          <w:noProof w:val="0"/>
        </w:rPr>
        <w:t>(capacitância inicial). Utilizou-se um capacitor cilíndrico para fazer as medidas de capacitância durante a experiência. Comparou-se os diversos resultados do biodiesel purificado com silicato de magnésio, com o biodiesel lavado com água e em seguida com o biodiesel bruto etílico d babaçu, em cada caso, o valor da capacitância teve um valor</w:t>
      </w:r>
      <w:r w:rsidRPr="00A508A9">
        <w:rPr>
          <w:i/>
          <w:iCs/>
          <w:noProof w:val="0"/>
        </w:rPr>
        <w:t xml:space="preserve"> </w:t>
      </w:r>
      <w:r w:rsidRPr="00A508A9">
        <w:rPr>
          <w:iCs/>
          <w:noProof w:val="0"/>
        </w:rPr>
        <w:t xml:space="preserve">variando de 93,231 </w:t>
      </w:r>
      <w:proofErr w:type="spellStart"/>
      <w:proofErr w:type="gramStart"/>
      <w:r w:rsidRPr="00A508A9">
        <w:rPr>
          <w:iCs/>
          <w:noProof w:val="0"/>
        </w:rPr>
        <w:t>pF</w:t>
      </w:r>
      <w:proofErr w:type="spellEnd"/>
      <w:proofErr w:type="gramEnd"/>
      <w:r w:rsidRPr="00A508A9">
        <w:rPr>
          <w:iCs/>
          <w:noProof w:val="0"/>
        </w:rPr>
        <w:t xml:space="preserve"> à 94,081pF de acordo com o teor de silicato de magnésio</w:t>
      </w:r>
      <w:r w:rsidRPr="00A508A9">
        <w:rPr>
          <w:noProof w:val="0"/>
        </w:rPr>
        <w:t>. As análises foram feitas em duplicatas e no mesmo dia para que obtivesse um resultado mais satisfatório já que a temperatura influenciava no capacitor.</w:t>
      </w:r>
    </w:p>
    <w:p w:rsidR="00097E25" w:rsidRPr="00A508A9" w:rsidRDefault="00097E25" w:rsidP="00097E25">
      <w:pPr>
        <w:autoSpaceDE w:val="0"/>
        <w:autoSpaceDN w:val="0"/>
        <w:adjustRightInd w:val="0"/>
        <w:spacing w:line="360" w:lineRule="auto"/>
        <w:ind w:firstLine="1134"/>
        <w:jc w:val="both"/>
      </w:pPr>
      <w:r w:rsidRPr="00A508A9">
        <w:t xml:space="preserve"> Para outra amostra purificada com silicato de magnésio, observou-se o comportamento da capacitância em função do teor de silicato de magnésio. </w:t>
      </w:r>
    </w:p>
    <w:p w:rsidR="00097E25" w:rsidRPr="00A508A9" w:rsidRDefault="00F634A8" w:rsidP="00097E25">
      <w:pPr>
        <w:keepNext/>
        <w:spacing w:line="360" w:lineRule="auto"/>
        <w:outlineLvl w:val="1"/>
        <w:rPr>
          <w:b/>
        </w:rPr>
      </w:pPr>
      <w:bookmarkStart w:id="11" w:name="_Toc220323257"/>
      <w:r w:rsidRPr="00A508A9">
        <w:rPr>
          <w:b/>
        </w:rPr>
        <w:t>2.5</w:t>
      </w:r>
      <w:r w:rsidR="00097E25" w:rsidRPr="00A508A9">
        <w:rPr>
          <w:b/>
        </w:rPr>
        <w:t xml:space="preserve"> Análises Físico-Químicas do Óleo de babaçu</w:t>
      </w:r>
      <w:bookmarkEnd w:id="11"/>
    </w:p>
    <w:p w:rsidR="00097E25" w:rsidRPr="00A508A9" w:rsidRDefault="00097E25" w:rsidP="00334ADD">
      <w:pPr>
        <w:spacing w:line="360" w:lineRule="auto"/>
        <w:ind w:firstLine="1134"/>
        <w:jc w:val="both"/>
      </w:pPr>
      <w:r w:rsidRPr="00A508A9">
        <w:t>Determinou-se o índice de acidez, índice peróxido, índice iodo, índice de saponificação, percentagem dos ácidos graxos livres, densidade e viscosidade do óleo de babaçu (Tabela 3).</w:t>
      </w:r>
    </w:p>
    <w:p w:rsidR="00097E25" w:rsidRPr="00A508A9" w:rsidRDefault="00097E25" w:rsidP="00097E25">
      <w:pPr>
        <w:spacing w:line="360" w:lineRule="auto"/>
        <w:jc w:val="both"/>
      </w:pPr>
      <w:r w:rsidRPr="00A508A9">
        <w:t>Os testes foram realizados em laboratório seguindo normas nacionais da Associação Brasileira de Normas técnicas (ABNT) e internacionais do Standard Methods for the Analysis of oils, fats and derivatives (SMAOFD).</w:t>
      </w:r>
    </w:p>
    <w:p w:rsidR="00097E25" w:rsidRPr="00A508A9" w:rsidRDefault="00097E25" w:rsidP="00097E25">
      <w:pPr>
        <w:ind w:firstLine="960"/>
        <w:rPr>
          <w:color w:val="000000"/>
        </w:rPr>
      </w:pPr>
      <w:bookmarkStart w:id="12" w:name="_Toc220322619"/>
      <w:r w:rsidRPr="00A508A9">
        <w:rPr>
          <w:b/>
          <w:bCs/>
        </w:rPr>
        <w:lastRenderedPageBreak/>
        <w:t xml:space="preserve">Tabela </w:t>
      </w:r>
      <w:r w:rsidRPr="00A508A9">
        <w:rPr>
          <w:b/>
          <w:bCs/>
        </w:rPr>
        <w:fldChar w:fldCharType="begin"/>
      </w:r>
      <w:r w:rsidRPr="00A508A9">
        <w:rPr>
          <w:b/>
          <w:bCs/>
        </w:rPr>
        <w:instrText xml:space="preserve"> SEQ Tabela \* ARABIC </w:instrText>
      </w:r>
      <w:r w:rsidRPr="00A508A9">
        <w:rPr>
          <w:b/>
          <w:bCs/>
        </w:rPr>
        <w:fldChar w:fldCharType="separate"/>
      </w:r>
      <w:r w:rsidRPr="00A508A9">
        <w:rPr>
          <w:b/>
          <w:bCs/>
        </w:rPr>
        <w:t>3</w:t>
      </w:r>
      <w:r w:rsidRPr="00A508A9">
        <w:rPr>
          <w:b/>
          <w:bCs/>
        </w:rPr>
        <w:fldChar w:fldCharType="end"/>
      </w:r>
      <w:r w:rsidRPr="00A508A9">
        <w:rPr>
          <w:color w:val="000000"/>
        </w:rPr>
        <w:t xml:space="preserve"> - Ensaios e métodos para a caracterização do óleo de babaçu</w:t>
      </w:r>
      <w:bookmarkEnd w:id="12"/>
    </w:p>
    <w:tbl>
      <w:tblPr>
        <w:tblW w:w="9166" w:type="dxa"/>
        <w:jc w:val="center"/>
        <w:tblInd w:w="-1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0"/>
        <w:gridCol w:w="3616"/>
      </w:tblGrid>
      <w:tr w:rsidR="00097E25" w:rsidRPr="00A508A9" w:rsidTr="00097E25">
        <w:trPr>
          <w:trHeight w:val="436"/>
          <w:jc w:val="center"/>
        </w:trPr>
        <w:tc>
          <w:tcPr>
            <w:tcW w:w="5550" w:type="dxa"/>
            <w:tcBorders>
              <w:top w:val="single" w:sz="12" w:space="0" w:color="auto"/>
              <w:left w:val="nil"/>
              <w:bottom w:val="single" w:sz="12" w:space="0" w:color="auto"/>
              <w:right w:val="nil"/>
            </w:tcBorders>
            <w:shd w:val="clear" w:color="auto" w:fill="D9D9D9"/>
            <w:vAlign w:val="center"/>
          </w:tcPr>
          <w:p w:rsidR="00097E25" w:rsidRPr="00A508A9" w:rsidRDefault="00097E25" w:rsidP="00097E25">
            <w:pPr>
              <w:spacing w:before="40" w:after="40"/>
              <w:jc w:val="center"/>
              <w:rPr>
                <w:b/>
              </w:rPr>
            </w:pPr>
            <w:r w:rsidRPr="00A508A9">
              <w:rPr>
                <w:b/>
              </w:rPr>
              <w:t>Ensaios</w:t>
            </w:r>
          </w:p>
        </w:tc>
        <w:tc>
          <w:tcPr>
            <w:tcW w:w="3616" w:type="dxa"/>
            <w:tcBorders>
              <w:top w:val="single" w:sz="12" w:space="0" w:color="auto"/>
              <w:left w:val="nil"/>
              <w:bottom w:val="single" w:sz="12" w:space="0" w:color="auto"/>
              <w:right w:val="nil"/>
            </w:tcBorders>
            <w:shd w:val="clear" w:color="auto" w:fill="D9D9D9"/>
            <w:vAlign w:val="center"/>
          </w:tcPr>
          <w:p w:rsidR="00097E25" w:rsidRPr="00A508A9" w:rsidRDefault="00097E25" w:rsidP="00097E25">
            <w:pPr>
              <w:spacing w:before="40" w:after="40"/>
              <w:jc w:val="center"/>
              <w:rPr>
                <w:b/>
              </w:rPr>
            </w:pPr>
            <w:r w:rsidRPr="00A508A9">
              <w:rPr>
                <w:b/>
              </w:rPr>
              <w:t>Métodos</w:t>
            </w:r>
          </w:p>
        </w:tc>
      </w:tr>
      <w:tr w:rsidR="00097E25" w:rsidRPr="00A508A9" w:rsidTr="00097E25">
        <w:trPr>
          <w:jc w:val="center"/>
        </w:trPr>
        <w:tc>
          <w:tcPr>
            <w:tcW w:w="5550" w:type="dxa"/>
            <w:tcBorders>
              <w:top w:val="single" w:sz="12" w:space="0" w:color="auto"/>
              <w:left w:val="nil"/>
              <w:bottom w:val="nil"/>
              <w:right w:val="nil"/>
            </w:tcBorders>
            <w:vAlign w:val="center"/>
          </w:tcPr>
          <w:p w:rsidR="00097E25" w:rsidRPr="00B07AE2" w:rsidRDefault="00097E25" w:rsidP="00B07AE2">
            <w:pPr>
              <w:ind w:left="180"/>
              <w:rPr>
                <w:sz w:val="20"/>
                <w:szCs w:val="20"/>
              </w:rPr>
            </w:pPr>
            <w:r w:rsidRPr="00B07AE2">
              <w:rPr>
                <w:sz w:val="20"/>
                <w:szCs w:val="20"/>
              </w:rPr>
              <w:t>Índice de acidez (mg KOH/g óleo)</w:t>
            </w:r>
          </w:p>
        </w:tc>
        <w:tc>
          <w:tcPr>
            <w:tcW w:w="3616" w:type="dxa"/>
            <w:tcBorders>
              <w:top w:val="single" w:sz="12" w:space="0" w:color="auto"/>
              <w:left w:val="nil"/>
              <w:bottom w:val="nil"/>
              <w:right w:val="nil"/>
            </w:tcBorders>
            <w:vAlign w:val="center"/>
          </w:tcPr>
          <w:p w:rsidR="00097E25" w:rsidRPr="00B07AE2" w:rsidRDefault="00097E25" w:rsidP="00B07AE2">
            <w:pPr>
              <w:ind w:left="22"/>
              <w:jc w:val="center"/>
              <w:rPr>
                <w:sz w:val="20"/>
                <w:szCs w:val="20"/>
              </w:rPr>
            </w:pPr>
            <w:r w:rsidRPr="00B07AE2">
              <w:rPr>
                <w:sz w:val="20"/>
                <w:szCs w:val="20"/>
              </w:rPr>
              <w:t>SMAOFD 2.201</w:t>
            </w:r>
          </w:p>
        </w:tc>
      </w:tr>
      <w:tr w:rsidR="00097E25" w:rsidRPr="00A508A9" w:rsidTr="00097E25">
        <w:trPr>
          <w:jc w:val="center"/>
        </w:trPr>
        <w:tc>
          <w:tcPr>
            <w:tcW w:w="5550" w:type="dxa"/>
            <w:tcBorders>
              <w:top w:val="nil"/>
              <w:left w:val="nil"/>
              <w:bottom w:val="nil"/>
              <w:right w:val="nil"/>
            </w:tcBorders>
            <w:vAlign w:val="center"/>
          </w:tcPr>
          <w:p w:rsidR="00097E25" w:rsidRPr="00B07AE2" w:rsidRDefault="00097E25" w:rsidP="00B07AE2">
            <w:pPr>
              <w:ind w:left="180"/>
              <w:rPr>
                <w:sz w:val="20"/>
                <w:szCs w:val="20"/>
              </w:rPr>
            </w:pPr>
            <w:r w:rsidRPr="00B07AE2">
              <w:rPr>
                <w:sz w:val="20"/>
                <w:szCs w:val="20"/>
              </w:rPr>
              <w:t>Percentagem dos ácidos graxos livres</w:t>
            </w:r>
          </w:p>
        </w:tc>
        <w:tc>
          <w:tcPr>
            <w:tcW w:w="3616" w:type="dxa"/>
            <w:tcBorders>
              <w:top w:val="nil"/>
              <w:left w:val="nil"/>
              <w:bottom w:val="nil"/>
              <w:right w:val="nil"/>
            </w:tcBorders>
            <w:vAlign w:val="center"/>
          </w:tcPr>
          <w:p w:rsidR="00097E25" w:rsidRPr="00B07AE2" w:rsidRDefault="00097E25" w:rsidP="00B07AE2">
            <w:pPr>
              <w:ind w:left="22"/>
              <w:jc w:val="center"/>
              <w:rPr>
                <w:sz w:val="20"/>
                <w:szCs w:val="20"/>
              </w:rPr>
            </w:pPr>
            <w:r w:rsidRPr="00B07AE2">
              <w:rPr>
                <w:sz w:val="20"/>
                <w:szCs w:val="20"/>
              </w:rPr>
              <w:t>SMAOFD 2.301</w:t>
            </w:r>
          </w:p>
        </w:tc>
      </w:tr>
      <w:tr w:rsidR="00097E25" w:rsidRPr="00A508A9" w:rsidTr="00097E25">
        <w:trPr>
          <w:jc w:val="center"/>
        </w:trPr>
        <w:tc>
          <w:tcPr>
            <w:tcW w:w="5550" w:type="dxa"/>
            <w:tcBorders>
              <w:top w:val="nil"/>
              <w:left w:val="nil"/>
              <w:bottom w:val="nil"/>
              <w:right w:val="nil"/>
            </w:tcBorders>
            <w:vAlign w:val="center"/>
          </w:tcPr>
          <w:p w:rsidR="00097E25" w:rsidRPr="00B07AE2" w:rsidRDefault="00097E25" w:rsidP="00B07AE2">
            <w:pPr>
              <w:ind w:left="180"/>
              <w:jc w:val="both"/>
              <w:rPr>
                <w:sz w:val="20"/>
                <w:szCs w:val="20"/>
              </w:rPr>
            </w:pPr>
            <w:r w:rsidRPr="00B07AE2">
              <w:rPr>
                <w:sz w:val="20"/>
                <w:szCs w:val="20"/>
              </w:rPr>
              <w:t>Índice de Saponificação (mg KOH/g óleo)</w:t>
            </w:r>
          </w:p>
        </w:tc>
        <w:tc>
          <w:tcPr>
            <w:tcW w:w="3616" w:type="dxa"/>
            <w:tcBorders>
              <w:top w:val="nil"/>
              <w:left w:val="nil"/>
              <w:bottom w:val="nil"/>
              <w:right w:val="nil"/>
            </w:tcBorders>
          </w:tcPr>
          <w:p w:rsidR="00097E25" w:rsidRPr="00B07AE2" w:rsidRDefault="00097E25" w:rsidP="00B07AE2">
            <w:pPr>
              <w:ind w:left="717"/>
              <w:jc w:val="both"/>
              <w:rPr>
                <w:sz w:val="20"/>
                <w:szCs w:val="20"/>
              </w:rPr>
            </w:pPr>
            <w:r w:rsidRPr="00B07AE2">
              <w:rPr>
                <w:sz w:val="20"/>
                <w:szCs w:val="20"/>
              </w:rPr>
              <w:t>SMAOFD 2.202</w:t>
            </w:r>
          </w:p>
        </w:tc>
      </w:tr>
      <w:tr w:rsidR="00097E25" w:rsidRPr="00A508A9" w:rsidTr="00097E25">
        <w:trPr>
          <w:jc w:val="center"/>
        </w:trPr>
        <w:tc>
          <w:tcPr>
            <w:tcW w:w="5550" w:type="dxa"/>
            <w:tcBorders>
              <w:top w:val="nil"/>
              <w:left w:val="nil"/>
              <w:bottom w:val="nil"/>
              <w:right w:val="nil"/>
            </w:tcBorders>
            <w:vAlign w:val="center"/>
          </w:tcPr>
          <w:p w:rsidR="00097E25" w:rsidRPr="00B07AE2" w:rsidRDefault="00097E25" w:rsidP="00B07AE2">
            <w:pPr>
              <w:ind w:left="180"/>
              <w:rPr>
                <w:sz w:val="20"/>
                <w:szCs w:val="20"/>
              </w:rPr>
            </w:pPr>
            <w:r w:rsidRPr="00B07AE2">
              <w:rPr>
                <w:sz w:val="20"/>
                <w:szCs w:val="20"/>
              </w:rPr>
              <w:t>Índice de peróxido (%)</w:t>
            </w:r>
          </w:p>
        </w:tc>
        <w:tc>
          <w:tcPr>
            <w:tcW w:w="3616" w:type="dxa"/>
            <w:tcBorders>
              <w:top w:val="nil"/>
              <w:left w:val="nil"/>
              <w:bottom w:val="nil"/>
              <w:right w:val="nil"/>
            </w:tcBorders>
            <w:vAlign w:val="center"/>
          </w:tcPr>
          <w:p w:rsidR="00097E25" w:rsidRPr="00B07AE2" w:rsidRDefault="00097E25" w:rsidP="00B07AE2">
            <w:pPr>
              <w:ind w:left="22"/>
              <w:jc w:val="center"/>
              <w:rPr>
                <w:sz w:val="20"/>
                <w:szCs w:val="20"/>
              </w:rPr>
            </w:pPr>
            <w:r w:rsidRPr="00B07AE2">
              <w:rPr>
                <w:sz w:val="20"/>
                <w:szCs w:val="20"/>
              </w:rPr>
              <w:t>SMAOFD 2.501</w:t>
            </w:r>
          </w:p>
        </w:tc>
      </w:tr>
      <w:tr w:rsidR="00097E25" w:rsidRPr="00A508A9" w:rsidTr="00097E25">
        <w:trPr>
          <w:jc w:val="center"/>
        </w:trPr>
        <w:tc>
          <w:tcPr>
            <w:tcW w:w="5550" w:type="dxa"/>
            <w:tcBorders>
              <w:top w:val="nil"/>
              <w:left w:val="nil"/>
              <w:bottom w:val="nil"/>
              <w:right w:val="nil"/>
            </w:tcBorders>
            <w:vAlign w:val="center"/>
          </w:tcPr>
          <w:p w:rsidR="00097E25" w:rsidRPr="00B07AE2" w:rsidRDefault="00097E25" w:rsidP="00B07AE2">
            <w:pPr>
              <w:ind w:left="180"/>
              <w:rPr>
                <w:sz w:val="20"/>
                <w:szCs w:val="20"/>
              </w:rPr>
            </w:pPr>
            <w:r w:rsidRPr="00B07AE2">
              <w:rPr>
                <w:sz w:val="20"/>
                <w:szCs w:val="20"/>
              </w:rPr>
              <w:t>Índice de Iodo (%)</w:t>
            </w:r>
          </w:p>
        </w:tc>
        <w:tc>
          <w:tcPr>
            <w:tcW w:w="3616" w:type="dxa"/>
            <w:tcBorders>
              <w:top w:val="nil"/>
              <w:left w:val="nil"/>
              <w:bottom w:val="nil"/>
              <w:right w:val="nil"/>
            </w:tcBorders>
            <w:vAlign w:val="center"/>
          </w:tcPr>
          <w:p w:rsidR="00097E25" w:rsidRPr="00B07AE2" w:rsidRDefault="00097E25" w:rsidP="00B07AE2">
            <w:pPr>
              <w:ind w:left="22"/>
              <w:jc w:val="center"/>
              <w:rPr>
                <w:sz w:val="20"/>
                <w:szCs w:val="20"/>
              </w:rPr>
            </w:pPr>
            <w:r w:rsidRPr="00B07AE2">
              <w:rPr>
                <w:sz w:val="20"/>
                <w:szCs w:val="20"/>
              </w:rPr>
              <w:t>SMAOFD 2.505</w:t>
            </w:r>
          </w:p>
        </w:tc>
      </w:tr>
      <w:tr w:rsidR="00097E25" w:rsidRPr="00A508A9" w:rsidTr="00097E25">
        <w:trPr>
          <w:trHeight w:val="87"/>
          <w:jc w:val="center"/>
        </w:trPr>
        <w:tc>
          <w:tcPr>
            <w:tcW w:w="5550" w:type="dxa"/>
            <w:tcBorders>
              <w:top w:val="nil"/>
              <w:left w:val="nil"/>
              <w:bottom w:val="nil"/>
              <w:right w:val="nil"/>
            </w:tcBorders>
            <w:vAlign w:val="center"/>
          </w:tcPr>
          <w:p w:rsidR="00097E25" w:rsidRPr="00B07AE2" w:rsidRDefault="00097E25" w:rsidP="00B07AE2">
            <w:pPr>
              <w:ind w:left="180"/>
              <w:rPr>
                <w:sz w:val="20"/>
                <w:szCs w:val="20"/>
              </w:rPr>
            </w:pPr>
            <w:r w:rsidRPr="00B07AE2">
              <w:rPr>
                <w:sz w:val="20"/>
                <w:szCs w:val="20"/>
              </w:rPr>
              <w:t>Viscosidade Cinemática a 40 ºC (mm</w:t>
            </w:r>
            <w:r w:rsidRPr="00B07AE2">
              <w:rPr>
                <w:sz w:val="20"/>
                <w:szCs w:val="20"/>
                <w:vertAlign w:val="superscript"/>
              </w:rPr>
              <w:t>2</w:t>
            </w:r>
            <w:r w:rsidRPr="00B07AE2">
              <w:rPr>
                <w:sz w:val="20"/>
                <w:szCs w:val="20"/>
              </w:rPr>
              <w:t>/s)</w:t>
            </w:r>
          </w:p>
        </w:tc>
        <w:tc>
          <w:tcPr>
            <w:tcW w:w="3616" w:type="dxa"/>
            <w:tcBorders>
              <w:top w:val="nil"/>
              <w:left w:val="nil"/>
              <w:bottom w:val="nil"/>
              <w:right w:val="nil"/>
            </w:tcBorders>
            <w:vAlign w:val="center"/>
          </w:tcPr>
          <w:p w:rsidR="00097E25" w:rsidRPr="00B07AE2" w:rsidRDefault="00097E25" w:rsidP="00B07AE2">
            <w:pPr>
              <w:ind w:left="22"/>
              <w:jc w:val="center"/>
              <w:rPr>
                <w:sz w:val="20"/>
                <w:szCs w:val="20"/>
              </w:rPr>
            </w:pPr>
            <w:r w:rsidRPr="00B07AE2">
              <w:rPr>
                <w:sz w:val="20"/>
                <w:szCs w:val="20"/>
              </w:rPr>
              <w:t>ASTM D 445</w:t>
            </w:r>
          </w:p>
        </w:tc>
      </w:tr>
      <w:tr w:rsidR="00097E25" w:rsidRPr="00A508A9" w:rsidTr="00097E25">
        <w:trPr>
          <w:trHeight w:val="87"/>
          <w:jc w:val="center"/>
        </w:trPr>
        <w:tc>
          <w:tcPr>
            <w:tcW w:w="5550" w:type="dxa"/>
            <w:tcBorders>
              <w:top w:val="nil"/>
              <w:left w:val="nil"/>
              <w:bottom w:val="single" w:sz="12" w:space="0" w:color="auto"/>
              <w:right w:val="nil"/>
            </w:tcBorders>
            <w:vAlign w:val="center"/>
          </w:tcPr>
          <w:p w:rsidR="00097E25" w:rsidRPr="00B07AE2" w:rsidRDefault="00097E25" w:rsidP="00097E25">
            <w:pPr>
              <w:ind w:left="180"/>
              <w:rPr>
                <w:sz w:val="20"/>
                <w:szCs w:val="20"/>
              </w:rPr>
            </w:pPr>
            <w:r w:rsidRPr="00B07AE2">
              <w:rPr>
                <w:sz w:val="20"/>
                <w:szCs w:val="20"/>
              </w:rPr>
              <w:t>Massa especifica 20 ºC (kg/m</w:t>
            </w:r>
            <w:r w:rsidRPr="00B07AE2">
              <w:rPr>
                <w:sz w:val="20"/>
                <w:szCs w:val="20"/>
                <w:vertAlign w:val="superscript"/>
              </w:rPr>
              <w:t>3</w:t>
            </w:r>
            <w:r w:rsidRPr="00B07AE2">
              <w:rPr>
                <w:sz w:val="20"/>
                <w:szCs w:val="20"/>
              </w:rPr>
              <w:t>)</w:t>
            </w:r>
          </w:p>
        </w:tc>
        <w:tc>
          <w:tcPr>
            <w:tcW w:w="3616" w:type="dxa"/>
            <w:tcBorders>
              <w:top w:val="nil"/>
              <w:left w:val="nil"/>
              <w:bottom w:val="single" w:sz="12" w:space="0" w:color="auto"/>
              <w:right w:val="nil"/>
            </w:tcBorders>
            <w:vAlign w:val="center"/>
          </w:tcPr>
          <w:p w:rsidR="00097E25" w:rsidRPr="00B07AE2" w:rsidRDefault="00097E25" w:rsidP="00097E25">
            <w:pPr>
              <w:ind w:left="22"/>
              <w:jc w:val="center"/>
              <w:rPr>
                <w:sz w:val="20"/>
                <w:szCs w:val="20"/>
              </w:rPr>
            </w:pPr>
            <w:r w:rsidRPr="00B07AE2">
              <w:rPr>
                <w:sz w:val="20"/>
                <w:szCs w:val="20"/>
              </w:rPr>
              <w:t>ASTM D 4052</w:t>
            </w:r>
          </w:p>
        </w:tc>
      </w:tr>
    </w:tbl>
    <w:p w:rsidR="00334ADD" w:rsidRDefault="00334ADD" w:rsidP="00097E25">
      <w:pPr>
        <w:keepNext/>
        <w:spacing w:line="360" w:lineRule="auto"/>
        <w:jc w:val="both"/>
        <w:outlineLvl w:val="0"/>
        <w:rPr>
          <w:b/>
          <w:caps/>
        </w:rPr>
      </w:pPr>
      <w:bookmarkStart w:id="13" w:name="_Toc220323258"/>
    </w:p>
    <w:p w:rsidR="00097E25" w:rsidRPr="00A508A9" w:rsidRDefault="00F634A8" w:rsidP="00097E25">
      <w:pPr>
        <w:keepNext/>
        <w:spacing w:line="360" w:lineRule="auto"/>
        <w:jc w:val="both"/>
        <w:outlineLvl w:val="0"/>
        <w:rPr>
          <w:b/>
          <w:caps/>
        </w:rPr>
      </w:pPr>
      <w:r w:rsidRPr="00A508A9">
        <w:rPr>
          <w:b/>
          <w:caps/>
        </w:rPr>
        <w:t>3</w:t>
      </w:r>
      <w:r w:rsidR="00097E25" w:rsidRPr="00A508A9">
        <w:rPr>
          <w:b/>
          <w:caps/>
        </w:rPr>
        <w:t xml:space="preserve"> RESULTADOS E DISCUSSÃO</w:t>
      </w:r>
      <w:bookmarkEnd w:id="13"/>
    </w:p>
    <w:p w:rsidR="00097E25" w:rsidRPr="00A508A9" w:rsidRDefault="00097E25" w:rsidP="00097E25">
      <w:pPr>
        <w:spacing w:line="360" w:lineRule="auto"/>
        <w:ind w:firstLine="1134"/>
        <w:jc w:val="both"/>
      </w:pPr>
      <w:r w:rsidRPr="00A508A9">
        <w:t>A discussão dos resultados foi dividida em vários subcapítulos, iniciando com o controle de qualidade das matérias primas, onde se utilizou a norma nacional da Associação Brasileira de Normas Técnicas (ABNT) e internacionais do SMAOFD (Standard Methods for the Analysis of Oils, Fats and Derivatives); a otimização das condições de desestabilização da microemulsão de biodiesel etílico pela adição de glicerina pura e água e as condições de lavagem dos ésteres etílicos, sendo monitorados através do teor de glicerina livre presentes na amostra e a caracterização do biodiesel etílico empregando as normas da Sociedade Americana para Testes e Materiais “American Society for Testing and Materia” (ASTM) e da Organização Internacional de Padronização “Interternational Organization for Standardization” (ISO) e do Comitê Europeu de Normalização “Comitê Européen de Normalisation” (CEN) indicadas na Resolução nº 07, de 07de julho de 2008, através do Regulamento Técnico Nº 07/2008.</w:t>
      </w:r>
    </w:p>
    <w:p w:rsidR="00097E25" w:rsidRPr="00A508A9" w:rsidRDefault="00F634A8" w:rsidP="00097E25">
      <w:pPr>
        <w:keepNext/>
        <w:spacing w:line="360" w:lineRule="auto"/>
        <w:outlineLvl w:val="1"/>
        <w:rPr>
          <w:b/>
        </w:rPr>
      </w:pPr>
      <w:bookmarkStart w:id="14" w:name="_Toc220323259"/>
      <w:r w:rsidRPr="00A508A9">
        <w:rPr>
          <w:b/>
        </w:rPr>
        <w:t>3</w:t>
      </w:r>
      <w:r w:rsidR="00097E25" w:rsidRPr="00A508A9">
        <w:rPr>
          <w:b/>
        </w:rPr>
        <w:t>.1 Análises físico-químicas do óleo de babaçu</w:t>
      </w:r>
      <w:bookmarkEnd w:id="14"/>
    </w:p>
    <w:p w:rsidR="00097E25" w:rsidRPr="00A508A9" w:rsidRDefault="00097E25" w:rsidP="00097E25">
      <w:pPr>
        <w:tabs>
          <w:tab w:val="left" w:pos="3449"/>
        </w:tabs>
        <w:spacing w:line="360" w:lineRule="auto"/>
        <w:ind w:firstLine="1134"/>
        <w:jc w:val="both"/>
      </w:pPr>
      <w:r w:rsidRPr="00A508A9">
        <w:t>As análises do óleo de babaçu refinado seguiram as normas nacionais da ABNT e as normas internacionais do SMAOFD. O índice de acidez do óleo de babaçu clarificado foi o primeiro método executado tendo em vista que os ácidos graxos formam, em meio básico, sais de ácidos graxos (sabão) responsáveis pela formação de emulsão durante a lavagem do biodiesel, diminuindo assim o seu rendimento em massa, além de dificultar a separação da glicerina do biodiesel. O teor de ácidos graxos livres, afeta significativamente o processo de transesterificação alcoólica dos glicerídeos na catàlise básica e também interferem no processo de separação do biodiesel da glicerina. O óleo de babaçu clarificado apresentou uma acidez total de 0,3 %.</w:t>
      </w:r>
    </w:p>
    <w:p w:rsidR="00097E25" w:rsidRPr="00A508A9" w:rsidRDefault="00097E25" w:rsidP="00097E25">
      <w:pPr>
        <w:spacing w:line="360" w:lineRule="auto"/>
        <w:ind w:firstLine="1134"/>
        <w:jc w:val="both"/>
        <w:rPr>
          <w:b/>
        </w:rPr>
      </w:pPr>
      <w:r w:rsidRPr="00A508A9">
        <w:t>Esse índice de acidez indica que o óleo está dentro das especificações estabelecidas pela Agencia Nacional de Vigilância Sanitária, portanto, considera-se que esse o óleo está em condições para produção de biodiesel.</w:t>
      </w:r>
    </w:p>
    <w:p w:rsidR="00097E25" w:rsidRPr="00A508A9" w:rsidRDefault="00097E25" w:rsidP="00097E25">
      <w:pPr>
        <w:rPr>
          <w:b/>
          <w:bCs/>
        </w:rPr>
      </w:pPr>
      <w:bookmarkStart w:id="15" w:name="_Toc220322620"/>
      <w:r w:rsidRPr="00A508A9">
        <w:rPr>
          <w:b/>
          <w:bCs/>
        </w:rPr>
        <w:t xml:space="preserve">Tabela </w:t>
      </w:r>
      <w:r w:rsidRPr="00A508A9">
        <w:rPr>
          <w:b/>
          <w:bCs/>
        </w:rPr>
        <w:fldChar w:fldCharType="begin"/>
      </w:r>
      <w:r w:rsidRPr="00A508A9">
        <w:rPr>
          <w:b/>
          <w:bCs/>
        </w:rPr>
        <w:instrText xml:space="preserve"> SEQ Tabela \* ARABIC </w:instrText>
      </w:r>
      <w:r w:rsidRPr="00A508A9">
        <w:rPr>
          <w:b/>
          <w:bCs/>
        </w:rPr>
        <w:fldChar w:fldCharType="separate"/>
      </w:r>
      <w:r w:rsidRPr="00A508A9">
        <w:rPr>
          <w:b/>
          <w:bCs/>
        </w:rPr>
        <w:t>4</w:t>
      </w:r>
      <w:r w:rsidRPr="00A508A9">
        <w:rPr>
          <w:b/>
          <w:bCs/>
        </w:rPr>
        <w:fldChar w:fldCharType="end"/>
      </w:r>
      <w:r w:rsidRPr="00A508A9">
        <w:rPr>
          <w:bCs/>
        </w:rPr>
        <w:t xml:space="preserve"> - Principais características físico-químicas do óleo clarificado de babaçu.</w:t>
      </w:r>
      <w:bookmarkEnd w:id="15"/>
    </w:p>
    <w:tbl>
      <w:tblPr>
        <w:tblW w:w="8679" w:type="dxa"/>
        <w:jc w:val="center"/>
        <w:tblInd w:w="-1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85"/>
        <w:gridCol w:w="3694"/>
      </w:tblGrid>
      <w:tr w:rsidR="00097E25" w:rsidRPr="00A508A9" w:rsidTr="00097E25">
        <w:trPr>
          <w:trHeight w:val="363"/>
          <w:jc w:val="center"/>
        </w:trPr>
        <w:tc>
          <w:tcPr>
            <w:tcW w:w="4985" w:type="dxa"/>
            <w:tcBorders>
              <w:top w:val="single" w:sz="4" w:space="0" w:color="auto"/>
              <w:left w:val="nil"/>
              <w:bottom w:val="single" w:sz="4" w:space="0" w:color="auto"/>
            </w:tcBorders>
            <w:shd w:val="clear" w:color="auto" w:fill="D9D9D9"/>
            <w:vAlign w:val="center"/>
          </w:tcPr>
          <w:p w:rsidR="00097E25" w:rsidRPr="00A508A9" w:rsidRDefault="00097E25" w:rsidP="00097E25">
            <w:pPr>
              <w:jc w:val="center"/>
              <w:rPr>
                <w:b/>
              </w:rPr>
            </w:pPr>
            <w:bookmarkStart w:id="16" w:name="_Toc195061484"/>
            <w:r w:rsidRPr="00A508A9">
              <w:rPr>
                <w:b/>
              </w:rPr>
              <w:lastRenderedPageBreak/>
              <w:t>Ensaios</w:t>
            </w:r>
            <w:bookmarkEnd w:id="16"/>
          </w:p>
        </w:tc>
        <w:tc>
          <w:tcPr>
            <w:tcW w:w="3694" w:type="dxa"/>
            <w:tcBorders>
              <w:top w:val="single" w:sz="4" w:space="0" w:color="auto"/>
              <w:bottom w:val="single" w:sz="4" w:space="0" w:color="auto"/>
              <w:right w:val="nil"/>
            </w:tcBorders>
            <w:shd w:val="clear" w:color="auto" w:fill="D9D9D9"/>
            <w:vAlign w:val="center"/>
          </w:tcPr>
          <w:p w:rsidR="00097E25" w:rsidRPr="00A508A9" w:rsidRDefault="00097E25" w:rsidP="00097E25">
            <w:pPr>
              <w:jc w:val="center"/>
              <w:rPr>
                <w:b/>
              </w:rPr>
            </w:pPr>
            <w:r w:rsidRPr="00A508A9">
              <w:rPr>
                <w:b/>
              </w:rPr>
              <w:t>Óleo de babaçu</w:t>
            </w:r>
          </w:p>
        </w:tc>
      </w:tr>
      <w:tr w:rsidR="00097E25" w:rsidRPr="00A508A9" w:rsidTr="00097E25">
        <w:trPr>
          <w:trHeight w:val="228"/>
          <w:jc w:val="center"/>
        </w:trPr>
        <w:tc>
          <w:tcPr>
            <w:tcW w:w="4985" w:type="dxa"/>
            <w:tcBorders>
              <w:top w:val="single" w:sz="4" w:space="0" w:color="auto"/>
              <w:left w:val="nil"/>
              <w:bottom w:val="nil"/>
              <w:right w:val="nil"/>
            </w:tcBorders>
            <w:vAlign w:val="center"/>
          </w:tcPr>
          <w:p w:rsidR="00097E25" w:rsidRPr="00B07AE2" w:rsidRDefault="00097E25" w:rsidP="00097E25">
            <w:pPr>
              <w:rPr>
                <w:sz w:val="20"/>
                <w:szCs w:val="20"/>
              </w:rPr>
            </w:pPr>
            <w:r w:rsidRPr="00B07AE2">
              <w:rPr>
                <w:sz w:val="20"/>
                <w:szCs w:val="20"/>
              </w:rPr>
              <w:t>Índice de Acidez (mg KOH / g óleo)</w:t>
            </w:r>
          </w:p>
        </w:tc>
        <w:tc>
          <w:tcPr>
            <w:tcW w:w="3694" w:type="dxa"/>
            <w:tcBorders>
              <w:top w:val="single" w:sz="4" w:space="0" w:color="auto"/>
              <w:left w:val="nil"/>
              <w:bottom w:val="nil"/>
              <w:right w:val="nil"/>
            </w:tcBorders>
            <w:vAlign w:val="center"/>
          </w:tcPr>
          <w:p w:rsidR="00097E25" w:rsidRPr="00B07AE2" w:rsidRDefault="00097E25" w:rsidP="00097E25">
            <w:pPr>
              <w:jc w:val="center"/>
              <w:rPr>
                <w:sz w:val="20"/>
                <w:szCs w:val="20"/>
              </w:rPr>
            </w:pPr>
            <w:r w:rsidRPr="00B07AE2">
              <w:rPr>
                <w:sz w:val="20"/>
                <w:szCs w:val="20"/>
              </w:rPr>
              <w:t>0,3</w:t>
            </w:r>
          </w:p>
        </w:tc>
      </w:tr>
      <w:tr w:rsidR="00097E25" w:rsidRPr="00A508A9" w:rsidTr="00097E25">
        <w:trPr>
          <w:trHeight w:val="79"/>
          <w:jc w:val="center"/>
        </w:trPr>
        <w:tc>
          <w:tcPr>
            <w:tcW w:w="4985" w:type="dxa"/>
            <w:tcBorders>
              <w:top w:val="nil"/>
              <w:left w:val="nil"/>
              <w:bottom w:val="nil"/>
              <w:right w:val="nil"/>
            </w:tcBorders>
            <w:vAlign w:val="center"/>
          </w:tcPr>
          <w:p w:rsidR="00097E25" w:rsidRPr="00B07AE2" w:rsidRDefault="00097E25" w:rsidP="00097E25">
            <w:pPr>
              <w:rPr>
                <w:sz w:val="20"/>
                <w:szCs w:val="20"/>
              </w:rPr>
            </w:pPr>
            <w:r w:rsidRPr="00B07AE2">
              <w:rPr>
                <w:sz w:val="20"/>
                <w:szCs w:val="20"/>
              </w:rPr>
              <w:t>Viscosidade Cinemática (mm</w:t>
            </w:r>
            <w:r w:rsidRPr="00B07AE2">
              <w:rPr>
                <w:sz w:val="20"/>
                <w:szCs w:val="20"/>
                <w:vertAlign w:val="superscript"/>
              </w:rPr>
              <w:t>2</w:t>
            </w:r>
            <w:r w:rsidRPr="00B07AE2">
              <w:rPr>
                <w:sz w:val="20"/>
                <w:szCs w:val="20"/>
              </w:rPr>
              <w:t>/s)</w:t>
            </w:r>
          </w:p>
        </w:tc>
        <w:tc>
          <w:tcPr>
            <w:tcW w:w="3694" w:type="dxa"/>
            <w:tcBorders>
              <w:top w:val="nil"/>
              <w:left w:val="nil"/>
              <w:bottom w:val="nil"/>
              <w:right w:val="nil"/>
            </w:tcBorders>
            <w:vAlign w:val="center"/>
          </w:tcPr>
          <w:p w:rsidR="00097E25" w:rsidRPr="00B07AE2" w:rsidRDefault="00097E25" w:rsidP="00097E25">
            <w:pPr>
              <w:jc w:val="center"/>
              <w:rPr>
                <w:sz w:val="20"/>
                <w:szCs w:val="20"/>
              </w:rPr>
            </w:pPr>
            <w:r w:rsidRPr="00B07AE2">
              <w:rPr>
                <w:sz w:val="20"/>
                <w:szCs w:val="20"/>
              </w:rPr>
              <w:t>29,18</w:t>
            </w:r>
          </w:p>
        </w:tc>
      </w:tr>
      <w:tr w:rsidR="00097E25" w:rsidRPr="00A508A9" w:rsidTr="00097E25">
        <w:trPr>
          <w:trHeight w:val="79"/>
          <w:jc w:val="center"/>
        </w:trPr>
        <w:tc>
          <w:tcPr>
            <w:tcW w:w="4985" w:type="dxa"/>
            <w:tcBorders>
              <w:top w:val="nil"/>
              <w:left w:val="nil"/>
              <w:bottom w:val="nil"/>
              <w:right w:val="nil"/>
            </w:tcBorders>
            <w:vAlign w:val="center"/>
          </w:tcPr>
          <w:p w:rsidR="00097E25" w:rsidRPr="00B07AE2" w:rsidRDefault="00097E25" w:rsidP="00097E25">
            <w:pPr>
              <w:rPr>
                <w:sz w:val="20"/>
                <w:szCs w:val="20"/>
              </w:rPr>
            </w:pPr>
            <w:r w:rsidRPr="00B07AE2">
              <w:rPr>
                <w:sz w:val="20"/>
                <w:szCs w:val="20"/>
              </w:rPr>
              <w:t>Massa específica a 20ºC (g/cm</w:t>
            </w:r>
            <w:r w:rsidRPr="00B07AE2">
              <w:rPr>
                <w:sz w:val="20"/>
                <w:szCs w:val="20"/>
                <w:vertAlign w:val="superscript"/>
              </w:rPr>
              <w:t>3</w:t>
            </w:r>
            <w:r w:rsidRPr="00B07AE2">
              <w:rPr>
                <w:sz w:val="20"/>
                <w:szCs w:val="20"/>
              </w:rPr>
              <w:t>)</w:t>
            </w:r>
          </w:p>
        </w:tc>
        <w:tc>
          <w:tcPr>
            <w:tcW w:w="3694" w:type="dxa"/>
            <w:tcBorders>
              <w:top w:val="nil"/>
              <w:left w:val="nil"/>
              <w:bottom w:val="nil"/>
              <w:right w:val="nil"/>
            </w:tcBorders>
            <w:vAlign w:val="center"/>
          </w:tcPr>
          <w:p w:rsidR="00097E25" w:rsidRPr="00B07AE2" w:rsidRDefault="00097E25" w:rsidP="00097E25">
            <w:pPr>
              <w:jc w:val="center"/>
              <w:rPr>
                <w:sz w:val="20"/>
                <w:szCs w:val="20"/>
              </w:rPr>
            </w:pPr>
            <w:r w:rsidRPr="00B07AE2">
              <w:rPr>
                <w:sz w:val="20"/>
                <w:szCs w:val="20"/>
              </w:rPr>
              <w:t xml:space="preserve">0,9213 </w:t>
            </w:r>
            <w:r w:rsidRPr="00B07AE2">
              <w:rPr>
                <w:sz w:val="20"/>
                <w:szCs w:val="20"/>
              </w:rPr>
              <w:sym w:font="Symbol" w:char="F0B1"/>
            </w:r>
            <w:r w:rsidRPr="00B07AE2">
              <w:rPr>
                <w:sz w:val="20"/>
                <w:szCs w:val="20"/>
              </w:rPr>
              <w:t xml:space="preserve"> 0,0002</w:t>
            </w:r>
          </w:p>
        </w:tc>
      </w:tr>
      <w:tr w:rsidR="00097E25" w:rsidRPr="00A508A9" w:rsidTr="00097E25">
        <w:trPr>
          <w:trHeight w:val="79"/>
          <w:jc w:val="center"/>
        </w:trPr>
        <w:tc>
          <w:tcPr>
            <w:tcW w:w="4985" w:type="dxa"/>
            <w:tcBorders>
              <w:top w:val="nil"/>
              <w:left w:val="nil"/>
              <w:bottom w:val="nil"/>
              <w:right w:val="nil"/>
            </w:tcBorders>
            <w:vAlign w:val="center"/>
          </w:tcPr>
          <w:p w:rsidR="00097E25" w:rsidRPr="00B07AE2" w:rsidRDefault="00097E25" w:rsidP="00097E25">
            <w:pPr>
              <w:rPr>
                <w:sz w:val="20"/>
                <w:szCs w:val="20"/>
              </w:rPr>
            </w:pPr>
            <w:r w:rsidRPr="00B07AE2">
              <w:rPr>
                <w:sz w:val="20"/>
                <w:szCs w:val="20"/>
              </w:rPr>
              <w:t>Índice de peróxido (meq / kg)</w:t>
            </w:r>
          </w:p>
        </w:tc>
        <w:tc>
          <w:tcPr>
            <w:tcW w:w="3694" w:type="dxa"/>
            <w:tcBorders>
              <w:top w:val="nil"/>
              <w:left w:val="nil"/>
              <w:bottom w:val="nil"/>
              <w:right w:val="nil"/>
            </w:tcBorders>
            <w:vAlign w:val="center"/>
          </w:tcPr>
          <w:p w:rsidR="00097E25" w:rsidRPr="00B07AE2" w:rsidRDefault="00097E25" w:rsidP="00097E25">
            <w:pPr>
              <w:jc w:val="center"/>
              <w:rPr>
                <w:sz w:val="20"/>
                <w:szCs w:val="20"/>
              </w:rPr>
            </w:pPr>
            <w:r w:rsidRPr="00B07AE2">
              <w:rPr>
                <w:sz w:val="20"/>
                <w:szCs w:val="20"/>
              </w:rPr>
              <w:t>8,456</w:t>
            </w:r>
          </w:p>
        </w:tc>
      </w:tr>
      <w:tr w:rsidR="00097E25" w:rsidRPr="00A508A9" w:rsidTr="00097E25">
        <w:trPr>
          <w:trHeight w:val="79"/>
          <w:jc w:val="center"/>
        </w:trPr>
        <w:tc>
          <w:tcPr>
            <w:tcW w:w="4985" w:type="dxa"/>
            <w:tcBorders>
              <w:top w:val="nil"/>
              <w:left w:val="nil"/>
              <w:bottom w:val="nil"/>
              <w:right w:val="nil"/>
            </w:tcBorders>
            <w:vAlign w:val="center"/>
          </w:tcPr>
          <w:p w:rsidR="00097E25" w:rsidRPr="00B07AE2" w:rsidRDefault="00097E25" w:rsidP="00097E25">
            <w:pPr>
              <w:rPr>
                <w:sz w:val="20"/>
                <w:szCs w:val="20"/>
              </w:rPr>
            </w:pPr>
            <w:r w:rsidRPr="00B07AE2">
              <w:rPr>
                <w:sz w:val="20"/>
                <w:szCs w:val="20"/>
              </w:rPr>
              <w:t>Índice de saponificação</w:t>
            </w:r>
          </w:p>
        </w:tc>
        <w:tc>
          <w:tcPr>
            <w:tcW w:w="3694" w:type="dxa"/>
            <w:tcBorders>
              <w:top w:val="nil"/>
              <w:left w:val="nil"/>
              <w:bottom w:val="nil"/>
              <w:right w:val="nil"/>
            </w:tcBorders>
            <w:vAlign w:val="center"/>
          </w:tcPr>
          <w:p w:rsidR="00097E25" w:rsidRPr="00B07AE2" w:rsidRDefault="00097E25" w:rsidP="00097E25">
            <w:pPr>
              <w:jc w:val="center"/>
              <w:rPr>
                <w:sz w:val="20"/>
                <w:szCs w:val="20"/>
              </w:rPr>
            </w:pPr>
            <w:r w:rsidRPr="00B07AE2">
              <w:rPr>
                <w:sz w:val="20"/>
                <w:szCs w:val="20"/>
              </w:rPr>
              <w:t>249,98</w:t>
            </w:r>
          </w:p>
        </w:tc>
      </w:tr>
      <w:tr w:rsidR="00097E25" w:rsidRPr="00A508A9" w:rsidTr="00097E25">
        <w:trPr>
          <w:trHeight w:val="79"/>
          <w:jc w:val="center"/>
        </w:trPr>
        <w:tc>
          <w:tcPr>
            <w:tcW w:w="4985" w:type="dxa"/>
            <w:tcBorders>
              <w:top w:val="nil"/>
              <w:left w:val="nil"/>
              <w:bottom w:val="single" w:sz="4" w:space="0" w:color="auto"/>
              <w:right w:val="nil"/>
            </w:tcBorders>
            <w:vAlign w:val="center"/>
          </w:tcPr>
          <w:p w:rsidR="00097E25" w:rsidRPr="00B07AE2" w:rsidRDefault="00097E25" w:rsidP="00097E25">
            <w:pPr>
              <w:rPr>
                <w:sz w:val="20"/>
                <w:szCs w:val="20"/>
              </w:rPr>
            </w:pPr>
            <w:r w:rsidRPr="00B07AE2">
              <w:rPr>
                <w:sz w:val="20"/>
                <w:szCs w:val="20"/>
              </w:rPr>
              <w:t>Índice de iodo (Wijis)</w:t>
            </w:r>
          </w:p>
        </w:tc>
        <w:tc>
          <w:tcPr>
            <w:tcW w:w="3694" w:type="dxa"/>
            <w:tcBorders>
              <w:top w:val="nil"/>
              <w:left w:val="nil"/>
              <w:bottom w:val="single" w:sz="4" w:space="0" w:color="auto"/>
              <w:right w:val="nil"/>
            </w:tcBorders>
            <w:vAlign w:val="center"/>
          </w:tcPr>
          <w:p w:rsidR="00097E25" w:rsidRPr="00B07AE2" w:rsidRDefault="00097E25" w:rsidP="00097E25">
            <w:pPr>
              <w:jc w:val="center"/>
              <w:rPr>
                <w:sz w:val="20"/>
                <w:szCs w:val="20"/>
              </w:rPr>
            </w:pPr>
            <w:r w:rsidRPr="00B07AE2">
              <w:rPr>
                <w:sz w:val="20"/>
                <w:szCs w:val="20"/>
              </w:rPr>
              <w:t>17,22</w:t>
            </w:r>
          </w:p>
        </w:tc>
      </w:tr>
    </w:tbl>
    <w:p w:rsidR="00097E25" w:rsidRPr="00A508A9" w:rsidRDefault="00097E25" w:rsidP="00097E25">
      <w:pPr>
        <w:spacing w:line="360" w:lineRule="auto"/>
        <w:jc w:val="both"/>
        <w:rPr>
          <w:sz w:val="20"/>
          <w:szCs w:val="20"/>
          <w:lang w:val="en-US"/>
        </w:rPr>
      </w:pPr>
      <w:r w:rsidRPr="00A508A9">
        <w:rPr>
          <w:sz w:val="20"/>
          <w:szCs w:val="20"/>
          <w:lang w:val="en-US"/>
        </w:rPr>
        <w:t>* SMAOFD – Standard Methods for the Analysis of oils, fats and derivatives</w:t>
      </w:r>
    </w:p>
    <w:p w:rsidR="00097E25" w:rsidRPr="00A508A9" w:rsidRDefault="00097E25" w:rsidP="00097E25">
      <w:pPr>
        <w:spacing w:line="360" w:lineRule="auto"/>
        <w:jc w:val="both"/>
        <w:rPr>
          <w:sz w:val="20"/>
          <w:szCs w:val="20"/>
          <w:lang w:val="en-US"/>
        </w:rPr>
      </w:pPr>
      <w:r w:rsidRPr="00A508A9">
        <w:rPr>
          <w:sz w:val="20"/>
          <w:szCs w:val="20"/>
          <w:lang w:val="en-US"/>
        </w:rPr>
        <w:t>** ASTM - American Society for Testing and Materials</w:t>
      </w:r>
    </w:p>
    <w:p w:rsidR="00097E25" w:rsidRPr="00A508A9" w:rsidRDefault="00097E25" w:rsidP="00097E25">
      <w:pPr>
        <w:spacing w:line="360" w:lineRule="auto"/>
        <w:jc w:val="both"/>
        <w:rPr>
          <w:lang w:val="en-US"/>
        </w:rPr>
      </w:pPr>
    </w:p>
    <w:p w:rsidR="00097E25" w:rsidRPr="00A508A9" w:rsidRDefault="00F634A8" w:rsidP="00097E25">
      <w:pPr>
        <w:keepNext/>
        <w:outlineLvl w:val="1"/>
        <w:rPr>
          <w:b/>
          <w:bCs/>
          <w:noProof w:val="0"/>
        </w:rPr>
      </w:pPr>
      <w:bookmarkStart w:id="17" w:name="_Toc220323260"/>
      <w:r w:rsidRPr="00A508A9">
        <w:rPr>
          <w:b/>
        </w:rPr>
        <w:t>3</w:t>
      </w:r>
      <w:r w:rsidR="00097E25" w:rsidRPr="00A508A9">
        <w:rPr>
          <w:b/>
        </w:rPr>
        <w:t>.2 Otimização da Purificação do Biodiesel Utilizando o Planejamento Fatorial Silicato de Magnésio com Relação às Medidas de Capacitância</w:t>
      </w:r>
      <w:bookmarkEnd w:id="17"/>
    </w:p>
    <w:p w:rsidR="00097E25" w:rsidRPr="00A508A9" w:rsidRDefault="00097E25" w:rsidP="00097E25">
      <w:pPr>
        <w:spacing w:line="360" w:lineRule="auto"/>
        <w:jc w:val="both"/>
        <w:rPr>
          <w:b/>
          <w:bCs/>
          <w:noProof w:val="0"/>
        </w:rPr>
      </w:pPr>
    </w:p>
    <w:p w:rsidR="00097E25" w:rsidRPr="00A508A9" w:rsidRDefault="00097E25" w:rsidP="00097E25">
      <w:pPr>
        <w:spacing w:line="360" w:lineRule="auto"/>
        <w:ind w:firstLine="1134"/>
        <w:jc w:val="both"/>
      </w:pPr>
      <w:r w:rsidRPr="00A508A9">
        <w:t>O planejamento fatorial foi utilizado para otimizar o processo de purificação a seco do biodiesel etílico, obtido pela transesterificação etílica do óleo de babaçu, por meio do  adsorvente sintético composto por Silicato de Magnésio amorfo e Sulfato de Sódio anidro. Essa técnica permitiu otimizar simultaneamente as três variáveis estudadas no processo: temperatura, tempo de contato e quantidade do adsorvente. A partir desse planejamento, obteve-se o gráfico de Pareto e a Superfície de Resposta que correlacionam as variáveis mostrando de que forma eles influenciam no processo (BRUNS, et al. 1995).</w:t>
      </w:r>
    </w:p>
    <w:p w:rsidR="00097E25" w:rsidRPr="00A508A9" w:rsidRDefault="00097E25" w:rsidP="00097E25">
      <w:pPr>
        <w:spacing w:line="360" w:lineRule="auto"/>
        <w:ind w:firstLine="1134"/>
        <w:jc w:val="both"/>
      </w:pPr>
      <w:r w:rsidRPr="00A508A9">
        <w:t>O biodiesel obtido após a separação da glicerina e destilação do álcool, em excesso, apresenta as seguintes impurezas:</w:t>
      </w:r>
    </w:p>
    <w:p w:rsidR="00097E25" w:rsidRPr="00A508A9" w:rsidRDefault="00097E25" w:rsidP="00334ADD">
      <w:pPr>
        <w:pStyle w:val="PargrafodaLista"/>
        <w:numPr>
          <w:ilvl w:val="0"/>
          <w:numId w:val="3"/>
        </w:numPr>
        <w:spacing w:line="360" w:lineRule="auto"/>
        <w:jc w:val="both"/>
      </w:pPr>
      <w:r w:rsidRPr="00A508A9">
        <w:t>Resíduo de glicerina, não eliminada no processo de separação;</w:t>
      </w:r>
    </w:p>
    <w:p w:rsidR="00097E25" w:rsidRPr="00A508A9" w:rsidRDefault="00097E25" w:rsidP="00334ADD">
      <w:pPr>
        <w:pStyle w:val="PargrafodaLista"/>
        <w:numPr>
          <w:ilvl w:val="0"/>
          <w:numId w:val="3"/>
        </w:numPr>
        <w:spacing w:line="360" w:lineRule="auto"/>
        <w:jc w:val="both"/>
      </w:pPr>
      <w:r w:rsidRPr="00A508A9">
        <w:t>Álcool residual, não retirado na destilação a vácuo;</w:t>
      </w:r>
    </w:p>
    <w:p w:rsidR="00097E25" w:rsidRPr="00A508A9" w:rsidRDefault="00097E25" w:rsidP="00334ADD">
      <w:pPr>
        <w:pStyle w:val="PargrafodaLista"/>
        <w:numPr>
          <w:ilvl w:val="0"/>
          <w:numId w:val="3"/>
        </w:numPr>
        <w:spacing w:line="360" w:lineRule="auto"/>
        <w:jc w:val="both"/>
      </w:pPr>
      <w:r w:rsidRPr="00A508A9">
        <w:t>O hidróxido de potássio, que por ser um catalisador homogêneo, solubilizar-se no meio reacional, sendo impossível a sua remoção por processo simples de filtração.</w:t>
      </w:r>
    </w:p>
    <w:p w:rsidR="00097E25" w:rsidRPr="00A508A9" w:rsidRDefault="00097E25" w:rsidP="00334ADD">
      <w:pPr>
        <w:pStyle w:val="PargrafodaLista"/>
        <w:numPr>
          <w:ilvl w:val="0"/>
          <w:numId w:val="3"/>
        </w:numPr>
        <w:spacing w:line="360" w:lineRule="auto"/>
        <w:jc w:val="both"/>
      </w:pPr>
      <w:r w:rsidRPr="00A508A9">
        <w:t>Mono-, di- e triacilglicerédeos, provenientes da transesterificação incompleta do óleo;</w:t>
      </w:r>
    </w:p>
    <w:p w:rsidR="00097E25" w:rsidRPr="00A508A9" w:rsidRDefault="00097E25" w:rsidP="00334ADD">
      <w:pPr>
        <w:pStyle w:val="PargrafodaLista"/>
        <w:numPr>
          <w:ilvl w:val="0"/>
          <w:numId w:val="3"/>
        </w:numPr>
        <w:spacing w:line="360" w:lineRule="auto"/>
        <w:jc w:val="both"/>
      </w:pPr>
      <w:r w:rsidRPr="00A508A9">
        <w:t>Ácidos graxos livres, que provocam a acidez do biodiesel;</w:t>
      </w:r>
    </w:p>
    <w:p w:rsidR="00097E25" w:rsidRPr="00A508A9" w:rsidRDefault="00097E25" w:rsidP="00334ADD">
      <w:pPr>
        <w:pStyle w:val="PargrafodaLista"/>
        <w:numPr>
          <w:ilvl w:val="0"/>
          <w:numId w:val="3"/>
        </w:numPr>
        <w:spacing w:line="360" w:lineRule="auto"/>
        <w:jc w:val="both"/>
      </w:pPr>
      <w:r w:rsidRPr="00A508A9">
        <w:t>Sais de ácidos graxos, produzidos pela saponificação dos ácidos graxos livres contidos no óleo vegetal, pois a reação de transesterificação por catálise alcalina, como o hidróxido de potássio, forma por reação secundária, os sais de ácidos graxos (sabão).</w:t>
      </w:r>
    </w:p>
    <w:p w:rsidR="00097E25" w:rsidRPr="00A508A9" w:rsidRDefault="00097E25" w:rsidP="00097E25">
      <w:pPr>
        <w:spacing w:line="360" w:lineRule="auto"/>
        <w:ind w:firstLine="1134"/>
        <w:jc w:val="both"/>
      </w:pPr>
      <w:r w:rsidRPr="00A508A9">
        <w:t xml:space="preserve">Após a separação de glicerina e a remoção de álcool, o biodiesel deve ser adicionalmente purificado, por meio da eliminação dos sabões e as outras impurezas. Os </w:t>
      </w:r>
      <w:r w:rsidRPr="00A508A9">
        <w:lastRenderedPageBreak/>
        <w:t>processos habituais usados para esta purificação são, por exemplo, lavagem e destilação. A fim de evitar efluentes líquidos e reduzir os custos de investimentos, esta purificação também pode ser obtida usando-se um adsorvente como o Magnesol que é um adsortivo que atraem esses componentes contaminantes polares. Este processo de adsorção física pode significar uma alternativa de custo eficiente para os processos de lavagem/destilação. Segundo os autores Saad (2005) e Kucek (2004) após o tratamento adsortivo, o teor de sabões dos ésteres, glicerina livre e total, mono-, di- e triglicerídeos foram reduzidos consideravelmente, indicando uma boa eficiência do adsorvente, o suficiente para atingir os níveis necessários para garantir a qualidade do produto.</w:t>
      </w:r>
    </w:p>
    <w:p w:rsidR="00097E25" w:rsidRPr="00A508A9" w:rsidRDefault="00097E25" w:rsidP="00097E25">
      <w:pPr>
        <w:spacing w:line="360" w:lineRule="auto"/>
        <w:ind w:firstLine="1134"/>
        <w:jc w:val="both"/>
        <w:rPr>
          <w:lang w:val="pt-PT"/>
        </w:rPr>
      </w:pPr>
      <w:r w:rsidRPr="00A508A9">
        <w:rPr>
          <w:lang w:val="pt-PT"/>
        </w:rPr>
        <w:t>Quanto maior o caráter polar da substância maior será sua constante dielétrica e, conseqüentemente, maior será sua capacitância. Portanto, quanto menor o teor contaminantes polares mais purificado estará o biodiesel e menor será o valor de sua capacitância. Dessa forma, as medidas de capacitância podem ser utilizadas para indicar a eficiência do processo de purificação do biodiesel. Na otimização do processo de purificação do biodiesel com materiais adsorventes (silicato de Magnésio) por planejamento fatorial, utilizou-se medidas de capacitância como resposta, que indicam a quantidade dessas substâncias polares presentes no biodiesel. A Tabela 4 apresenta o planejamento fatorial, com as variáveis independentes: quantidade de silicato (%, m/m biodiesel bruto), Temperatura do sistema (ºC) e Tempo de contato do adsorvente (minutos); e a variável dependente: capacitância (Coulomb por Volt, denominada Faraday (F)).</w:t>
      </w:r>
    </w:p>
    <w:p w:rsidR="00097E25" w:rsidRPr="00A508A9" w:rsidRDefault="00097E25" w:rsidP="00097E25">
      <w:pPr>
        <w:spacing w:line="360" w:lineRule="auto"/>
        <w:ind w:firstLine="1134"/>
        <w:jc w:val="both"/>
        <w:rPr>
          <w:lang w:val="pt-PT"/>
        </w:rPr>
      </w:pPr>
      <w:r w:rsidRPr="00A508A9">
        <w:rPr>
          <w:lang w:val="pt-PT"/>
        </w:rPr>
        <w:t>Após a construção do planejamento, obteve-se os resultados estatísticos que compreendem: o gráfico de Pareto, para identificações dos efeitos das variáveis e sua interações, assim como a significância dos seus resultados a 95 % de confiança; o gráfico de Valores previstos versus valores observados, que determinam a linearidade dos resultados e os gráficos de Superfícies de Respostas a partir das interações de duas a duas variáveis, as quais determinaremos as melhores condições para purificação a seco do biodiesel, que compreenderão os menores valores de capacitância.</w:t>
      </w:r>
      <w:bookmarkStart w:id="18" w:name="_Toc195061502"/>
    </w:p>
    <w:p w:rsidR="00097E25" w:rsidRPr="00A508A9" w:rsidRDefault="00097E25" w:rsidP="00097E25">
      <w:pPr>
        <w:spacing w:line="360" w:lineRule="auto"/>
        <w:ind w:firstLine="1134"/>
        <w:jc w:val="both"/>
      </w:pPr>
    </w:p>
    <w:p w:rsidR="00097E25" w:rsidRPr="00A508A9" w:rsidRDefault="00097E25" w:rsidP="00097E25">
      <w:pPr>
        <w:ind w:firstLine="720"/>
        <w:rPr>
          <w:bCs/>
        </w:rPr>
      </w:pPr>
      <w:bookmarkStart w:id="19" w:name="_Toc220322621"/>
      <w:r w:rsidRPr="00A508A9">
        <w:rPr>
          <w:b/>
          <w:bCs/>
        </w:rPr>
        <w:t xml:space="preserve">Tabela </w:t>
      </w:r>
      <w:r w:rsidRPr="00A508A9">
        <w:rPr>
          <w:b/>
          <w:bCs/>
        </w:rPr>
        <w:fldChar w:fldCharType="begin"/>
      </w:r>
      <w:r w:rsidRPr="00A508A9">
        <w:rPr>
          <w:b/>
          <w:bCs/>
        </w:rPr>
        <w:instrText xml:space="preserve"> SEQ Tabela \* ARABIC </w:instrText>
      </w:r>
      <w:r w:rsidRPr="00A508A9">
        <w:rPr>
          <w:b/>
          <w:bCs/>
        </w:rPr>
        <w:fldChar w:fldCharType="separate"/>
      </w:r>
      <w:r w:rsidRPr="00A508A9">
        <w:rPr>
          <w:b/>
          <w:bCs/>
        </w:rPr>
        <w:t>5</w:t>
      </w:r>
      <w:r w:rsidRPr="00A508A9">
        <w:rPr>
          <w:b/>
          <w:bCs/>
        </w:rPr>
        <w:fldChar w:fldCharType="end"/>
      </w:r>
      <w:r w:rsidRPr="00A508A9">
        <w:rPr>
          <w:bCs/>
        </w:rPr>
        <w:t xml:space="preserve"> - Planejamento fatorial para purificação a seco do biodiesel</w:t>
      </w:r>
      <w:bookmarkEnd w:id="18"/>
      <w:bookmarkEnd w:id="19"/>
    </w:p>
    <w:tbl>
      <w:tblPr>
        <w:tblW w:w="7826" w:type="dxa"/>
        <w:jc w:val="center"/>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6"/>
        <w:gridCol w:w="1889"/>
        <w:gridCol w:w="1719"/>
        <w:gridCol w:w="1192"/>
        <w:gridCol w:w="1970"/>
      </w:tblGrid>
      <w:tr w:rsidR="00097E25" w:rsidRPr="00601C82" w:rsidTr="00097E25">
        <w:trPr>
          <w:jc w:val="center"/>
        </w:trPr>
        <w:tc>
          <w:tcPr>
            <w:tcW w:w="1056" w:type="dxa"/>
            <w:tcBorders>
              <w:left w:val="nil"/>
              <w:bottom w:val="single" w:sz="4" w:space="0" w:color="auto"/>
              <w:right w:val="dotted" w:sz="4" w:space="0" w:color="auto"/>
            </w:tcBorders>
            <w:vAlign w:val="center"/>
          </w:tcPr>
          <w:p w:rsidR="00097E25" w:rsidRPr="00601C82" w:rsidRDefault="00097E25" w:rsidP="00097E25">
            <w:pPr>
              <w:spacing w:line="360" w:lineRule="auto"/>
              <w:jc w:val="center"/>
              <w:rPr>
                <w:b/>
                <w:sz w:val="20"/>
                <w:szCs w:val="20"/>
              </w:rPr>
            </w:pPr>
            <w:r w:rsidRPr="00601C82">
              <w:rPr>
                <w:b/>
                <w:sz w:val="20"/>
                <w:szCs w:val="20"/>
              </w:rPr>
              <w:t>Ensaio</w:t>
            </w:r>
          </w:p>
        </w:tc>
        <w:tc>
          <w:tcPr>
            <w:tcW w:w="1889" w:type="dxa"/>
            <w:tcBorders>
              <w:left w:val="dotted" w:sz="4" w:space="0" w:color="auto"/>
              <w:bottom w:val="single" w:sz="4" w:space="0" w:color="auto"/>
              <w:right w:val="dotted" w:sz="4" w:space="0" w:color="auto"/>
            </w:tcBorders>
            <w:vAlign w:val="center"/>
          </w:tcPr>
          <w:p w:rsidR="00097E25" w:rsidRPr="00601C82" w:rsidRDefault="00097E25" w:rsidP="00097E25">
            <w:pPr>
              <w:spacing w:line="360" w:lineRule="auto"/>
              <w:jc w:val="center"/>
              <w:rPr>
                <w:b/>
                <w:sz w:val="20"/>
                <w:szCs w:val="20"/>
              </w:rPr>
            </w:pPr>
            <w:r w:rsidRPr="00601C82">
              <w:rPr>
                <w:b/>
                <w:sz w:val="20"/>
                <w:szCs w:val="20"/>
              </w:rPr>
              <w:t>Teor de</w:t>
            </w:r>
          </w:p>
          <w:p w:rsidR="00097E25" w:rsidRPr="00601C82" w:rsidRDefault="00097E25" w:rsidP="00097E25">
            <w:pPr>
              <w:spacing w:line="360" w:lineRule="auto"/>
              <w:jc w:val="center"/>
              <w:rPr>
                <w:b/>
                <w:sz w:val="20"/>
                <w:szCs w:val="20"/>
              </w:rPr>
            </w:pPr>
            <w:r w:rsidRPr="00601C82">
              <w:rPr>
                <w:b/>
                <w:sz w:val="20"/>
                <w:szCs w:val="20"/>
              </w:rPr>
              <w:t>Silicato de magnésio (%)</w:t>
            </w:r>
          </w:p>
        </w:tc>
        <w:tc>
          <w:tcPr>
            <w:tcW w:w="1719" w:type="dxa"/>
            <w:tcBorders>
              <w:left w:val="dotted" w:sz="4" w:space="0" w:color="auto"/>
              <w:bottom w:val="single" w:sz="4" w:space="0" w:color="auto"/>
              <w:right w:val="dotted" w:sz="4" w:space="0" w:color="auto"/>
            </w:tcBorders>
            <w:vAlign w:val="center"/>
          </w:tcPr>
          <w:p w:rsidR="00097E25" w:rsidRPr="00601C82" w:rsidRDefault="00097E25" w:rsidP="00097E25">
            <w:pPr>
              <w:spacing w:line="360" w:lineRule="auto"/>
              <w:jc w:val="center"/>
              <w:rPr>
                <w:b/>
                <w:sz w:val="20"/>
                <w:szCs w:val="20"/>
              </w:rPr>
            </w:pPr>
            <w:r w:rsidRPr="00601C82">
              <w:rPr>
                <w:b/>
                <w:sz w:val="20"/>
                <w:szCs w:val="20"/>
              </w:rPr>
              <w:t>Temperatura</w:t>
            </w:r>
          </w:p>
          <w:p w:rsidR="00097E25" w:rsidRPr="00601C82" w:rsidRDefault="00097E25" w:rsidP="00097E25">
            <w:pPr>
              <w:spacing w:line="360" w:lineRule="auto"/>
              <w:jc w:val="center"/>
              <w:rPr>
                <w:b/>
                <w:sz w:val="20"/>
                <w:szCs w:val="20"/>
              </w:rPr>
            </w:pPr>
            <w:r w:rsidRPr="00601C82">
              <w:rPr>
                <w:b/>
                <w:sz w:val="20"/>
                <w:szCs w:val="20"/>
              </w:rPr>
              <w:t>(ºC)</w:t>
            </w:r>
          </w:p>
        </w:tc>
        <w:tc>
          <w:tcPr>
            <w:tcW w:w="1192" w:type="dxa"/>
            <w:tcBorders>
              <w:left w:val="dotted" w:sz="4" w:space="0" w:color="auto"/>
              <w:bottom w:val="single" w:sz="4" w:space="0" w:color="auto"/>
              <w:right w:val="dotted" w:sz="4" w:space="0" w:color="auto"/>
            </w:tcBorders>
            <w:vAlign w:val="center"/>
          </w:tcPr>
          <w:p w:rsidR="00097E25" w:rsidRPr="00601C82" w:rsidRDefault="00097E25" w:rsidP="00097E25">
            <w:pPr>
              <w:spacing w:line="360" w:lineRule="auto"/>
              <w:jc w:val="center"/>
              <w:rPr>
                <w:b/>
                <w:sz w:val="20"/>
                <w:szCs w:val="20"/>
              </w:rPr>
            </w:pPr>
            <w:r w:rsidRPr="00601C82">
              <w:rPr>
                <w:b/>
                <w:sz w:val="20"/>
                <w:szCs w:val="20"/>
              </w:rPr>
              <w:t>Tempo</w:t>
            </w:r>
          </w:p>
          <w:p w:rsidR="00097E25" w:rsidRPr="00601C82" w:rsidRDefault="00097E25" w:rsidP="00097E25">
            <w:pPr>
              <w:spacing w:line="360" w:lineRule="auto"/>
              <w:jc w:val="center"/>
              <w:rPr>
                <w:b/>
                <w:sz w:val="20"/>
                <w:szCs w:val="20"/>
              </w:rPr>
            </w:pPr>
            <w:r w:rsidRPr="00601C82">
              <w:rPr>
                <w:b/>
                <w:sz w:val="20"/>
                <w:szCs w:val="20"/>
              </w:rPr>
              <w:t>(min)</w:t>
            </w:r>
          </w:p>
        </w:tc>
        <w:tc>
          <w:tcPr>
            <w:tcW w:w="1970" w:type="dxa"/>
            <w:tcBorders>
              <w:left w:val="dotted" w:sz="4" w:space="0" w:color="auto"/>
              <w:bottom w:val="single" w:sz="4" w:space="0" w:color="auto"/>
              <w:right w:val="dotted" w:sz="4" w:space="0" w:color="auto"/>
            </w:tcBorders>
            <w:vAlign w:val="center"/>
          </w:tcPr>
          <w:p w:rsidR="00097E25" w:rsidRPr="00601C82" w:rsidRDefault="00097E25" w:rsidP="00097E25">
            <w:pPr>
              <w:spacing w:line="360" w:lineRule="auto"/>
              <w:jc w:val="center"/>
              <w:rPr>
                <w:b/>
                <w:sz w:val="20"/>
                <w:szCs w:val="20"/>
                <w:lang w:val="es-ES"/>
              </w:rPr>
            </w:pPr>
            <w:r w:rsidRPr="00601C82">
              <w:rPr>
                <w:b/>
                <w:sz w:val="20"/>
                <w:szCs w:val="20"/>
                <w:lang w:val="es-ES"/>
              </w:rPr>
              <w:t>Capacitância</w:t>
            </w:r>
          </w:p>
          <w:p w:rsidR="00097E25" w:rsidRPr="00601C82" w:rsidRDefault="00097E25" w:rsidP="00097E25">
            <w:pPr>
              <w:spacing w:line="360" w:lineRule="auto"/>
              <w:jc w:val="center"/>
              <w:rPr>
                <w:b/>
                <w:sz w:val="20"/>
                <w:szCs w:val="20"/>
                <w:lang w:val="es-ES"/>
              </w:rPr>
            </w:pPr>
            <w:r w:rsidRPr="00601C82">
              <w:rPr>
                <w:b/>
                <w:sz w:val="20"/>
                <w:szCs w:val="20"/>
                <w:lang w:val="es-ES"/>
              </w:rPr>
              <w:t>(pF)</w:t>
            </w:r>
          </w:p>
        </w:tc>
      </w:tr>
      <w:tr w:rsidR="00097E25" w:rsidRPr="00601C82" w:rsidTr="00097E25">
        <w:trPr>
          <w:jc w:val="center"/>
        </w:trPr>
        <w:tc>
          <w:tcPr>
            <w:tcW w:w="1056" w:type="dxa"/>
            <w:tcBorders>
              <w:left w:val="nil"/>
              <w:bottom w:val="dotted" w:sz="4" w:space="0" w:color="auto"/>
              <w:right w:val="nil"/>
            </w:tcBorders>
            <w:vAlign w:val="center"/>
          </w:tcPr>
          <w:p w:rsidR="00097E25" w:rsidRPr="00601C82" w:rsidRDefault="00097E25" w:rsidP="00097E25">
            <w:pPr>
              <w:spacing w:line="360" w:lineRule="auto"/>
              <w:jc w:val="center"/>
              <w:rPr>
                <w:b/>
                <w:sz w:val="20"/>
                <w:szCs w:val="20"/>
              </w:rPr>
            </w:pPr>
            <w:r w:rsidRPr="00601C82">
              <w:rPr>
                <w:b/>
                <w:sz w:val="20"/>
                <w:szCs w:val="20"/>
              </w:rPr>
              <w:t>1</w:t>
            </w:r>
          </w:p>
        </w:tc>
        <w:tc>
          <w:tcPr>
            <w:tcW w:w="1889" w:type="dxa"/>
            <w:tcBorders>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color w:val="000000"/>
                <w:sz w:val="20"/>
                <w:szCs w:val="20"/>
              </w:rPr>
              <w:t>1,0</w:t>
            </w:r>
          </w:p>
        </w:tc>
        <w:tc>
          <w:tcPr>
            <w:tcW w:w="1719" w:type="dxa"/>
            <w:tcBorders>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color w:val="000000"/>
                <w:sz w:val="20"/>
                <w:szCs w:val="20"/>
              </w:rPr>
              <w:t>50</w:t>
            </w:r>
          </w:p>
        </w:tc>
        <w:tc>
          <w:tcPr>
            <w:tcW w:w="1192" w:type="dxa"/>
            <w:tcBorders>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color w:val="000000"/>
                <w:sz w:val="20"/>
                <w:szCs w:val="20"/>
              </w:rPr>
              <w:t>60</w:t>
            </w:r>
          </w:p>
        </w:tc>
        <w:tc>
          <w:tcPr>
            <w:tcW w:w="1970" w:type="dxa"/>
            <w:tcBorders>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sz w:val="20"/>
                <w:szCs w:val="20"/>
              </w:rPr>
              <w:t>94,953</w:t>
            </w:r>
          </w:p>
        </w:tc>
      </w:tr>
      <w:tr w:rsidR="00097E25" w:rsidRPr="00601C82" w:rsidTr="00097E25">
        <w:trPr>
          <w:jc w:val="center"/>
        </w:trPr>
        <w:tc>
          <w:tcPr>
            <w:tcW w:w="1056"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b/>
                <w:sz w:val="20"/>
                <w:szCs w:val="20"/>
              </w:rPr>
            </w:pPr>
            <w:r w:rsidRPr="00601C82">
              <w:rPr>
                <w:b/>
                <w:sz w:val="20"/>
                <w:szCs w:val="20"/>
              </w:rPr>
              <w:lastRenderedPageBreak/>
              <w:t>2</w:t>
            </w:r>
          </w:p>
        </w:tc>
        <w:tc>
          <w:tcPr>
            <w:tcW w:w="1889"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color w:val="000000"/>
                <w:sz w:val="20"/>
                <w:szCs w:val="20"/>
              </w:rPr>
              <w:t>1,0</w:t>
            </w:r>
          </w:p>
        </w:tc>
        <w:tc>
          <w:tcPr>
            <w:tcW w:w="1719"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color w:val="000000"/>
                <w:sz w:val="20"/>
                <w:szCs w:val="20"/>
              </w:rPr>
              <w:t>50</w:t>
            </w:r>
          </w:p>
        </w:tc>
        <w:tc>
          <w:tcPr>
            <w:tcW w:w="1192"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color w:val="000000"/>
                <w:sz w:val="20"/>
                <w:szCs w:val="20"/>
              </w:rPr>
              <w:t>120</w:t>
            </w:r>
          </w:p>
        </w:tc>
        <w:tc>
          <w:tcPr>
            <w:tcW w:w="1970"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sz w:val="20"/>
                <w:szCs w:val="20"/>
              </w:rPr>
              <w:t>95,609</w:t>
            </w:r>
          </w:p>
        </w:tc>
      </w:tr>
      <w:tr w:rsidR="00097E25" w:rsidRPr="00601C82" w:rsidTr="00097E25">
        <w:trPr>
          <w:jc w:val="center"/>
        </w:trPr>
        <w:tc>
          <w:tcPr>
            <w:tcW w:w="1056"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b/>
                <w:sz w:val="20"/>
                <w:szCs w:val="20"/>
              </w:rPr>
            </w:pPr>
            <w:r w:rsidRPr="00601C82">
              <w:rPr>
                <w:b/>
                <w:sz w:val="20"/>
                <w:szCs w:val="20"/>
              </w:rPr>
              <w:t>3</w:t>
            </w:r>
          </w:p>
        </w:tc>
        <w:tc>
          <w:tcPr>
            <w:tcW w:w="1889"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color w:val="000000"/>
                <w:sz w:val="20"/>
                <w:szCs w:val="20"/>
              </w:rPr>
              <w:t>1,0</w:t>
            </w:r>
          </w:p>
        </w:tc>
        <w:tc>
          <w:tcPr>
            <w:tcW w:w="1719"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color w:val="000000"/>
                <w:sz w:val="20"/>
                <w:szCs w:val="20"/>
              </w:rPr>
              <w:t>70</w:t>
            </w:r>
          </w:p>
        </w:tc>
        <w:tc>
          <w:tcPr>
            <w:tcW w:w="1192"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color w:val="000000"/>
                <w:sz w:val="20"/>
                <w:szCs w:val="20"/>
              </w:rPr>
              <w:t>60</w:t>
            </w:r>
          </w:p>
        </w:tc>
        <w:tc>
          <w:tcPr>
            <w:tcW w:w="1970"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sz w:val="20"/>
                <w:szCs w:val="20"/>
              </w:rPr>
              <w:t>93,687</w:t>
            </w:r>
          </w:p>
        </w:tc>
      </w:tr>
      <w:tr w:rsidR="00097E25" w:rsidRPr="00601C82" w:rsidTr="00097E25">
        <w:trPr>
          <w:jc w:val="center"/>
        </w:trPr>
        <w:tc>
          <w:tcPr>
            <w:tcW w:w="1056"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b/>
                <w:sz w:val="20"/>
                <w:szCs w:val="20"/>
              </w:rPr>
            </w:pPr>
            <w:r w:rsidRPr="00601C82">
              <w:rPr>
                <w:b/>
                <w:sz w:val="20"/>
                <w:szCs w:val="20"/>
              </w:rPr>
              <w:t>4</w:t>
            </w:r>
          </w:p>
        </w:tc>
        <w:tc>
          <w:tcPr>
            <w:tcW w:w="1889"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color w:val="000000"/>
                <w:sz w:val="20"/>
                <w:szCs w:val="20"/>
              </w:rPr>
              <w:t>1,0</w:t>
            </w:r>
          </w:p>
        </w:tc>
        <w:tc>
          <w:tcPr>
            <w:tcW w:w="1719"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color w:val="000000"/>
                <w:sz w:val="20"/>
                <w:szCs w:val="20"/>
              </w:rPr>
              <w:t>70</w:t>
            </w:r>
          </w:p>
        </w:tc>
        <w:tc>
          <w:tcPr>
            <w:tcW w:w="1192"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color w:val="000000"/>
                <w:sz w:val="20"/>
                <w:szCs w:val="20"/>
              </w:rPr>
              <w:t>120</w:t>
            </w:r>
          </w:p>
        </w:tc>
        <w:tc>
          <w:tcPr>
            <w:tcW w:w="1970"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sz w:val="20"/>
                <w:szCs w:val="20"/>
              </w:rPr>
              <w:t>93,687</w:t>
            </w:r>
          </w:p>
        </w:tc>
      </w:tr>
      <w:tr w:rsidR="00097E25" w:rsidRPr="00601C82" w:rsidTr="00097E25">
        <w:trPr>
          <w:jc w:val="center"/>
        </w:trPr>
        <w:tc>
          <w:tcPr>
            <w:tcW w:w="1056"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b/>
                <w:sz w:val="20"/>
                <w:szCs w:val="20"/>
              </w:rPr>
            </w:pPr>
            <w:r w:rsidRPr="00601C82">
              <w:rPr>
                <w:b/>
                <w:sz w:val="20"/>
                <w:szCs w:val="20"/>
              </w:rPr>
              <w:t>5</w:t>
            </w:r>
          </w:p>
        </w:tc>
        <w:tc>
          <w:tcPr>
            <w:tcW w:w="1889"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color w:val="000000"/>
                <w:sz w:val="20"/>
                <w:szCs w:val="20"/>
              </w:rPr>
              <w:t>2,0</w:t>
            </w:r>
          </w:p>
        </w:tc>
        <w:tc>
          <w:tcPr>
            <w:tcW w:w="1719"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color w:val="000000"/>
                <w:sz w:val="20"/>
                <w:szCs w:val="20"/>
              </w:rPr>
              <w:t>50</w:t>
            </w:r>
          </w:p>
        </w:tc>
        <w:tc>
          <w:tcPr>
            <w:tcW w:w="1192"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color w:val="000000"/>
                <w:sz w:val="20"/>
                <w:szCs w:val="20"/>
              </w:rPr>
              <w:t>60</w:t>
            </w:r>
          </w:p>
        </w:tc>
        <w:tc>
          <w:tcPr>
            <w:tcW w:w="1970"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sz w:val="20"/>
                <w:szCs w:val="20"/>
              </w:rPr>
              <w:t>95,609</w:t>
            </w:r>
          </w:p>
        </w:tc>
      </w:tr>
      <w:tr w:rsidR="00097E25" w:rsidRPr="00601C82" w:rsidTr="00097E25">
        <w:trPr>
          <w:jc w:val="center"/>
        </w:trPr>
        <w:tc>
          <w:tcPr>
            <w:tcW w:w="1056"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b/>
                <w:sz w:val="20"/>
                <w:szCs w:val="20"/>
              </w:rPr>
            </w:pPr>
            <w:r w:rsidRPr="00601C82">
              <w:rPr>
                <w:b/>
                <w:sz w:val="20"/>
                <w:szCs w:val="20"/>
              </w:rPr>
              <w:t>6</w:t>
            </w:r>
          </w:p>
        </w:tc>
        <w:tc>
          <w:tcPr>
            <w:tcW w:w="1889"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color w:val="000000"/>
                <w:sz w:val="20"/>
                <w:szCs w:val="20"/>
              </w:rPr>
              <w:t>2,0</w:t>
            </w:r>
          </w:p>
        </w:tc>
        <w:tc>
          <w:tcPr>
            <w:tcW w:w="1719"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color w:val="000000"/>
                <w:sz w:val="20"/>
                <w:szCs w:val="20"/>
              </w:rPr>
              <w:t>50</w:t>
            </w:r>
          </w:p>
        </w:tc>
        <w:tc>
          <w:tcPr>
            <w:tcW w:w="1192"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color w:val="000000"/>
                <w:sz w:val="20"/>
                <w:szCs w:val="20"/>
              </w:rPr>
              <w:t>120</w:t>
            </w:r>
          </w:p>
        </w:tc>
        <w:tc>
          <w:tcPr>
            <w:tcW w:w="1970"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sz w:val="20"/>
                <w:szCs w:val="20"/>
              </w:rPr>
              <w:t>95,609</w:t>
            </w:r>
          </w:p>
        </w:tc>
      </w:tr>
      <w:tr w:rsidR="00097E25" w:rsidRPr="00601C82" w:rsidTr="00097E25">
        <w:trPr>
          <w:jc w:val="center"/>
        </w:trPr>
        <w:tc>
          <w:tcPr>
            <w:tcW w:w="1056"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b/>
                <w:sz w:val="20"/>
                <w:szCs w:val="20"/>
              </w:rPr>
            </w:pPr>
            <w:r w:rsidRPr="00601C82">
              <w:rPr>
                <w:b/>
                <w:sz w:val="20"/>
                <w:szCs w:val="20"/>
              </w:rPr>
              <w:t>7</w:t>
            </w:r>
          </w:p>
        </w:tc>
        <w:tc>
          <w:tcPr>
            <w:tcW w:w="1889"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color w:val="000000"/>
                <w:sz w:val="20"/>
                <w:szCs w:val="20"/>
              </w:rPr>
              <w:t>2,0</w:t>
            </w:r>
          </w:p>
        </w:tc>
        <w:tc>
          <w:tcPr>
            <w:tcW w:w="1719"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color w:val="000000"/>
                <w:sz w:val="20"/>
                <w:szCs w:val="20"/>
              </w:rPr>
              <w:t>70</w:t>
            </w:r>
          </w:p>
        </w:tc>
        <w:tc>
          <w:tcPr>
            <w:tcW w:w="1192"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color w:val="000000"/>
                <w:sz w:val="20"/>
                <w:szCs w:val="20"/>
              </w:rPr>
              <w:t>60</w:t>
            </w:r>
          </w:p>
        </w:tc>
        <w:tc>
          <w:tcPr>
            <w:tcW w:w="1970"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sz w:val="20"/>
                <w:szCs w:val="20"/>
              </w:rPr>
              <w:t>95,609</w:t>
            </w:r>
          </w:p>
        </w:tc>
      </w:tr>
      <w:tr w:rsidR="00097E25" w:rsidRPr="00601C82" w:rsidTr="00097E25">
        <w:trPr>
          <w:jc w:val="center"/>
        </w:trPr>
        <w:tc>
          <w:tcPr>
            <w:tcW w:w="1056"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b/>
                <w:sz w:val="20"/>
                <w:szCs w:val="20"/>
              </w:rPr>
            </w:pPr>
            <w:r w:rsidRPr="00601C82">
              <w:rPr>
                <w:b/>
                <w:sz w:val="20"/>
                <w:szCs w:val="20"/>
              </w:rPr>
              <w:t>8</w:t>
            </w:r>
          </w:p>
        </w:tc>
        <w:tc>
          <w:tcPr>
            <w:tcW w:w="1889"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color w:val="000000"/>
                <w:sz w:val="20"/>
                <w:szCs w:val="20"/>
              </w:rPr>
              <w:t>2,0</w:t>
            </w:r>
          </w:p>
        </w:tc>
        <w:tc>
          <w:tcPr>
            <w:tcW w:w="1719"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color w:val="000000"/>
                <w:sz w:val="20"/>
                <w:szCs w:val="20"/>
              </w:rPr>
              <w:t>70</w:t>
            </w:r>
          </w:p>
        </w:tc>
        <w:tc>
          <w:tcPr>
            <w:tcW w:w="1192"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color w:val="000000"/>
                <w:sz w:val="20"/>
                <w:szCs w:val="20"/>
              </w:rPr>
              <w:t>120</w:t>
            </w:r>
          </w:p>
        </w:tc>
        <w:tc>
          <w:tcPr>
            <w:tcW w:w="1970"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sz w:val="20"/>
                <w:szCs w:val="20"/>
              </w:rPr>
              <w:t>93,524</w:t>
            </w:r>
          </w:p>
        </w:tc>
      </w:tr>
      <w:tr w:rsidR="00097E25" w:rsidRPr="00601C82" w:rsidTr="00097E25">
        <w:trPr>
          <w:jc w:val="center"/>
        </w:trPr>
        <w:tc>
          <w:tcPr>
            <w:tcW w:w="1056"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b/>
                <w:sz w:val="20"/>
                <w:szCs w:val="20"/>
              </w:rPr>
            </w:pPr>
            <w:r w:rsidRPr="00601C82">
              <w:rPr>
                <w:b/>
                <w:sz w:val="20"/>
                <w:szCs w:val="20"/>
              </w:rPr>
              <w:t>9</w:t>
            </w:r>
          </w:p>
        </w:tc>
        <w:tc>
          <w:tcPr>
            <w:tcW w:w="1889"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color w:val="000000"/>
                <w:sz w:val="20"/>
                <w:szCs w:val="20"/>
              </w:rPr>
              <w:t>0,66</w:t>
            </w:r>
          </w:p>
        </w:tc>
        <w:tc>
          <w:tcPr>
            <w:tcW w:w="1719"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color w:val="000000"/>
                <w:sz w:val="20"/>
                <w:szCs w:val="20"/>
              </w:rPr>
              <w:t>60</w:t>
            </w:r>
          </w:p>
        </w:tc>
        <w:tc>
          <w:tcPr>
            <w:tcW w:w="1192"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color w:val="000000"/>
                <w:sz w:val="20"/>
                <w:szCs w:val="20"/>
              </w:rPr>
              <w:t>90</w:t>
            </w:r>
          </w:p>
        </w:tc>
        <w:tc>
          <w:tcPr>
            <w:tcW w:w="1970"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sz w:val="20"/>
                <w:szCs w:val="20"/>
              </w:rPr>
              <w:t>94,050</w:t>
            </w:r>
          </w:p>
        </w:tc>
      </w:tr>
      <w:tr w:rsidR="00097E25" w:rsidRPr="00601C82" w:rsidTr="00097E25">
        <w:trPr>
          <w:jc w:val="center"/>
        </w:trPr>
        <w:tc>
          <w:tcPr>
            <w:tcW w:w="1056"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b/>
                <w:sz w:val="20"/>
                <w:szCs w:val="20"/>
              </w:rPr>
            </w:pPr>
            <w:r w:rsidRPr="00601C82">
              <w:rPr>
                <w:b/>
                <w:sz w:val="20"/>
                <w:szCs w:val="20"/>
              </w:rPr>
              <w:t>10</w:t>
            </w:r>
          </w:p>
        </w:tc>
        <w:tc>
          <w:tcPr>
            <w:tcW w:w="1889"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color w:val="000000"/>
                <w:sz w:val="20"/>
                <w:szCs w:val="20"/>
              </w:rPr>
              <w:t>2,34</w:t>
            </w:r>
          </w:p>
        </w:tc>
        <w:tc>
          <w:tcPr>
            <w:tcW w:w="1719"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color w:val="000000"/>
                <w:sz w:val="20"/>
                <w:szCs w:val="20"/>
              </w:rPr>
              <w:t>60</w:t>
            </w:r>
          </w:p>
        </w:tc>
        <w:tc>
          <w:tcPr>
            <w:tcW w:w="1192"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color w:val="000000"/>
                <w:sz w:val="20"/>
                <w:szCs w:val="20"/>
              </w:rPr>
              <w:t>90</w:t>
            </w:r>
          </w:p>
        </w:tc>
        <w:tc>
          <w:tcPr>
            <w:tcW w:w="1970"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sz w:val="20"/>
                <w:szCs w:val="20"/>
              </w:rPr>
              <w:t>93,687</w:t>
            </w:r>
          </w:p>
        </w:tc>
      </w:tr>
      <w:tr w:rsidR="00097E25" w:rsidRPr="00601C82" w:rsidTr="00097E25">
        <w:trPr>
          <w:jc w:val="center"/>
        </w:trPr>
        <w:tc>
          <w:tcPr>
            <w:tcW w:w="1056"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b/>
                <w:sz w:val="20"/>
                <w:szCs w:val="20"/>
              </w:rPr>
            </w:pPr>
            <w:r w:rsidRPr="00601C82">
              <w:rPr>
                <w:b/>
                <w:sz w:val="20"/>
                <w:szCs w:val="20"/>
              </w:rPr>
              <w:t>11</w:t>
            </w:r>
          </w:p>
        </w:tc>
        <w:tc>
          <w:tcPr>
            <w:tcW w:w="1889"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color w:val="000000"/>
                <w:sz w:val="20"/>
                <w:szCs w:val="20"/>
              </w:rPr>
              <w:t>1,5</w:t>
            </w:r>
          </w:p>
        </w:tc>
        <w:tc>
          <w:tcPr>
            <w:tcW w:w="1719"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color w:val="000000"/>
                <w:sz w:val="20"/>
                <w:szCs w:val="20"/>
              </w:rPr>
              <w:t>43,18</w:t>
            </w:r>
          </w:p>
        </w:tc>
        <w:tc>
          <w:tcPr>
            <w:tcW w:w="1192"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color w:val="000000"/>
                <w:sz w:val="20"/>
                <w:szCs w:val="20"/>
              </w:rPr>
              <w:t>90</w:t>
            </w:r>
          </w:p>
        </w:tc>
        <w:tc>
          <w:tcPr>
            <w:tcW w:w="1970"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sz w:val="20"/>
                <w:szCs w:val="20"/>
              </w:rPr>
              <w:t>93,687</w:t>
            </w:r>
          </w:p>
        </w:tc>
      </w:tr>
      <w:tr w:rsidR="00097E25" w:rsidRPr="00601C82" w:rsidTr="00097E25">
        <w:trPr>
          <w:jc w:val="center"/>
        </w:trPr>
        <w:tc>
          <w:tcPr>
            <w:tcW w:w="1056"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b/>
                <w:sz w:val="20"/>
                <w:szCs w:val="20"/>
              </w:rPr>
            </w:pPr>
            <w:r w:rsidRPr="00601C82">
              <w:rPr>
                <w:b/>
                <w:sz w:val="20"/>
                <w:szCs w:val="20"/>
              </w:rPr>
              <w:t>12</w:t>
            </w:r>
          </w:p>
        </w:tc>
        <w:tc>
          <w:tcPr>
            <w:tcW w:w="1889"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color w:val="000000"/>
                <w:sz w:val="20"/>
                <w:szCs w:val="20"/>
              </w:rPr>
              <w:t>1,5</w:t>
            </w:r>
          </w:p>
        </w:tc>
        <w:tc>
          <w:tcPr>
            <w:tcW w:w="1719"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color w:val="000000"/>
                <w:sz w:val="20"/>
                <w:szCs w:val="20"/>
              </w:rPr>
              <w:t>76,82</w:t>
            </w:r>
          </w:p>
        </w:tc>
        <w:tc>
          <w:tcPr>
            <w:tcW w:w="1192"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color w:val="000000"/>
                <w:sz w:val="20"/>
                <w:szCs w:val="20"/>
              </w:rPr>
              <w:t>90</w:t>
            </w:r>
          </w:p>
        </w:tc>
        <w:tc>
          <w:tcPr>
            <w:tcW w:w="1970"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sz w:val="20"/>
                <w:szCs w:val="20"/>
              </w:rPr>
              <w:t>93,687</w:t>
            </w:r>
          </w:p>
        </w:tc>
      </w:tr>
      <w:tr w:rsidR="00097E25" w:rsidRPr="00601C82" w:rsidTr="00097E25">
        <w:trPr>
          <w:jc w:val="center"/>
        </w:trPr>
        <w:tc>
          <w:tcPr>
            <w:tcW w:w="1056"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b/>
                <w:sz w:val="20"/>
                <w:szCs w:val="20"/>
              </w:rPr>
            </w:pPr>
            <w:r w:rsidRPr="00601C82">
              <w:rPr>
                <w:b/>
                <w:sz w:val="20"/>
                <w:szCs w:val="20"/>
              </w:rPr>
              <w:t>13</w:t>
            </w:r>
          </w:p>
        </w:tc>
        <w:tc>
          <w:tcPr>
            <w:tcW w:w="1889"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color w:val="000000"/>
                <w:sz w:val="20"/>
                <w:szCs w:val="20"/>
              </w:rPr>
              <w:t>1,5</w:t>
            </w:r>
          </w:p>
        </w:tc>
        <w:tc>
          <w:tcPr>
            <w:tcW w:w="1719"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color w:val="000000"/>
                <w:sz w:val="20"/>
                <w:szCs w:val="20"/>
              </w:rPr>
              <w:t>60</w:t>
            </w:r>
          </w:p>
        </w:tc>
        <w:tc>
          <w:tcPr>
            <w:tcW w:w="1192"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color w:val="000000"/>
                <w:sz w:val="20"/>
                <w:szCs w:val="20"/>
              </w:rPr>
              <w:t>39,55</w:t>
            </w:r>
          </w:p>
        </w:tc>
        <w:tc>
          <w:tcPr>
            <w:tcW w:w="1970"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sz w:val="20"/>
                <w:szCs w:val="20"/>
              </w:rPr>
              <w:t>93,687</w:t>
            </w:r>
          </w:p>
        </w:tc>
      </w:tr>
      <w:tr w:rsidR="00097E25" w:rsidRPr="00601C82" w:rsidTr="00097E25">
        <w:trPr>
          <w:jc w:val="center"/>
        </w:trPr>
        <w:tc>
          <w:tcPr>
            <w:tcW w:w="1056"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b/>
                <w:color w:val="0070C0"/>
                <w:sz w:val="20"/>
                <w:szCs w:val="20"/>
              </w:rPr>
            </w:pPr>
            <w:r w:rsidRPr="00601C82">
              <w:rPr>
                <w:b/>
                <w:color w:val="0070C0"/>
                <w:sz w:val="20"/>
                <w:szCs w:val="20"/>
              </w:rPr>
              <w:t>14</w:t>
            </w:r>
          </w:p>
        </w:tc>
        <w:tc>
          <w:tcPr>
            <w:tcW w:w="1889"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color w:val="0070C0"/>
                <w:sz w:val="20"/>
                <w:szCs w:val="20"/>
              </w:rPr>
            </w:pPr>
            <w:r w:rsidRPr="00601C82">
              <w:rPr>
                <w:color w:val="0070C0"/>
                <w:sz w:val="20"/>
                <w:szCs w:val="20"/>
              </w:rPr>
              <w:t>1,5</w:t>
            </w:r>
          </w:p>
        </w:tc>
        <w:tc>
          <w:tcPr>
            <w:tcW w:w="1719"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color w:val="0070C0"/>
                <w:sz w:val="20"/>
                <w:szCs w:val="20"/>
              </w:rPr>
            </w:pPr>
            <w:r w:rsidRPr="00601C82">
              <w:rPr>
                <w:color w:val="0070C0"/>
                <w:sz w:val="20"/>
                <w:szCs w:val="20"/>
              </w:rPr>
              <w:t>60</w:t>
            </w:r>
          </w:p>
        </w:tc>
        <w:tc>
          <w:tcPr>
            <w:tcW w:w="1192"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color w:val="0070C0"/>
                <w:sz w:val="20"/>
                <w:szCs w:val="20"/>
              </w:rPr>
            </w:pPr>
            <w:r w:rsidRPr="00601C82">
              <w:rPr>
                <w:color w:val="0070C0"/>
                <w:sz w:val="20"/>
                <w:szCs w:val="20"/>
              </w:rPr>
              <w:t>140,45</w:t>
            </w:r>
          </w:p>
        </w:tc>
        <w:tc>
          <w:tcPr>
            <w:tcW w:w="1970"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color w:val="0070C0"/>
                <w:sz w:val="20"/>
                <w:szCs w:val="20"/>
              </w:rPr>
            </w:pPr>
            <w:r w:rsidRPr="00601C82">
              <w:rPr>
                <w:color w:val="0070C0"/>
                <w:sz w:val="20"/>
                <w:szCs w:val="20"/>
              </w:rPr>
              <w:t>93,231</w:t>
            </w:r>
          </w:p>
        </w:tc>
      </w:tr>
      <w:tr w:rsidR="00097E25" w:rsidRPr="00601C82" w:rsidTr="00097E25">
        <w:trPr>
          <w:jc w:val="center"/>
        </w:trPr>
        <w:tc>
          <w:tcPr>
            <w:tcW w:w="1056"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b/>
                <w:sz w:val="20"/>
                <w:szCs w:val="20"/>
              </w:rPr>
            </w:pPr>
            <w:r w:rsidRPr="00601C82">
              <w:rPr>
                <w:b/>
                <w:sz w:val="20"/>
                <w:szCs w:val="20"/>
              </w:rPr>
              <w:t>15</w:t>
            </w:r>
          </w:p>
        </w:tc>
        <w:tc>
          <w:tcPr>
            <w:tcW w:w="1889"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color w:val="000000"/>
                <w:sz w:val="20"/>
                <w:szCs w:val="20"/>
              </w:rPr>
              <w:t>1,5</w:t>
            </w:r>
          </w:p>
        </w:tc>
        <w:tc>
          <w:tcPr>
            <w:tcW w:w="1719"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color w:val="000000"/>
                <w:sz w:val="20"/>
                <w:szCs w:val="20"/>
              </w:rPr>
              <w:t>60</w:t>
            </w:r>
          </w:p>
        </w:tc>
        <w:tc>
          <w:tcPr>
            <w:tcW w:w="1192"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color w:val="000000"/>
                <w:sz w:val="20"/>
                <w:szCs w:val="20"/>
              </w:rPr>
              <w:t>90</w:t>
            </w:r>
          </w:p>
        </w:tc>
        <w:tc>
          <w:tcPr>
            <w:tcW w:w="1970"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sz w:val="20"/>
                <w:szCs w:val="20"/>
              </w:rPr>
              <w:t>94,062</w:t>
            </w:r>
          </w:p>
        </w:tc>
      </w:tr>
      <w:tr w:rsidR="00097E25" w:rsidRPr="00601C82" w:rsidTr="00097E25">
        <w:trPr>
          <w:jc w:val="center"/>
        </w:trPr>
        <w:tc>
          <w:tcPr>
            <w:tcW w:w="1056"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b/>
                <w:sz w:val="20"/>
                <w:szCs w:val="20"/>
              </w:rPr>
            </w:pPr>
            <w:r w:rsidRPr="00601C82">
              <w:rPr>
                <w:b/>
                <w:sz w:val="20"/>
                <w:szCs w:val="20"/>
              </w:rPr>
              <w:t>16</w:t>
            </w:r>
          </w:p>
        </w:tc>
        <w:tc>
          <w:tcPr>
            <w:tcW w:w="1889"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color w:val="000000"/>
                <w:sz w:val="20"/>
                <w:szCs w:val="20"/>
              </w:rPr>
              <w:t>1,5</w:t>
            </w:r>
          </w:p>
        </w:tc>
        <w:tc>
          <w:tcPr>
            <w:tcW w:w="1719"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color w:val="000000"/>
                <w:sz w:val="20"/>
                <w:szCs w:val="20"/>
              </w:rPr>
              <w:t>60</w:t>
            </w:r>
          </w:p>
        </w:tc>
        <w:tc>
          <w:tcPr>
            <w:tcW w:w="1192"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color w:val="000000"/>
                <w:sz w:val="20"/>
                <w:szCs w:val="20"/>
              </w:rPr>
              <w:t>90</w:t>
            </w:r>
          </w:p>
        </w:tc>
        <w:tc>
          <w:tcPr>
            <w:tcW w:w="1970"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sz w:val="20"/>
                <w:szCs w:val="20"/>
              </w:rPr>
              <w:t>94,019</w:t>
            </w:r>
          </w:p>
        </w:tc>
      </w:tr>
      <w:tr w:rsidR="00097E25" w:rsidRPr="00601C82" w:rsidTr="00097E25">
        <w:trPr>
          <w:jc w:val="center"/>
        </w:trPr>
        <w:tc>
          <w:tcPr>
            <w:tcW w:w="1056"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b/>
                <w:sz w:val="20"/>
                <w:szCs w:val="20"/>
              </w:rPr>
            </w:pPr>
            <w:r w:rsidRPr="00601C82">
              <w:rPr>
                <w:b/>
                <w:sz w:val="20"/>
                <w:szCs w:val="20"/>
              </w:rPr>
              <w:t>17</w:t>
            </w:r>
          </w:p>
        </w:tc>
        <w:tc>
          <w:tcPr>
            <w:tcW w:w="1889"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color w:val="000000"/>
                <w:sz w:val="20"/>
                <w:szCs w:val="20"/>
              </w:rPr>
              <w:t>1,5</w:t>
            </w:r>
          </w:p>
        </w:tc>
        <w:tc>
          <w:tcPr>
            <w:tcW w:w="1719"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color w:val="000000"/>
                <w:sz w:val="20"/>
                <w:szCs w:val="20"/>
              </w:rPr>
              <w:t>60</w:t>
            </w:r>
          </w:p>
        </w:tc>
        <w:tc>
          <w:tcPr>
            <w:tcW w:w="1192"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color w:val="000000"/>
                <w:sz w:val="20"/>
                <w:szCs w:val="20"/>
              </w:rPr>
              <w:t>90</w:t>
            </w:r>
          </w:p>
        </w:tc>
        <w:tc>
          <w:tcPr>
            <w:tcW w:w="1970" w:type="dxa"/>
            <w:tcBorders>
              <w:top w:val="dotted" w:sz="4" w:space="0" w:color="auto"/>
              <w:left w:val="nil"/>
              <w:bottom w:val="dotted" w:sz="4" w:space="0" w:color="auto"/>
              <w:right w:val="nil"/>
            </w:tcBorders>
            <w:vAlign w:val="center"/>
          </w:tcPr>
          <w:p w:rsidR="00097E25" w:rsidRPr="00601C82" w:rsidRDefault="00097E25" w:rsidP="00097E25">
            <w:pPr>
              <w:spacing w:line="360" w:lineRule="auto"/>
              <w:jc w:val="center"/>
              <w:rPr>
                <w:sz w:val="20"/>
                <w:szCs w:val="20"/>
              </w:rPr>
            </w:pPr>
            <w:r w:rsidRPr="00601C82">
              <w:rPr>
                <w:sz w:val="20"/>
                <w:szCs w:val="20"/>
              </w:rPr>
              <w:t>94,019</w:t>
            </w:r>
          </w:p>
        </w:tc>
      </w:tr>
      <w:tr w:rsidR="00097E25" w:rsidRPr="00601C82" w:rsidTr="00097E25">
        <w:trPr>
          <w:jc w:val="center"/>
        </w:trPr>
        <w:tc>
          <w:tcPr>
            <w:tcW w:w="1056" w:type="dxa"/>
            <w:tcBorders>
              <w:top w:val="dotted" w:sz="4" w:space="0" w:color="auto"/>
              <w:left w:val="nil"/>
              <w:bottom w:val="single" w:sz="4" w:space="0" w:color="auto"/>
              <w:right w:val="nil"/>
            </w:tcBorders>
            <w:vAlign w:val="center"/>
          </w:tcPr>
          <w:p w:rsidR="00097E25" w:rsidRPr="00601C82" w:rsidRDefault="00097E25" w:rsidP="00097E25">
            <w:pPr>
              <w:spacing w:line="360" w:lineRule="auto"/>
              <w:jc w:val="center"/>
              <w:rPr>
                <w:b/>
                <w:sz w:val="20"/>
                <w:szCs w:val="20"/>
              </w:rPr>
            </w:pPr>
            <w:r w:rsidRPr="00601C82">
              <w:rPr>
                <w:b/>
                <w:sz w:val="20"/>
                <w:szCs w:val="20"/>
              </w:rPr>
              <w:t>18</w:t>
            </w:r>
          </w:p>
        </w:tc>
        <w:tc>
          <w:tcPr>
            <w:tcW w:w="1889" w:type="dxa"/>
            <w:tcBorders>
              <w:top w:val="dotted" w:sz="4" w:space="0" w:color="auto"/>
              <w:left w:val="nil"/>
              <w:bottom w:val="single" w:sz="4" w:space="0" w:color="auto"/>
              <w:right w:val="nil"/>
            </w:tcBorders>
            <w:vAlign w:val="center"/>
          </w:tcPr>
          <w:p w:rsidR="00097E25" w:rsidRPr="00601C82" w:rsidRDefault="00097E25" w:rsidP="00097E25">
            <w:pPr>
              <w:spacing w:line="360" w:lineRule="auto"/>
              <w:jc w:val="center"/>
              <w:rPr>
                <w:sz w:val="20"/>
                <w:szCs w:val="20"/>
              </w:rPr>
            </w:pPr>
            <w:r w:rsidRPr="00601C82">
              <w:rPr>
                <w:color w:val="000000"/>
                <w:sz w:val="20"/>
                <w:szCs w:val="20"/>
              </w:rPr>
              <w:t>1,5</w:t>
            </w:r>
          </w:p>
        </w:tc>
        <w:tc>
          <w:tcPr>
            <w:tcW w:w="1719" w:type="dxa"/>
            <w:tcBorders>
              <w:top w:val="dotted" w:sz="4" w:space="0" w:color="auto"/>
              <w:left w:val="nil"/>
              <w:bottom w:val="single" w:sz="4" w:space="0" w:color="auto"/>
              <w:right w:val="nil"/>
            </w:tcBorders>
            <w:vAlign w:val="center"/>
          </w:tcPr>
          <w:p w:rsidR="00097E25" w:rsidRPr="00601C82" w:rsidRDefault="00097E25" w:rsidP="00097E25">
            <w:pPr>
              <w:spacing w:line="360" w:lineRule="auto"/>
              <w:jc w:val="center"/>
              <w:rPr>
                <w:sz w:val="20"/>
                <w:szCs w:val="20"/>
              </w:rPr>
            </w:pPr>
            <w:r w:rsidRPr="00601C82">
              <w:rPr>
                <w:color w:val="000000"/>
                <w:sz w:val="20"/>
                <w:szCs w:val="20"/>
              </w:rPr>
              <w:t>60</w:t>
            </w:r>
          </w:p>
        </w:tc>
        <w:tc>
          <w:tcPr>
            <w:tcW w:w="1192" w:type="dxa"/>
            <w:tcBorders>
              <w:top w:val="dotted" w:sz="4" w:space="0" w:color="auto"/>
              <w:left w:val="nil"/>
              <w:bottom w:val="single" w:sz="4" w:space="0" w:color="auto"/>
              <w:right w:val="nil"/>
            </w:tcBorders>
            <w:vAlign w:val="center"/>
          </w:tcPr>
          <w:p w:rsidR="00097E25" w:rsidRPr="00601C82" w:rsidRDefault="00097E25" w:rsidP="00097E25">
            <w:pPr>
              <w:spacing w:line="360" w:lineRule="auto"/>
              <w:jc w:val="center"/>
              <w:rPr>
                <w:sz w:val="20"/>
                <w:szCs w:val="20"/>
              </w:rPr>
            </w:pPr>
            <w:r w:rsidRPr="00601C82">
              <w:rPr>
                <w:color w:val="000000"/>
                <w:sz w:val="20"/>
                <w:szCs w:val="20"/>
              </w:rPr>
              <w:t>90</w:t>
            </w:r>
          </w:p>
        </w:tc>
        <w:tc>
          <w:tcPr>
            <w:tcW w:w="1970" w:type="dxa"/>
            <w:tcBorders>
              <w:top w:val="dotted" w:sz="4" w:space="0" w:color="auto"/>
              <w:left w:val="nil"/>
              <w:bottom w:val="single" w:sz="4" w:space="0" w:color="auto"/>
              <w:right w:val="nil"/>
            </w:tcBorders>
            <w:vAlign w:val="center"/>
          </w:tcPr>
          <w:p w:rsidR="00097E25" w:rsidRPr="00601C82" w:rsidRDefault="00097E25" w:rsidP="00097E25">
            <w:pPr>
              <w:spacing w:line="360" w:lineRule="auto"/>
              <w:jc w:val="center"/>
              <w:rPr>
                <w:sz w:val="20"/>
                <w:szCs w:val="20"/>
              </w:rPr>
            </w:pPr>
            <w:r w:rsidRPr="00601C82">
              <w:rPr>
                <w:sz w:val="20"/>
                <w:szCs w:val="20"/>
              </w:rPr>
              <w:t>94,019</w:t>
            </w:r>
          </w:p>
        </w:tc>
      </w:tr>
    </w:tbl>
    <w:p w:rsidR="00097E25" w:rsidRPr="00601C82" w:rsidRDefault="00097E25" w:rsidP="00097E25">
      <w:pPr>
        <w:spacing w:line="360" w:lineRule="auto"/>
        <w:jc w:val="both"/>
        <w:rPr>
          <w:b/>
          <w:bCs/>
          <w:sz w:val="20"/>
          <w:szCs w:val="20"/>
        </w:rPr>
      </w:pPr>
    </w:p>
    <w:p w:rsidR="00097E25" w:rsidRPr="00A508A9" w:rsidRDefault="00F634A8" w:rsidP="00097E25">
      <w:pPr>
        <w:keepNext/>
        <w:spacing w:line="360" w:lineRule="auto"/>
        <w:outlineLvl w:val="2"/>
        <w:rPr>
          <w:bCs/>
        </w:rPr>
      </w:pPr>
      <w:bookmarkStart w:id="20" w:name="_Toc220323261"/>
      <w:r w:rsidRPr="00A508A9">
        <w:rPr>
          <w:bCs/>
          <w:i/>
        </w:rPr>
        <w:t>3</w:t>
      </w:r>
      <w:r w:rsidR="00097E25" w:rsidRPr="00A508A9">
        <w:rPr>
          <w:bCs/>
          <w:i/>
        </w:rPr>
        <w:t xml:space="preserve">.2.1 </w:t>
      </w:r>
      <w:r w:rsidR="00097E25" w:rsidRPr="00A508A9">
        <w:rPr>
          <w:bCs/>
        </w:rPr>
        <w:t>Efeitos dos fatores</w:t>
      </w:r>
      <w:bookmarkEnd w:id="20"/>
    </w:p>
    <w:p w:rsidR="00097E25" w:rsidRPr="00A508A9" w:rsidRDefault="00097E25" w:rsidP="00097E25">
      <w:pPr>
        <w:spacing w:line="360" w:lineRule="auto"/>
        <w:ind w:firstLine="1134"/>
        <w:jc w:val="both"/>
      </w:pPr>
      <w:r w:rsidRPr="00A508A9">
        <w:t>O gráfico de Pareto ilustra como as variáveis influenciam no processo, tendo como base a linha central do gráfico que serve de referência indicando como essas variáveis influenciaram ou não no processo de produção do biodiesel. As colunas que ultrapassam a linha central indicam quais variáveis influenciaram no processo. A Figura 9  demonstra que a variável teor de magnesol é que influencia significativamente no processo de purificação, de forma negativa, a 95 % de confiança, indicando que quanto menor o teor de silicato de magnésio, menor será a capacitância, logo têm-se um biodiesel purificado, ou seja, isento de contaminantes.</w:t>
      </w:r>
    </w:p>
    <w:p w:rsidR="00097E25" w:rsidRPr="00A508A9" w:rsidRDefault="00097E25" w:rsidP="00097E25">
      <w:pPr>
        <w:spacing w:line="360" w:lineRule="auto"/>
        <w:jc w:val="center"/>
        <w:rPr>
          <w:noProof w:val="0"/>
          <w:color w:val="FF0000"/>
        </w:rPr>
      </w:pPr>
      <w:r w:rsidRPr="00A508A9">
        <w:drawing>
          <wp:inline distT="0" distB="0" distL="0" distR="0" wp14:anchorId="28B812C6" wp14:editId="38B50894">
            <wp:extent cx="4105275" cy="1866900"/>
            <wp:effectExtent l="0" t="0" r="952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5275" cy="1866900"/>
                    </a:xfrm>
                    <a:prstGeom prst="rect">
                      <a:avLst/>
                    </a:prstGeom>
                    <a:noFill/>
                    <a:ln>
                      <a:noFill/>
                    </a:ln>
                  </pic:spPr>
                </pic:pic>
              </a:graphicData>
            </a:graphic>
          </wp:inline>
        </w:drawing>
      </w:r>
    </w:p>
    <w:p w:rsidR="00097E25" w:rsidRPr="00A508A9" w:rsidRDefault="00097E25" w:rsidP="00097E25">
      <w:pPr>
        <w:ind w:firstLine="240"/>
        <w:rPr>
          <w:b/>
          <w:bCs/>
          <w:noProof w:val="0"/>
          <w:color w:val="000000"/>
          <w:sz w:val="20"/>
          <w:szCs w:val="20"/>
        </w:rPr>
      </w:pPr>
      <w:bookmarkStart w:id="21" w:name="_Toc220322596"/>
      <w:r w:rsidRPr="00A508A9">
        <w:rPr>
          <w:b/>
          <w:bCs/>
          <w:sz w:val="20"/>
          <w:szCs w:val="20"/>
        </w:rPr>
        <w:t xml:space="preserve">Figura </w:t>
      </w:r>
      <w:r w:rsidRPr="00A508A9">
        <w:rPr>
          <w:b/>
          <w:bCs/>
          <w:sz w:val="20"/>
          <w:szCs w:val="20"/>
        </w:rPr>
        <w:fldChar w:fldCharType="begin"/>
      </w:r>
      <w:r w:rsidRPr="00A508A9">
        <w:rPr>
          <w:b/>
          <w:bCs/>
          <w:sz w:val="20"/>
          <w:szCs w:val="20"/>
        </w:rPr>
        <w:instrText xml:space="preserve"> SEQ Figura \* ARABIC </w:instrText>
      </w:r>
      <w:r w:rsidRPr="00A508A9">
        <w:rPr>
          <w:b/>
          <w:bCs/>
          <w:sz w:val="20"/>
          <w:szCs w:val="20"/>
        </w:rPr>
        <w:fldChar w:fldCharType="separate"/>
      </w:r>
      <w:r w:rsidRPr="00A508A9">
        <w:rPr>
          <w:b/>
          <w:bCs/>
          <w:sz w:val="20"/>
          <w:szCs w:val="20"/>
        </w:rPr>
        <w:t>9</w:t>
      </w:r>
      <w:r w:rsidRPr="00A508A9">
        <w:rPr>
          <w:b/>
          <w:bCs/>
          <w:sz w:val="20"/>
          <w:szCs w:val="20"/>
        </w:rPr>
        <w:fldChar w:fldCharType="end"/>
      </w:r>
      <w:r w:rsidRPr="00A508A9">
        <w:rPr>
          <w:b/>
          <w:bCs/>
          <w:noProof w:val="0"/>
          <w:color w:val="000000"/>
          <w:sz w:val="20"/>
          <w:szCs w:val="20"/>
        </w:rPr>
        <w:t xml:space="preserve"> - </w:t>
      </w:r>
      <w:r w:rsidRPr="00A508A9">
        <w:rPr>
          <w:bCs/>
          <w:noProof w:val="0"/>
          <w:color w:val="000000"/>
          <w:sz w:val="20"/>
          <w:szCs w:val="20"/>
        </w:rPr>
        <w:t>Gráfico de Pareto para o rendimento do biodiesel etílico de babaçu</w:t>
      </w:r>
      <w:bookmarkEnd w:id="21"/>
    </w:p>
    <w:p w:rsidR="00097E25" w:rsidRPr="00A508A9" w:rsidRDefault="00097E25" w:rsidP="00097E25">
      <w:pPr>
        <w:spacing w:line="360" w:lineRule="auto"/>
        <w:ind w:firstLine="1134"/>
        <w:jc w:val="both"/>
      </w:pPr>
    </w:p>
    <w:p w:rsidR="00097E25" w:rsidRDefault="00097E25" w:rsidP="00097E25">
      <w:pPr>
        <w:spacing w:line="360" w:lineRule="auto"/>
        <w:ind w:firstLine="1134"/>
        <w:jc w:val="both"/>
      </w:pPr>
      <w:r w:rsidRPr="00A508A9">
        <w:lastRenderedPageBreak/>
        <w:t>Avaliou-se os resultados também pelo gráfico de linealidade (Figura 10) e observou-se que as respostas não foram lineares em torno da média para os valores previstos e os observados. Um bom coeficiente de determinação (R</w:t>
      </w:r>
      <w:r w:rsidRPr="00A508A9">
        <w:rPr>
          <w:vertAlign w:val="superscript"/>
        </w:rPr>
        <w:t>2</w:t>
      </w:r>
      <w:r w:rsidRPr="00A508A9">
        <w:t>) é aquele próximo da unidade (1,0), logo para o presente modelo observou-se que o mesmo necessita de ajuste visto que o R</w:t>
      </w:r>
      <w:r w:rsidRPr="00A508A9">
        <w:rPr>
          <w:vertAlign w:val="superscript"/>
        </w:rPr>
        <w:t>2</w:t>
      </w:r>
      <w:r w:rsidRPr="00A508A9">
        <w:t xml:space="preserve"> foi de 0,87903.</w:t>
      </w:r>
    </w:p>
    <w:p w:rsidR="00097E25" w:rsidRPr="00A508A9" w:rsidRDefault="00097E25" w:rsidP="00097E25">
      <w:pPr>
        <w:keepNext/>
        <w:spacing w:line="360" w:lineRule="auto"/>
        <w:outlineLvl w:val="2"/>
        <w:rPr>
          <w:bCs/>
        </w:rPr>
      </w:pPr>
      <w:bookmarkStart w:id="22" w:name="_Toc220323262"/>
      <w:r w:rsidRPr="00A508A9">
        <w:rPr>
          <w:bCs/>
        </w:rPr>
        <w:t>4.2.2 Análise de Variância</w:t>
      </w:r>
      <w:bookmarkEnd w:id="22"/>
    </w:p>
    <w:p w:rsidR="00097E25" w:rsidRPr="00A508A9" w:rsidRDefault="00097E25" w:rsidP="00097E25">
      <w:pPr>
        <w:spacing w:line="360" w:lineRule="auto"/>
        <w:ind w:firstLine="1134"/>
        <w:jc w:val="both"/>
      </w:pPr>
      <w:r w:rsidRPr="00A508A9">
        <w:t xml:space="preserve">Avaliou-se os resultados também pelo gráfico de linealidade </w:t>
      </w:r>
      <w:r w:rsidRPr="00A508A9">
        <w:rPr>
          <w:color w:val="000000"/>
        </w:rPr>
        <w:t>(Figura 9</w:t>
      </w:r>
      <w:r w:rsidRPr="00A508A9">
        <w:t xml:space="preserve"> ) e observou-se que as respostas não foram lineares em torno da média para os valores previstos e os observados. Um bom coeficiente de determinação (R</w:t>
      </w:r>
      <w:r w:rsidRPr="00A508A9">
        <w:rPr>
          <w:vertAlign w:val="superscript"/>
        </w:rPr>
        <w:t>2</w:t>
      </w:r>
      <w:r w:rsidRPr="00A508A9">
        <w:t>) é aquele próximo da unidade (1,0), logo para o presente modelo observou-se que o mesmo necessita de ajuste visto que o R</w:t>
      </w:r>
      <w:r w:rsidRPr="00A508A9">
        <w:rPr>
          <w:vertAlign w:val="superscript"/>
        </w:rPr>
        <w:t>2</w:t>
      </w:r>
      <w:r w:rsidRPr="00A508A9">
        <w:t xml:space="preserve"> foi de</w:t>
      </w:r>
      <w:r w:rsidRPr="00A508A9">
        <w:rPr>
          <w:color w:val="0000CC"/>
        </w:rPr>
        <w:t xml:space="preserve"> </w:t>
      </w:r>
      <w:r w:rsidRPr="00A508A9">
        <w:t>0,87903.</w:t>
      </w:r>
    </w:p>
    <w:p w:rsidR="00097E25" w:rsidRPr="00A508A9" w:rsidRDefault="00097E25" w:rsidP="00097E25">
      <w:pPr>
        <w:spacing w:line="360" w:lineRule="auto"/>
        <w:jc w:val="center"/>
        <w:rPr>
          <w:noProof w:val="0"/>
          <w:color w:val="000000"/>
        </w:rPr>
      </w:pPr>
      <w:r w:rsidRPr="00A508A9">
        <w:object w:dxaOrig="4032" w:dyaOrig="35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75pt;height:255pt" o:ole="">
            <v:imagedata r:id="rId11" o:title=""/>
          </v:shape>
          <o:OLEObject Type="Embed" ProgID="STATISTICA.Graph" ShapeID="_x0000_i1025" DrawAspect="Content" ObjectID="_1530438549" r:id="rId12">
            <o:FieldCodes>\s</o:FieldCodes>
          </o:OLEObject>
        </w:object>
      </w:r>
    </w:p>
    <w:p w:rsidR="00097E25" w:rsidRPr="00A508A9" w:rsidRDefault="00097E25" w:rsidP="00097E25">
      <w:pPr>
        <w:ind w:left="600"/>
        <w:jc w:val="both"/>
        <w:rPr>
          <w:bCs/>
          <w:noProof w:val="0"/>
          <w:color w:val="000000"/>
          <w:sz w:val="20"/>
          <w:szCs w:val="20"/>
        </w:rPr>
      </w:pPr>
      <w:bookmarkStart w:id="23" w:name="_Toc220322597"/>
      <w:r w:rsidRPr="00A508A9">
        <w:rPr>
          <w:b/>
          <w:bCs/>
          <w:sz w:val="20"/>
          <w:szCs w:val="20"/>
        </w:rPr>
        <w:t xml:space="preserve">Figura </w:t>
      </w:r>
      <w:r w:rsidRPr="00A508A9">
        <w:rPr>
          <w:b/>
          <w:bCs/>
          <w:sz w:val="20"/>
          <w:szCs w:val="20"/>
        </w:rPr>
        <w:fldChar w:fldCharType="begin"/>
      </w:r>
      <w:r w:rsidRPr="00A508A9">
        <w:rPr>
          <w:b/>
          <w:bCs/>
          <w:sz w:val="20"/>
          <w:szCs w:val="20"/>
        </w:rPr>
        <w:instrText xml:space="preserve"> SEQ Figura \* ARABIC </w:instrText>
      </w:r>
      <w:r w:rsidRPr="00A508A9">
        <w:rPr>
          <w:b/>
          <w:bCs/>
          <w:sz w:val="20"/>
          <w:szCs w:val="20"/>
        </w:rPr>
        <w:fldChar w:fldCharType="separate"/>
      </w:r>
      <w:r w:rsidRPr="00A508A9">
        <w:rPr>
          <w:b/>
          <w:bCs/>
          <w:sz w:val="20"/>
          <w:szCs w:val="20"/>
        </w:rPr>
        <w:t>10</w:t>
      </w:r>
      <w:r w:rsidRPr="00A508A9">
        <w:rPr>
          <w:b/>
          <w:bCs/>
          <w:sz w:val="20"/>
          <w:szCs w:val="20"/>
        </w:rPr>
        <w:fldChar w:fldCharType="end"/>
      </w:r>
      <w:r w:rsidRPr="00A508A9">
        <w:rPr>
          <w:b/>
          <w:bCs/>
          <w:noProof w:val="0"/>
          <w:color w:val="000000"/>
          <w:sz w:val="20"/>
          <w:szCs w:val="20"/>
        </w:rPr>
        <w:t xml:space="preserve"> - </w:t>
      </w:r>
      <w:r w:rsidRPr="00A508A9">
        <w:rPr>
          <w:bCs/>
          <w:noProof w:val="0"/>
          <w:color w:val="000000"/>
          <w:sz w:val="20"/>
          <w:szCs w:val="20"/>
        </w:rPr>
        <w:t>Valores previstos pelo modelo versus valores observados no experimento para o rendimento do BEB</w:t>
      </w:r>
      <w:bookmarkEnd w:id="23"/>
    </w:p>
    <w:p w:rsidR="00A508A9" w:rsidRDefault="00A508A9" w:rsidP="00097E25">
      <w:pPr>
        <w:spacing w:line="360" w:lineRule="auto"/>
        <w:ind w:firstLine="1134"/>
        <w:jc w:val="both"/>
        <w:rPr>
          <w:noProof w:val="0"/>
        </w:rPr>
      </w:pPr>
    </w:p>
    <w:p w:rsidR="00097E25" w:rsidRPr="00A508A9" w:rsidRDefault="00097E25" w:rsidP="00097E25">
      <w:pPr>
        <w:spacing w:line="360" w:lineRule="auto"/>
        <w:ind w:firstLine="1134"/>
        <w:jc w:val="both"/>
        <w:rPr>
          <w:noProof w:val="0"/>
        </w:rPr>
      </w:pPr>
      <w:r w:rsidRPr="00A508A9">
        <w:rPr>
          <w:noProof w:val="0"/>
        </w:rPr>
        <w:t>A análise de variância (ANOVA) é o método mais utilizado para se avaliar a qualidade do ajuste de um modelo. Para tanto usa como ferramentas parâmetros estatísticos como a média e somas dos quadrados dos desvios. É importante salientar que uma parte da variação total das observações em torno da média é descrita pela regressão e o restante por conta dos resíduos (Tabela 6).</w:t>
      </w:r>
    </w:p>
    <w:p w:rsidR="00097E25" w:rsidRPr="00A508A9" w:rsidRDefault="00097E25" w:rsidP="00097E25">
      <w:pPr>
        <w:ind w:firstLine="600"/>
        <w:rPr>
          <w:b/>
          <w:bCs/>
          <w:noProof w:val="0"/>
          <w:color w:val="000000"/>
        </w:rPr>
      </w:pPr>
      <w:bookmarkStart w:id="24" w:name="_Toc220322622"/>
      <w:r w:rsidRPr="00A508A9">
        <w:rPr>
          <w:b/>
          <w:bCs/>
        </w:rPr>
        <w:t xml:space="preserve">Tabela </w:t>
      </w:r>
      <w:r w:rsidRPr="00A508A9">
        <w:rPr>
          <w:b/>
          <w:bCs/>
        </w:rPr>
        <w:fldChar w:fldCharType="begin"/>
      </w:r>
      <w:r w:rsidRPr="00A508A9">
        <w:rPr>
          <w:b/>
          <w:bCs/>
        </w:rPr>
        <w:instrText xml:space="preserve"> SEQ Tabela \* ARABIC </w:instrText>
      </w:r>
      <w:r w:rsidRPr="00A508A9">
        <w:rPr>
          <w:b/>
          <w:bCs/>
        </w:rPr>
        <w:fldChar w:fldCharType="separate"/>
      </w:r>
      <w:r w:rsidRPr="00A508A9">
        <w:rPr>
          <w:b/>
          <w:bCs/>
        </w:rPr>
        <w:t>6</w:t>
      </w:r>
      <w:r w:rsidRPr="00A508A9">
        <w:rPr>
          <w:b/>
          <w:bCs/>
        </w:rPr>
        <w:fldChar w:fldCharType="end"/>
      </w:r>
      <w:r w:rsidRPr="00A508A9">
        <w:rPr>
          <w:b/>
          <w:noProof w:val="0"/>
          <w:color w:val="000000"/>
        </w:rPr>
        <w:t xml:space="preserve"> - </w:t>
      </w:r>
      <w:r w:rsidRPr="00A508A9">
        <w:rPr>
          <w:bCs/>
          <w:noProof w:val="0"/>
          <w:color w:val="000000"/>
        </w:rPr>
        <w:t>Análise de Variância do modelo</w:t>
      </w:r>
      <w:bookmarkEnd w:id="24"/>
    </w:p>
    <w:tbl>
      <w:tblPr>
        <w:tblW w:w="8601" w:type="dxa"/>
        <w:jc w:val="center"/>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3"/>
        <w:gridCol w:w="1498"/>
        <w:gridCol w:w="1464"/>
        <w:gridCol w:w="1497"/>
        <w:gridCol w:w="842"/>
        <w:gridCol w:w="817"/>
      </w:tblGrid>
      <w:tr w:rsidR="00097E25" w:rsidRPr="00CA67AE" w:rsidTr="00097E25">
        <w:trPr>
          <w:jc w:val="center"/>
        </w:trPr>
        <w:tc>
          <w:tcPr>
            <w:tcW w:w="2483" w:type="dxa"/>
            <w:vMerge w:val="restart"/>
            <w:tcBorders>
              <w:left w:val="nil"/>
              <w:bottom w:val="nil"/>
              <w:right w:val="nil"/>
            </w:tcBorders>
            <w:vAlign w:val="center"/>
          </w:tcPr>
          <w:p w:rsidR="00097E25" w:rsidRPr="00CA67AE" w:rsidRDefault="00097E25" w:rsidP="00097E25">
            <w:pPr>
              <w:spacing w:line="360" w:lineRule="auto"/>
              <w:jc w:val="center"/>
              <w:rPr>
                <w:b/>
                <w:sz w:val="20"/>
                <w:szCs w:val="20"/>
              </w:rPr>
            </w:pPr>
            <w:r w:rsidRPr="00CA67AE">
              <w:rPr>
                <w:b/>
                <w:sz w:val="20"/>
                <w:szCs w:val="20"/>
              </w:rPr>
              <w:t>Efeitos</w:t>
            </w:r>
          </w:p>
        </w:tc>
        <w:tc>
          <w:tcPr>
            <w:tcW w:w="1498" w:type="dxa"/>
            <w:vMerge w:val="restart"/>
            <w:tcBorders>
              <w:left w:val="nil"/>
              <w:bottom w:val="nil"/>
              <w:right w:val="nil"/>
            </w:tcBorders>
            <w:vAlign w:val="center"/>
          </w:tcPr>
          <w:p w:rsidR="00097E25" w:rsidRPr="00CA67AE" w:rsidRDefault="00097E25" w:rsidP="00097E25">
            <w:pPr>
              <w:spacing w:line="360" w:lineRule="auto"/>
              <w:jc w:val="center"/>
              <w:rPr>
                <w:b/>
                <w:sz w:val="20"/>
                <w:szCs w:val="20"/>
              </w:rPr>
            </w:pPr>
            <w:r w:rsidRPr="00CA67AE">
              <w:rPr>
                <w:b/>
                <w:sz w:val="20"/>
                <w:szCs w:val="20"/>
              </w:rPr>
              <w:t>Soma Quadrática</w:t>
            </w:r>
          </w:p>
        </w:tc>
        <w:tc>
          <w:tcPr>
            <w:tcW w:w="1464" w:type="dxa"/>
            <w:vMerge w:val="restart"/>
            <w:tcBorders>
              <w:left w:val="nil"/>
              <w:bottom w:val="nil"/>
              <w:right w:val="nil"/>
            </w:tcBorders>
            <w:vAlign w:val="center"/>
          </w:tcPr>
          <w:p w:rsidR="00097E25" w:rsidRPr="00CA67AE" w:rsidRDefault="00097E25" w:rsidP="00097E25">
            <w:pPr>
              <w:spacing w:line="360" w:lineRule="auto"/>
              <w:jc w:val="center"/>
              <w:rPr>
                <w:b/>
                <w:sz w:val="20"/>
                <w:szCs w:val="20"/>
              </w:rPr>
            </w:pPr>
            <w:r w:rsidRPr="00CA67AE">
              <w:rPr>
                <w:b/>
                <w:sz w:val="20"/>
                <w:szCs w:val="20"/>
              </w:rPr>
              <w:t>Grau de liberdade</w:t>
            </w:r>
          </w:p>
        </w:tc>
        <w:tc>
          <w:tcPr>
            <w:tcW w:w="1497" w:type="dxa"/>
            <w:vMerge w:val="restart"/>
            <w:tcBorders>
              <w:left w:val="nil"/>
              <w:bottom w:val="nil"/>
              <w:right w:val="nil"/>
            </w:tcBorders>
            <w:vAlign w:val="center"/>
          </w:tcPr>
          <w:p w:rsidR="00097E25" w:rsidRPr="00CA67AE" w:rsidRDefault="00097E25" w:rsidP="00097E25">
            <w:pPr>
              <w:spacing w:line="360" w:lineRule="auto"/>
              <w:jc w:val="center"/>
              <w:rPr>
                <w:b/>
                <w:sz w:val="20"/>
                <w:szCs w:val="20"/>
              </w:rPr>
            </w:pPr>
            <w:r w:rsidRPr="00CA67AE">
              <w:rPr>
                <w:b/>
                <w:sz w:val="20"/>
                <w:szCs w:val="20"/>
              </w:rPr>
              <w:t>Média Quadrática</w:t>
            </w:r>
          </w:p>
        </w:tc>
        <w:tc>
          <w:tcPr>
            <w:tcW w:w="1659" w:type="dxa"/>
            <w:gridSpan w:val="2"/>
            <w:tcBorders>
              <w:left w:val="nil"/>
              <w:bottom w:val="nil"/>
              <w:right w:val="nil"/>
            </w:tcBorders>
            <w:vAlign w:val="center"/>
          </w:tcPr>
          <w:p w:rsidR="00097E25" w:rsidRPr="00CA67AE" w:rsidRDefault="00097E25" w:rsidP="00097E25">
            <w:pPr>
              <w:spacing w:line="360" w:lineRule="auto"/>
              <w:jc w:val="center"/>
              <w:rPr>
                <w:b/>
                <w:sz w:val="20"/>
                <w:szCs w:val="20"/>
              </w:rPr>
            </w:pPr>
            <w:r w:rsidRPr="00CA67AE">
              <w:rPr>
                <w:b/>
                <w:sz w:val="20"/>
                <w:szCs w:val="20"/>
              </w:rPr>
              <w:t>Valor F</w:t>
            </w:r>
          </w:p>
        </w:tc>
      </w:tr>
      <w:tr w:rsidR="00097E25" w:rsidRPr="00CA67AE" w:rsidTr="00097E25">
        <w:trPr>
          <w:jc w:val="center"/>
        </w:trPr>
        <w:tc>
          <w:tcPr>
            <w:tcW w:w="2483" w:type="dxa"/>
            <w:vMerge/>
            <w:tcBorders>
              <w:top w:val="nil"/>
              <w:left w:val="nil"/>
              <w:bottom w:val="single" w:sz="4" w:space="0" w:color="auto"/>
              <w:right w:val="nil"/>
            </w:tcBorders>
            <w:vAlign w:val="center"/>
          </w:tcPr>
          <w:p w:rsidR="00097E25" w:rsidRPr="00CA67AE" w:rsidRDefault="00097E25" w:rsidP="00097E25">
            <w:pPr>
              <w:spacing w:line="360" w:lineRule="auto"/>
              <w:jc w:val="center"/>
              <w:rPr>
                <w:sz w:val="20"/>
                <w:szCs w:val="20"/>
              </w:rPr>
            </w:pPr>
          </w:p>
        </w:tc>
        <w:tc>
          <w:tcPr>
            <w:tcW w:w="1498" w:type="dxa"/>
            <w:vMerge/>
            <w:tcBorders>
              <w:top w:val="nil"/>
              <w:left w:val="nil"/>
              <w:bottom w:val="single" w:sz="4" w:space="0" w:color="auto"/>
              <w:right w:val="nil"/>
            </w:tcBorders>
            <w:vAlign w:val="center"/>
          </w:tcPr>
          <w:p w:rsidR="00097E25" w:rsidRPr="00CA67AE" w:rsidRDefault="00097E25" w:rsidP="00097E25">
            <w:pPr>
              <w:spacing w:line="360" w:lineRule="auto"/>
              <w:jc w:val="center"/>
              <w:rPr>
                <w:sz w:val="20"/>
                <w:szCs w:val="20"/>
              </w:rPr>
            </w:pPr>
          </w:p>
        </w:tc>
        <w:tc>
          <w:tcPr>
            <w:tcW w:w="1464" w:type="dxa"/>
            <w:vMerge/>
            <w:tcBorders>
              <w:top w:val="nil"/>
              <w:left w:val="nil"/>
              <w:bottom w:val="single" w:sz="4" w:space="0" w:color="auto"/>
              <w:right w:val="nil"/>
            </w:tcBorders>
            <w:vAlign w:val="center"/>
          </w:tcPr>
          <w:p w:rsidR="00097E25" w:rsidRPr="00CA67AE" w:rsidRDefault="00097E25" w:rsidP="00097E25">
            <w:pPr>
              <w:spacing w:line="360" w:lineRule="auto"/>
              <w:jc w:val="center"/>
              <w:rPr>
                <w:sz w:val="20"/>
                <w:szCs w:val="20"/>
              </w:rPr>
            </w:pPr>
          </w:p>
        </w:tc>
        <w:tc>
          <w:tcPr>
            <w:tcW w:w="1497" w:type="dxa"/>
            <w:vMerge/>
            <w:tcBorders>
              <w:top w:val="nil"/>
              <w:left w:val="nil"/>
              <w:bottom w:val="single" w:sz="4" w:space="0" w:color="auto"/>
              <w:right w:val="nil"/>
            </w:tcBorders>
            <w:vAlign w:val="center"/>
          </w:tcPr>
          <w:p w:rsidR="00097E25" w:rsidRPr="00CA67AE" w:rsidRDefault="00097E25" w:rsidP="00097E25">
            <w:pPr>
              <w:spacing w:line="360" w:lineRule="auto"/>
              <w:jc w:val="center"/>
              <w:rPr>
                <w:sz w:val="20"/>
                <w:szCs w:val="20"/>
              </w:rPr>
            </w:pPr>
          </w:p>
        </w:tc>
        <w:tc>
          <w:tcPr>
            <w:tcW w:w="842" w:type="dxa"/>
            <w:tcBorders>
              <w:top w:val="nil"/>
              <w:left w:val="nil"/>
              <w:bottom w:val="single" w:sz="4" w:space="0" w:color="auto"/>
              <w:right w:val="nil"/>
            </w:tcBorders>
            <w:shd w:val="clear" w:color="auto" w:fill="auto"/>
            <w:vAlign w:val="center"/>
          </w:tcPr>
          <w:p w:rsidR="00097E25" w:rsidRPr="00CA67AE" w:rsidRDefault="00097E25" w:rsidP="00097E25">
            <w:pPr>
              <w:spacing w:line="360" w:lineRule="auto"/>
              <w:jc w:val="center"/>
              <w:rPr>
                <w:b/>
                <w:sz w:val="20"/>
                <w:szCs w:val="20"/>
              </w:rPr>
            </w:pPr>
            <w:r w:rsidRPr="00CA67AE">
              <w:rPr>
                <w:b/>
                <w:sz w:val="20"/>
                <w:szCs w:val="20"/>
              </w:rPr>
              <w:t>Calc</w:t>
            </w:r>
          </w:p>
        </w:tc>
        <w:tc>
          <w:tcPr>
            <w:tcW w:w="817" w:type="dxa"/>
            <w:tcBorders>
              <w:top w:val="nil"/>
              <w:left w:val="nil"/>
              <w:bottom w:val="single" w:sz="4" w:space="0" w:color="auto"/>
              <w:right w:val="nil"/>
            </w:tcBorders>
            <w:shd w:val="clear" w:color="auto" w:fill="auto"/>
            <w:vAlign w:val="center"/>
          </w:tcPr>
          <w:p w:rsidR="00097E25" w:rsidRPr="00CA67AE" w:rsidRDefault="00097E25" w:rsidP="00097E25">
            <w:pPr>
              <w:spacing w:line="360" w:lineRule="auto"/>
              <w:jc w:val="center"/>
              <w:rPr>
                <w:b/>
                <w:sz w:val="20"/>
                <w:szCs w:val="20"/>
              </w:rPr>
            </w:pPr>
            <w:r w:rsidRPr="00CA67AE">
              <w:rPr>
                <w:b/>
                <w:sz w:val="20"/>
                <w:szCs w:val="20"/>
              </w:rPr>
              <w:t>Tab</w:t>
            </w:r>
          </w:p>
        </w:tc>
      </w:tr>
      <w:tr w:rsidR="00097E25" w:rsidRPr="00CA67AE" w:rsidTr="00097E25">
        <w:trPr>
          <w:jc w:val="center"/>
        </w:trPr>
        <w:tc>
          <w:tcPr>
            <w:tcW w:w="2483" w:type="dxa"/>
            <w:tcBorders>
              <w:left w:val="nil"/>
              <w:bottom w:val="nil"/>
              <w:right w:val="nil"/>
            </w:tcBorders>
            <w:vAlign w:val="center"/>
          </w:tcPr>
          <w:p w:rsidR="00097E25" w:rsidRPr="00CA67AE" w:rsidRDefault="00097E25" w:rsidP="00097E25">
            <w:pPr>
              <w:spacing w:line="360" w:lineRule="auto"/>
              <w:jc w:val="center"/>
              <w:rPr>
                <w:sz w:val="20"/>
                <w:szCs w:val="20"/>
              </w:rPr>
            </w:pPr>
            <w:r w:rsidRPr="00CA67AE">
              <w:rPr>
                <w:sz w:val="20"/>
                <w:szCs w:val="20"/>
              </w:rPr>
              <w:lastRenderedPageBreak/>
              <w:t>Regressão (R)</w:t>
            </w:r>
          </w:p>
        </w:tc>
        <w:tc>
          <w:tcPr>
            <w:tcW w:w="1498" w:type="dxa"/>
            <w:tcBorders>
              <w:left w:val="nil"/>
              <w:bottom w:val="nil"/>
              <w:right w:val="nil"/>
            </w:tcBorders>
            <w:vAlign w:val="center"/>
          </w:tcPr>
          <w:p w:rsidR="00097E25" w:rsidRPr="00CA67AE" w:rsidRDefault="00097E25" w:rsidP="00097E25">
            <w:pPr>
              <w:spacing w:line="360" w:lineRule="auto"/>
              <w:jc w:val="center"/>
              <w:rPr>
                <w:sz w:val="20"/>
                <w:szCs w:val="20"/>
              </w:rPr>
            </w:pPr>
            <w:r w:rsidRPr="00CA67AE">
              <w:rPr>
                <w:sz w:val="20"/>
                <w:szCs w:val="20"/>
              </w:rPr>
              <w:t>8,788</w:t>
            </w:r>
          </w:p>
        </w:tc>
        <w:tc>
          <w:tcPr>
            <w:tcW w:w="1464" w:type="dxa"/>
            <w:tcBorders>
              <w:left w:val="nil"/>
              <w:bottom w:val="nil"/>
              <w:right w:val="nil"/>
            </w:tcBorders>
            <w:vAlign w:val="center"/>
          </w:tcPr>
          <w:p w:rsidR="00097E25" w:rsidRPr="00CA67AE" w:rsidRDefault="00097E25" w:rsidP="00097E25">
            <w:pPr>
              <w:spacing w:line="360" w:lineRule="auto"/>
              <w:jc w:val="center"/>
              <w:rPr>
                <w:sz w:val="20"/>
                <w:szCs w:val="20"/>
              </w:rPr>
            </w:pPr>
            <w:r w:rsidRPr="00CA67AE">
              <w:rPr>
                <w:sz w:val="20"/>
                <w:szCs w:val="20"/>
              </w:rPr>
              <w:t>17 – 8 = 9</w:t>
            </w:r>
          </w:p>
        </w:tc>
        <w:tc>
          <w:tcPr>
            <w:tcW w:w="1497" w:type="dxa"/>
            <w:tcBorders>
              <w:left w:val="nil"/>
              <w:bottom w:val="nil"/>
              <w:right w:val="nil"/>
            </w:tcBorders>
            <w:vAlign w:val="center"/>
          </w:tcPr>
          <w:p w:rsidR="00097E25" w:rsidRPr="00CA67AE" w:rsidRDefault="00097E25" w:rsidP="00097E25">
            <w:pPr>
              <w:spacing w:line="360" w:lineRule="auto"/>
              <w:jc w:val="center"/>
              <w:rPr>
                <w:sz w:val="20"/>
                <w:szCs w:val="20"/>
              </w:rPr>
            </w:pPr>
            <w:r w:rsidRPr="00CA67AE">
              <w:rPr>
                <w:sz w:val="20"/>
                <w:szCs w:val="20"/>
              </w:rPr>
              <w:t>0,976</w:t>
            </w:r>
          </w:p>
        </w:tc>
        <w:tc>
          <w:tcPr>
            <w:tcW w:w="842" w:type="dxa"/>
            <w:tcBorders>
              <w:left w:val="nil"/>
              <w:bottom w:val="nil"/>
              <w:right w:val="nil"/>
            </w:tcBorders>
            <w:shd w:val="clear" w:color="auto" w:fill="auto"/>
            <w:vAlign w:val="center"/>
          </w:tcPr>
          <w:p w:rsidR="00097E25" w:rsidRPr="00CA67AE" w:rsidRDefault="00097E25" w:rsidP="00097E25">
            <w:pPr>
              <w:spacing w:line="360" w:lineRule="auto"/>
              <w:jc w:val="center"/>
              <w:rPr>
                <w:sz w:val="20"/>
                <w:szCs w:val="20"/>
              </w:rPr>
            </w:pPr>
            <w:r w:rsidRPr="00CA67AE">
              <w:rPr>
                <w:sz w:val="20"/>
                <w:szCs w:val="20"/>
              </w:rPr>
              <w:t>6,463</w:t>
            </w:r>
          </w:p>
        </w:tc>
        <w:tc>
          <w:tcPr>
            <w:tcW w:w="817" w:type="dxa"/>
            <w:tcBorders>
              <w:left w:val="nil"/>
              <w:bottom w:val="nil"/>
              <w:right w:val="nil"/>
            </w:tcBorders>
            <w:shd w:val="clear" w:color="auto" w:fill="auto"/>
            <w:vAlign w:val="center"/>
          </w:tcPr>
          <w:p w:rsidR="00097E25" w:rsidRPr="00CA67AE" w:rsidRDefault="00097E25" w:rsidP="00097E25">
            <w:pPr>
              <w:spacing w:line="360" w:lineRule="auto"/>
              <w:jc w:val="center"/>
              <w:rPr>
                <w:sz w:val="20"/>
                <w:szCs w:val="20"/>
              </w:rPr>
            </w:pPr>
            <w:r w:rsidRPr="00CA67AE">
              <w:rPr>
                <w:sz w:val="20"/>
                <w:szCs w:val="20"/>
              </w:rPr>
              <w:t>3,23</w:t>
            </w:r>
          </w:p>
        </w:tc>
      </w:tr>
      <w:tr w:rsidR="00097E25" w:rsidRPr="00CA67AE" w:rsidTr="00097E25">
        <w:trPr>
          <w:jc w:val="center"/>
        </w:trPr>
        <w:tc>
          <w:tcPr>
            <w:tcW w:w="2483" w:type="dxa"/>
            <w:tcBorders>
              <w:top w:val="nil"/>
              <w:left w:val="nil"/>
              <w:bottom w:val="nil"/>
              <w:right w:val="nil"/>
            </w:tcBorders>
            <w:vAlign w:val="center"/>
          </w:tcPr>
          <w:p w:rsidR="00097E25" w:rsidRPr="00CA67AE" w:rsidRDefault="00097E25" w:rsidP="00097E25">
            <w:pPr>
              <w:spacing w:line="360" w:lineRule="auto"/>
              <w:jc w:val="center"/>
              <w:rPr>
                <w:sz w:val="20"/>
                <w:szCs w:val="20"/>
              </w:rPr>
            </w:pPr>
            <w:r w:rsidRPr="00CA67AE">
              <w:rPr>
                <w:sz w:val="20"/>
                <w:szCs w:val="20"/>
              </w:rPr>
              <w:t>Resíduos (r)</w:t>
            </w:r>
          </w:p>
        </w:tc>
        <w:tc>
          <w:tcPr>
            <w:tcW w:w="1498" w:type="dxa"/>
            <w:tcBorders>
              <w:top w:val="nil"/>
              <w:left w:val="nil"/>
              <w:bottom w:val="nil"/>
              <w:right w:val="nil"/>
            </w:tcBorders>
            <w:vAlign w:val="center"/>
          </w:tcPr>
          <w:p w:rsidR="00097E25" w:rsidRPr="00CA67AE" w:rsidRDefault="00097E25" w:rsidP="00097E25">
            <w:pPr>
              <w:spacing w:line="360" w:lineRule="auto"/>
              <w:jc w:val="center"/>
              <w:rPr>
                <w:sz w:val="20"/>
                <w:szCs w:val="20"/>
              </w:rPr>
            </w:pPr>
            <w:r w:rsidRPr="00CA67AE">
              <w:rPr>
                <w:sz w:val="20"/>
                <w:szCs w:val="20"/>
              </w:rPr>
              <w:t>1,209</w:t>
            </w:r>
          </w:p>
        </w:tc>
        <w:tc>
          <w:tcPr>
            <w:tcW w:w="1464" w:type="dxa"/>
            <w:tcBorders>
              <w:top w:val="nil"/>
              <w:left w:val="nil"/>
              <w:bottom w:val="nil"/>
              <w:right w:val="nil"/>
            </w:tcBorders>
            <w:vAlign w:val="center"/>
          </w:tcPr>
          <w:p w:rsidR="00097E25" w:rsidRPr="00CA67AE" w:rsidRDefault="00097E25" w:rsidP="00097E25">
            <w:pPr>
              <w:spacing w:line="360" w:lineRule="auto"/>
              <w:jc w:val="center"/>
              <w:rPr>
                <w:sz w:val="20"/>
                <w:szCs w:val="20"/>
              </w:rPr>
            </w:pPr>
            <w:r w:rsidRPr="00CA67AE">
              <w:rPr>
                <w:sz w:val="20"/>
                <w:szCs w:val="20"/>
              </w:rPr>
              <w:t>3 + 5 = 8</w:t>
            </w:r>
          </w:p>
        </w:tc>
        <w:tc>
          <w:tcPr>
            <w:tcW w:w="1497" w:type="dxa"/>
            <w:tcBorders>
              <w:top w:val="nil"/>
              <w:left w:val="nil"/>
              <w:bottom w:val="nil"/>
              <w:right w:val="nil"/>
            </w:tcBorders>
            <w:vAlign w:val="center"/>
          </w:tcPr>
          <w:p w:rsidR="00097E25" w:rsidRPr="00CA67AE" w:rsidRDefault="00097E25" w:rsidP="00097E25">
            <w:pPr>
              <w:spacing w:line="360" w:lineRule="auto"/>
              <w:jc w:val="center"/>
              <w:rPr>
                <w:sz w:val="20"/>
                <w:szCs w:val="20"/>
              </w:rPr>
            </w:pPr>
            <w:r w:rsidRPr="00CA67AE">
              <w:rPr>
                <w:sz w:val="20"/>
                <w:szCs w:val="20"/>
              </w:rPr>
              <w:t>0,151</w:t>
            </w:r>
          </w:p>
        </w:tc>
        <w:tc>
          <w:tcPr>
            <w:tcW w:w="842" w:type="dxa"/>
            <w:tcBorders>
              <w:top w:val="nil"/>
              <w:left w:val="nil"/>
              <w:bottom w:val="nil"/>
              <w:right w:val="nil"/>
            </w:tcBorders>
            <w:shd w:val="clear" w:color="auto" w:fill="auto"/>
            <w:vAlign w:val="center"/>
          </w:tcPr>
          <w:p w:rsidR="00097E25" w:rsidRPr="00CA67AE" w:rsidRDefault="00097E25" w:rsidP="00097E25">
            <w:pPr>
              <w:spacing w:line="360" w:lineRule="auto"/>
              <w:jc w:val="center"/>
              <w:rPr>
                <w:sz w:val="20"/>
                <w:szCs w:val="20"/>
              </w:rPr>
            </w:pPr>
            <w:r w:rsidRPr="00CA67AE">
              <w:rPr>
                <w:sz w:val="20"/>
                <w:szCs w:val="20"/>
              </w:rPr>
              <w:t>-</w:t>
            </w:r>
          </w:p>
        </w:tc>
        <w:tc>
          <w:tcPr>
            <w:tcW w:w="817" w:type="dxa"/>
            <w:tcBorders>
              <w:top w:val="nil"/>
              <w:left w:val="nil"/>
              <w:bottom w:val="nil"/>
              <w:right w:val="nil"/>
            </w:tcBorders>
            <w:shd w:val="clear" w:color="auto" w:fill="auto"/>
            <w:vAlign w:val="center"/>
          </w:tcPr>
          <w:p w:rsidR="00097E25" w:rsidRPr="00CA67AE" w:rsidRDefault="00097E25" w:rsidP="00097E25">
            <w:pPr>
              <w:spacing w:line="360" w:lineRule="auto"/>
              <w:jc w:val="center"/>
              <w:rPr>
                <w:sz w:val="20"/>
                <w:szCs w:val="20"/>
              </w:rPr>
            </w:pPr>
            <w:r w:rsidRPr="00CA67AE">
              <w:rPr>
                <w:sz w:val="20"/>
                <w:szCs w:val="20"/>
              </w:rPr>
              <w:t>-</w:t>
            </w:r>
          </w:p>
        </w:tc>
      </w:tr>
      <w:tr w:rsidR="00097E25" w:rsidRPr="00CA67AE" w:rsidTr="00097E25">
        <w:trPr>
          <w:jc w:val="center"/>
        </w:trPr>
        <w:tc>
          <w:tcPr>
            <w:tcW w:w="2483" w:type="dxa"/>
            <w:tcBorders>
              <w:top w:val="nil"/>
              <w:left w:val="nil"/>
              <w:bottom w:val="single" w:sz="4" w:space="0" w:color="auto"/>
              <w:right w:val="nil"/>
            </w:tcBorders>
            <w:vAlign w:val="center"/>
          </w:tcPr>
          <w:p w:rsidR="00097E25" w:rsidRPr="00CA67AE" w:rsidRDefault="00097E25" w:rsidP="00097E25">
            <w:pPr>
              <w:spacing w:line="360" w:lineRule="auto"/>
              <w:jc w:val="center"/>
              <w:rPr>
                <w:sz w:val="20"/>
                <w:szCs w:val="20"/>
              </w:rPr>
            </w:pPr>
            <w:r w:rsidRPr="00CA67AE">
              <w:rPr>
                <w:sz w:val="20"/>
                <w:szCs w:val="20"/>
              </w:rPr>
              <w:t>Falta de ajuste (FA)</w:t>
            </w:r>
          </w:p>
        </w:tc>
        <w:tc>
          <w:tcPr>
            <w:tcW w:w="1498" w:type="dxa"/>
            <w:tcBorders>
              <w:top w:val="nil"/>
              <w:left w:val="nil"/>
              <w:bottom w:val="single" w:sz="4" w:space="0" w:color="auto"/>
              <w:right w:val="nil"/>
            </w:tcBorders>
            <w:vAlign w:val="center"/>
          </w:tcPr>
          <w:p w:rsidR="00097E25" w:rsidRPr="00CA67AE" w:rsidRDefault="00097E25" w:rsidP="00097E25">
            <w:pPr>
              <w:spacing w:line="360" w:lineRule="auto"/>
              <w:jc w:val="center"/>
              <w:rPr>
                <w:sz w:val="20"/>
                <w:szCs w:val="20"/>
              </w:rPr>
            </w:pPr>
            <w:r w:rsidRPr="00CA67AE">
              <w:rPr>
                <w:sz w:val="20"/>
                <w:szCs w:val="20"/>
              </w:rPr>
              <w:t>0,413</w:t>
            </w:r>
          </w:p>
        </w:tc>
        <w:tc>
          <w:tcPr>
            <w:tcW w:w="1464" w:type="dxa"/>
            <w:tcBorders>
              <w:top w:val="nil"/>
              <w:left w:val="nil"/>
              <w:bottom w:val="single" w:sz="4" w:space="0" w:color="auto"/>
              <w:right w:val="nil"/>
            </w:tcBorders>
            <w:vAlign w:val="center"/>
          </w:tcPr>
          <w:p w:rsidR="00097E25" w:rsidRPr="00CA67AE" w:rsidRDefault="00097E25" w:rsidP="00097E25">
            <w:pPr>
              <w:spacing w:line="360" w:lineRule="auto"/>
              <w:jc w:val="center"/>
              <w:rPr>
                <w:sz w:val="20"/>
                <w:szCs w:val="20"/>
              </w:rPr>
            </w:pPr>
            <w:r w:rsidRPr="00CA67AE">
              <w:rPr>
                <w:sz w:val="20"/>
                <w:szCs w:val="20"/>
              </w:rPr>
              <w:t>5</w:t>
            </w:r>
          </w:p>
        </w:tc>
        <w:tc>
          <w:tcPr>
            <w:tcW w:w="1497" w:type="dxa"/>
            <w:tcBorders>
              <w:top w:val="nil"/>
              <w:left w:val="nil"/>
              <w:bottom w:val="single" w:sz="4" w:space="0" w:color="auto"/>
              <w:right w:val="nil"/>
            </w:tcBorders>
            <w:vAlign w:val="center"/>
          </w:tcPr>
          <w:p w:rsidR="00097E25" w:rsidRPr="00CA67AE" w:rsidRDefault="00097E25" w:rsidP="00097E25">
            <w:pPr>
              <w:spacing w:line="360" w:lineRule="auto"/>
              <w:jc w:val="center"/>
              <w:rPr>
                <w:sz w:val="20"/>
                <w:szCs w:val="20"/>
              </w:rPr>
            </w:pPr>
            <w:r w:rsidRPr="00CA67AE">
              <w:rPr>
                <w:sz w:val="20"/>
                <w:szCs w:val="20"/>
              </w:rPr>
              <w:t>0,082</w:t>
            </w:r>
          </w:p>
        </w:tc>
        <w:tc>
          <w:tcPr>
            <w:tcW w:w="842" w:type="dxa"/>
            <w:tcBorders>
              <w:top w:val="nil"/>
              <w:left w:val="nil"/>
              <w:bottom w:val="single" w:sz="4" w:space="0" w:color="auto"/>
              <w:right w:val="nil"/>
            </w:tcBorders>
            <w:shd w:val="clear" w:color="auto" w:fill="auto"/>
            <w:vAlign w:val="center"/>
          </w:tcPr>
          <w:p w:rsidR="00097E25" w:rsidRPr="00CA67AE" w:rsidRDefault="00097E25" w:rsidP="00097E25">
            <w:pPr>
              <w:spacing w:line="360" w:lineRule="auto"/>
              <w:jc w:val="center"/>
              <w:rPr>
                <w:sz w:val="20"/>
                <w:szCs w:val="20"/>
              </w:rPr>
            </w:pPr>
            <w:r w:rsidRPr="00CA67AE">
              <w:rPr>
                <w:sz w:val="20"/>
                <w:szCs w:val="20"/>
              </w:rPr>
              <w:t>0,309</w:t>
            </w:r>
          </w:p>
        </w:tc>
        <w:tc>
          <w:tcPr>
            <w:tcW w:w="817" w:type="dxa"/>
            <w:tcBorders>
              <w:top w:val="nil"/>
              <w:left w:val="nil"/>
              <w:bottom w:val="single" w:sz="4" w:space="0" w:color="auto"/>
              <w:right w:val="nil"/>
            </w:tcBorders>
            <w:shd w:val="clear" w:color="auto" w:fill="auto"/>
            <w:vAlign w:val="center"/>
          </w:tcPr>
          <w:p w:rsidR="00097E25" w:rsidRPr="00CA67AE" w:rsidRDefault="00097E25" w:rsidP="00097E25">
            <w:pPr>
              <w:spacing w:line="360" w:lineRule="auto"/>
              <w:jc w:val="center"/>
              <w:rPr>
                <w:sz w:val="20"/>
                <w:szCs w:val="20"/>
              </w:rPr>
            </w:pPr>
            <w:r w:rsidRPr="00CA67AE">
              <w:rPr>
                <w:sz w:val="20"/>
                <w:szCs w:val="20"/>
              </w:rPr>
              <w:t>5,41</w:t>
            </w:r>
          </w:p>
        </w:tc>
      </w:tr>
      <w:tr w:rsidR="00097E25" w:rsidRPr="00CA67AE" w:rsidTr="00097E25">
        <w:trPr>
          <w:jc w:val="center"/>
        </w:trPr>
        <w:tc>
          <w:tcPr>
            <w:tcW w:w="2483" w:type="dxa"/>
            <w:tcBorders>
              <w:left w:val="nil"/>
              <w:bottom w:val="nil"/>
              <w:right w:val="nil"/>
            </w:tcBorders>
            <w:vAlign w:val="center"/>
          </w:tcPr>
          <w:p w:rsidR="00097E25" w:rsidRPr="00CA67AE" w:rsidRDefault="00097E25" w:rsidP="00097E25">
            <w:pPr>
              <w:spacing w:line="360" w:lineRule="auto"/>
              <w:jc w:val="center"/>
              <w:rPr>
                <w:sz w:val="20"/>
                <w:szCs w:val="20"/>
              </w:rPr>
            </w:pPr>
            <w:r w:rsidRPr="00CA67AE">
              <w:rPr>
                <w:sz w:val="20"/>
                <w:szCs w:val="20"/>
              </w:rPr>
              <w:t>Erro puro (EP)</w:t>
            </w:r>
          </w:p>
        </w:tc>
        <w:tc>
          <w:tcPr>
            <w:tcW w:w="1498" w:type="dxa"/>
            <w:tcBorders>
              <w:left w:val="nil"/>
              <w:bottom w:val="nil"/>
              <w:right w:val="nil"/>
            </w:tcBorders>
            <w:vAlign w:val="center"/>
          </w:tcPr>
          <w:p w:rsidR="00097E25" w:rsidRPr="00CA67AE" w:rsidRDefault="00097E25" w:rsidP="00097E25">
            <w:pPr>
              <w:spacing w:line="360" w:lineRule="auto"/>
              <w:jc w:val="center"/>
              <w:rPr>
                <w:sz w:val="20"/>
                <w:szCs w:val="20"/>
              </w:rPr>
            </w:pPr>
            <w:r w:rsidRPr="00CA67AE">
              <w:rPr>
                <w:sz w:val="20"/>
                <w:szCs w:val="20"/>
              </w:rPr>
              <w:t>0,796</w:t>
            </w:r>
          </w:p>
        </w:tc>
        <w:tc>
          <w:tcPr>
            <w:tcW w:w="1464" w:type="dxa"/>
            <w:tcBorders>
              <w:left w:val="nil"/>
              <w:bottom w:val="nil"/>
              <w:right w:val="nil"/>
            </w:tcBorders>
            <w:vAlign w:val="center"/>
          </w:tcPr>
          <w:p w:rsidR="00097E25" w:rsidRPr="00CA67AE" w:rsidRDefault="00097E25" w:rsidP="00097E25">
            <w:pPr>
              <w:spacing w:line="360" w:lineRule="auto"/>
              <w:jc w:val="center"/>
              <w:rPr>
                <w:sz w:val="20"/>
                <w:szCs w:val="20"/>
              </w:rPr>
            </w:pPr>
            <w:r w:rsidRPr="00CA67AE">
              <w:rPr>
                <w:sz w:val="20"/>
                <w:szCs w:val="20"/>
              </w:rPr>
              <w:t>3</w:t>
            </w:r>
          </w:p>
        </w:tc>
        <w:tc>
          <w:tcPr>
            <w:tcW w:w="1497" w:type="dxa"/>
            <w:tcBorders>
              <w:left w:val="nil"/>
              <w:bottom w:val="nil"/>
              <w:right w:val="nil"/>
            </w:tcBorders>
            <w:vAlign w:val="center"/>
          </w:tcPr>
          <w:p w:rsidR="00097E25" w:rsidRPr="00CA67AE" w:rsidRDefault="00097E25" w:rsidP="00097E25">
            <w:pPr>
              <w:spacing w:line="360" w:lineRule="auto"/>
              <w:jc w:val="center"/>
              <w:rPr>
                <w:sz w:val="20"/>
                <w:szCs w:val="20"/>
              </w:rPr>
            </w:pPr>
            <w:r w:rsidRPr="00CA67AE">
              <w:rPr>
                <w:sz w:val="20"/>
                <w:szCs w:val="20"/>
              </w:rPr>
              <w:t>0,265</w:t>
            </w:r>
          </w:p>
        </w:tc>
        <w:tc>
          <w:tcPr>
            <w:tcW w:w="842" w:type="dxa"/>
            <w:tcBorders>
              <w:left w:val="nil"/>
              <w:bottom w:val="nil"/>
              <w:right w:val="nil"/>
            </w:tcBorders>
            <w:shd w:val="clear" w:color="auto" w:fill="auto"/>
            <w:vAlign w:val="center"/>
          </w:tcPr>
          <w:p w:rsidR="00097E25" w:rsidRPr="00CA67AE" w:rsidRDefault="00097E25" w:rsidP="00097E25">
            <w:pPr>
              <w:spacing w:line="360" w:lineRule="auto"/>
              <w:jc w:val="center"/>
              <w:rPr>
                <w:sz w:val="20"/>
                <w:szCs w:val="20"/>
              </w:rPr>
            </w:pPr>
            <w:r w:rsidRPr="00CA67AE">
              <w:rPr>
                <w:sz w:val="20"/>
                <w:szCs w:val="20"/>
              </w:rPr>
              <w:t>-</w:t>
            </w:r>
          </w:p>
        </w:tc>
        <w:tc>
          <w:tcPr>
            <w:tcW w:w="817" w:type="dxa"/>
            <w:tcBorders>
              <w:left w:val="nil"/>
              <w:bottom w:val="nil"/>
              <w:right w:val="nil"/>
            </w:tcBorders>
            <w:shd w:val="clear" w:color="auto" w:fill="auto"/>
            <w:vAlign w:val="center"/>
          </w:tcPr>
          <w:p w:rsidR="00097E25" w:rsidRPr="00CA67AE" w:rsidRDefault="00097E25" w:rsidP="00097E25">
            <w:pPr>
              <w:spacing w:line="360" w:lineRule="auto"/>
              <w:jc w:val="center"/>
              <w:rPr>
                <w:sz w:val="20"/>
                <w:szCs w:val="20"/>
              </w:rPr>
            </w:pPr>
            <w:r w:rsidRPr="00CA67AE">
              <w:rPr>
                <w:sz w:val="20"/>
                <w:szCs w:val="20"/>
              </w:rPr>
              <w:t>-</w:t>
            </w:r>
          </w:p>
        </w:tc>
      </w:tr>
      <w:tr w:rsidR="00097E25" w:rsidRPr="00CA67AE" w:rsidTr="00097E25">
        <w:trPr>
          <w:jc w:val="center"/>
        </w:trPr>
        <w:tc>
          <w:tcPr>
            <w:tcW w:w="2483" w:type="dxa"/>
            <w:tcBorders>
              <w:top w:val="nil"/>
              <w:left w:val="nil"/>
              <w:bottom w:val="nil"/>
              <w:right w:val="nil"/>
            </w:tcBorders>
            <w:vAlign w:val="center"/>
          </w:tcPr>
          <w:p w:rsidR="00097E25" w:rsidRPr="00CA67AE" w:rsidRDefault="00097E25" w:rsidP="00097E25">
            <w:pPr>
              <w:spacing w:line="360" w:lineRule="auto"/>
              <w:jc w:val="center"/>
              <w:rPr>
                <w:sz w:val="20"/>
                <w:szCs w:val="20"/>
              </w:rPr>
            </w:pPr>
            <w:r w:rsidRPr="00CA67AE">
              <w:rPr>
                <w:sz w:val="20"/>
                <w:szCs w:val="20"/>
              </w:rPr>
              <w:t>Total</w:t>
            </w:r>
          </w:p>
        </w:tc>
        <w:tc>
          <w:tcPr>
            <w:tcW w:w="1498" w:type="dxa"/>
            <w:tcBorders>
              <w:top w:val="nil"/>
              <w:left w:val="nil"/>
              <w:bottom w:val="nil"/>
              <w:right w:val="nil"/>
            </w:tcBorders>
            <w:vAlign w:val="center"/>
          </w:tcPr>
          <w:p w:rsidR="00097E25" w:rsidRPr="00CA67AE" w:rsidRDefault="00097E25" w:rsidP="00097E25">
            <w:pPr>
              <w:spacing w:line="360" w:lineRule="auto"/>
              <w:jc w:val="center"/>
              <w:rPr>
                <w:sz w:val="20"/>
                <w:szCs w:val="20"/>
              </w:rPr>
            </w:pPr>
            <w:r w:rsidRPr="00CA67AE">
              <w:rPr>
                <w:sz w:val="20"/>
                <w:szCs w:val="20"/>
              </w:rPr>
              <w:t>9,997</w:t>
            </w:r>
          </w:p>
        </w:tc>
        <w:tc>
          <w:tcPr>
            <w:tcW w:w="1464" w:type="dxa"/>
            <w:tcBorders>
              <w:top w:val="nil"/>
              <w:left w:val="nil"/>
              <w:bottom w:val="nil"/>
              <w:right w:val="nil"/>
            </w:tcBorders>
            <w:vAlign w:val="center"/>
          </w:tcPr>
          <w:p w:rsidR="00097E25" w:rsidRPr="00CA67AE" w:rsidRDefault="00097E25" w:rsidP="00097E25">
            <w:pPr>
              <w:spacing w:line="360" w:lineRule="auto"/>
              <w:jc w:val="center"/>
              <w:rPr>
                <w:sz w:val="20"/>
                <w:szCs w:val="20"/>
              </w:rPr>
            </w:pPr>
            <w:r w:rsidRPr="00CA67AE">
              <w:rPr>
                <w:sz w:val="20"/>
                <w:szCs w:val="20"/>
              </w:rPr>
              <w:t>17</w:t>
            </w:r>
          </w:p>
        </w:tc>
        <w:tc>
          <w:tcPr>
            <w:tcW w:w="1497" w:type="dxa"/>
            <w:tcBorders>
              <w:top w:val="nil"/>
              <w:left w:val="nil"/>
              <w:bottom w:val="nil"/>
              <w:right w:val="nil"/>
            </w:tcBorders>
            <w:vAlign w:val="center"/>
          </w:tcPr>
          <w:p w:rsidR="00097E25" w:rsidRPr="00CA67AE" w:rsidRDefault="00097E25" w:rsidP="00097E25">
            <w:pPr>
              <w:spacing w:line="360" w:lineRule="auto"/>
              <w:jc w:val="center"/>
              <w:rPr>
                <w:sz w:val="20"/>
                <w:szCs w:val="20"/>
              </w:rPr>
            </w:pPr>
            <w:r w:rsidRPr="00CA67AE">
              <w:rPr>
                <w:sz w:val="20"/>
                <w:szCs w:val="20"/>
              </w:rPr>
              <w:t>-</w:t>
            </w:r>
          </w:p>
        </w:tc>
        <w:tc>
          <w:tcPr>
            <w:tcW w:w="842" w:type="dxa"/>
            <w:tcBorders>
              <w:top w:val="nil"/>
              <w:left w:val="nil"/>
              <w:bottom w:val="nil"/>
              <w:right w:val="nil"/>
            </w:tcBorders>
            <w:shd w:val="clear" w:color="auto" w:fill="auto"/>
            <w:vAlign w:val="center"/>
          </w:tcPr>
          <w:p w:rsidR="00097E25" w:rsidRPr="00CA67AE" w:rsidRDefault="00097E25" w:rsidP="00097E25">
            <w:pPr>
              <w:spacing w:line="360" w:lineRule="auto"/>
              <w:jc w:val="center"/>
              <w:rPr>
                <w:sz w:val="20"/>
                <w:szCs w:val="20"/>
              </w:rPr>
            </w:pPr>
            <w:r w:rsidRPr="00CA67AE">
              <w:rPr>
                <w:sz w:val="20"/>
                <w:szCs w:val="20"/>
              </w:rPr>
              <w:t>-</w:t>
            </w:r>
          </w:p>
        </w:tc>
        <w:tc>
          <w:tcPr>
            <w:tcW w:w="817" w:type="dxa"/>
            <w:tcBorders>
              <w:top w:val="nil"/>
              <w:left w:val="nil"/>
              <w:bottom w:val="nil"/>
              <w:right w:val="nil"/>
            </w:tcBorders>
            <w:shd w:val="clear" w:color="auto" w:fill="auto"/>
            <w:vAlign w:val="center"/>
          </w:tcPr>
          <w:p w:rsidR="00097E25" w:rsidRPr="00CA67AE" w:rsidRDefault="00097E25" w:rsidP="00097E25">
            <w:pPr>
              <w:spacing w:line="360" w:lineRule="auto"/>
              <w:jc w:val="center"/>
              <w:rPr>
                <w:sz w:val="20"/>
                <w:szCs w:val="20"/>
              </w:rPr>
            </w:pPr>
            <w:r w:rsidRPr="00CA67AE">
              <w:rPr>
                <w:sz w:val="20"/>
                <w:szCs w:val="20"/>
              </w:rPr>
              <w:t>-</w:t>
            </w:r>
          </w:p>
        </w:tc>
      </w:tr>
      <w:tr w:rsidR="00097E25" w:rsidRPr="00CA67AE" w:rsidTr="00097E25">
        <w:trPr>
          <w:jc w:val="center"/>
        </w:trPr>
        <w:tc>
          <w:tcPr>
            <w:tcW w:w="2483" w:type="dxa"/>
            <w:tcBorders>
              <w:top w:val="nil"/>
              <w:left w:val="nil"/>
              <w:bottom w:val="single" w:sz="4" w:space="0" w:color="auto"/>
              <w:right w:val="nil"/>
            </w:tcBorders>
            <w:vAlign w:val="center"/>
          </w:tcPr>
          <w:p w:rsidR="00097E25" w:rsidRPr="00CA67AE" w:rsidRDefault="00097E25" w:rsidP="00097E25">
            <w:pPr>
              <w:spacing w:line="360" w:lineRule="auto"/>
              <w:jc w:val="center"/>
              <w:rPr>
                <w:sz w:val="20"/>
                <w:szCs w:val="20"/>
              </w:rPr>
            </w:pPr>
            <w:r w:rsidRPr="00CA67AE">
              <w:rPr>
                <w:sz w:val="20"/>
                <w:szCs w:val="20"/>
              </w:rPr>
              <w:t>R</w:t>
            </w:r>
            <w:r w:rsidRPr="00CA67AE">
              <w:rPr>
                <w:sz w:val="20"/>
                <w:szCs w:val="20"/>
                <w:vertAlign w:val="superscript"/>
              </w:rPr>
              <w:t>2</w:t>
            </w:r>
          </w:p>
        </w:tc>
        <w:tc>
          <w:tcPr>
            <w:tcW w:w="1498" w:type="dxa"/>
            <w:tcBorders>
              <w:top w:val="nil"/>
              <w:left w:val="nil"/>
              <w:bottom w:val="single" w:sz="4" w:space="0" w:color="auto"/>
              <w:right w:val="nil"/>
            </w:tcBorders>
            <w:vAlign w:val="center"/>
          </w:tcPr>
          <w:p w:rsidR="00097E25" w:rsidRPr="00CA67AE" w:rsidRDefault="00097E25" w:rsidP="00097E25">
            <w:pPr>
              <w:spacing w:line="360" w:lineRule="auto"/>
              <w:jc w:val="center"/>
              <w:rPr>
                <w:sz w:val="20"/>
                <w:szCs w:val="20"/>
              </w:rPr>
            </w:pPr>
            <w:r w:rsidRPr="00CA67AE">
              <w:rPr>
                <w:sz w:val="20"/>
                <w:szCs w:val="20"/>
              </w:rPr>
              <w:t>0,87903</w:t>
            </w:r>
          </w:p>
        </w:tc>
        <w:tc>
          <w:tcPr>
            <w:tcW w:w="1464" w:type="dxa"/>
            <w:tcBorders>
              <w:top w:val="nil"/>
              <w:left w:val="nil"/>
              <w:bottom w:val="single" w:sz="4" w:space="0" w:color="auto"/>
              <w:right w:val="nil"/>
            </w:tcBorders>
            <w:vAlign w:val="center"/>
          </w:tcPr>
          <w:p w:rsidR="00097E25" w:rsidRPr="00CA67AE" w:rsidRDefault="00097E25" w:rsidP="00097E25">
            <w:pPr>
              <w:spacing w:line="360" w:lineRule="auto"/>
              <w:jc w:val="center"/>
              <w:rPr>
                <w:sz w:val="20"/>
                <w:szCs w:val="20"/>
              </w:rPr>
            </w:pPr>
            <w:r w:rsidRPr="00CA67AE">
              <w:rPr>
                <w:sz w:val="20"/>
                <w:szCs w:val="20"/>
              </w:rPr>
              <w:t>-</w:t>
            </w:r>
          </w:p>
        </w:tc>
        <w:tc>
          <w:tcPr>
            <w:tcW w:w="1497" w:type="dxa"/>
            <w:tcBorders>
              <w:top w:val="nil"/>
              <w:left w:val="nil"/>
              <w:bottom w:val="single" w:sz="4" w:space="0" w:color="auto"/>
              <w:right w:val="nil"/>
            </w:tcBorders>
            <w:vAlign w:val="center"/>
          </w:tcPr>
          <w:p w:rsidR="00097E25" w:rsidRPr="00CA67AE" w:rsidRDefault="00097E25" w:rsidP="00097E25">
            <w:pPr>
              <w:spacing w:line="360" w:lineRule="auto"/>
              <w:jc w:val="center"/>
              <w:rPr>
                <w:sz w:val="20"/>
                <w:szCs w:val="20"/>
              </w:rPr>
            </w:pPr>
            <w:r w:rsidRPr="00CA67AE">
              <w:rPr>
                <w:sz w:val="20"/>
                <w:szCs w:val="20"/>
              </w:rPr>
              <w:t>-</w:t>
            </w:r>
          </w:p>
        </w:tc>
        <w:tc>
          <w:tcPr>
            <w:tcW w:w="842" w:type="dxa"/>
            <w:tcBorders>
              <w:top w:val="nil"/>
              <w:left w:val="nil"/>
              <w:bottom w:val="single" w:sz="4" w:space="0" w:color="auto"/>
              <w:right w:val="nil"/>
            </w:tcBorders>
            <w:shd w:val="clear" w:color="auto" w:fill="auto"/>
            <w:vAlign w:val="center"/>
          </w:tcPr>
          <w:p w:rsidR="00097E25" w:rsidRPr="00CA67AE" w:rsidRDefault="00097E25" w:rsidP="00097E25">
            <w:pPr>
              <w:spacing w:line="360" w:lineRule="auto"/>
              <w:jc w:val="center"/>
              <w:rPr>
                <w:sz w:val="20"/>
                <w:szCs w:val="20"/>
              </w:rPr>
            </w:pPr>
            <w:r w:rsidRPr="00CA67AE">
              <w:rPr>
                <w:sz w:val="20"/>
                <w:szCs w:val="20"/>
              </w:rPr>
              <w:t>-</w:t>
            </w:r>
          </w:p>
        </w:tc>
        <w:tc>
          <w:tcPr>
            <w:tcW w:w="817" w:type="dxa"/>
            <w:tcBorders>
              <w:top w:val="nil"/>
              <w:left w:val="nil"/>
              <w:bottom w:val="single" w:sz="4" w:space="0" w:color="auto"/>
              <w:right w:val="nil"/>
            </w:tcBorders>
            <w:shd w:val="clear" w:color="auto" w:fill="auto"/>
            <w:vAlign w:val="center"/>
          </w:tcPr>
          <w:p w:rsidR="00097E25" w:rsidRPr="00CA67AE" w:rsidRDefault="00097E25" w:rsidP="00097E25">
            <w:pPr>
              <w:spacing w:line="360" w:lineRule="auto"/>
              <w:jc w:val="center"/>
              <w:rPr>
                <w:sz w:val="20"/>
                <w:szCs w:val="20"/>
              </w:rPr>
            </w:pPr>
            <w:r w:rsidRPr="00CA67AE">
              <w:rPr>
                <w:sz w:val="20"/>
                <w:szCs w:val="20"/>
              </w:rPr>
              <w:t>-</w:t>
            </w:r>
          </w:p>
        </w:tc>
      </w:tr>
    </w:tbl>
    <w:p w:rsidR="00097E25" w:rsidRPr="00A508A9" w:rsidRDefault="00097E25" w:rsidP="00097E25">
      <w:pPr>
        <w:spacing w:line="360" w:lineRule="auto"/>
        <w:jc w:val="both"/>
        <w:rPr>
          <w:noProof w:val="0"/>
          <w:color w:val="000000"/>
        </w:rPr>
      </w:pPr>
    </w:p>
    <w:p w:rsidR="00097E25" w:rsidRPr="00A508A9" w:rsidRDefault="00097E25" w:rsidP="00097E25">
      <w:pPr>
        <w:spacing w:line="360" w:lineRule="auto"/>
        <w:ind w:firstLine="1134"/>
        <w:jc w:val="both"/>
        <w:rPr>
          <w:noProof w:val="0"/>
        </w:rPr>
      </w:pPr>
      <w:r w:rsidRPr="00A508A9">
        <w:rPr>
          <w:noProof w:val="0"/>
        </w:rPr>
        <w:t>A Soma Quadrática Total (SQ</w:t>
      </w:r>
      <w:r w:rsidRPr="00A508A9">
        <w:rPr>
          <w:noProof w:val="0"/>
          <w:vertAlign w:val="subscript"/>
        </w:rPr>
        <w:t>T</w:t>
      </w:r>
      <w:r w:rsidRPr="00A508A9">
        <w:rPr>
          <w:noProof w:val="0"/>
        </w:rPr>
        <w:t>), isto é, o desvio de um valor observado em relação à média de todas as observações é decomposto em duas parcelas: SQ</w:t>
      </w:r>
      <w:r w:rsidRPr="00A508A9">
        <w:rPr>
          <w:noProof w:val="0"/>
          <w:vertAlign w:val="subscript"/>
        </w:rPr>
        <w:t>T</w:t>
      </w:r>
      <w:r w:rsidRPr="00A508A9">
        <w:rPr>
          <w:noProof w:val="0"/>
        </w:rPr>
        <w:t xml:space="preserve"> = SQ</w:t>
      </w:r>
      <w:r w:rsidRPr="00A508A9">
        <w:rPr>
          <w:noProof w:val="0"/>
          <w:vertAlign w:val="subscript"/>
        </w:rPr>
        <w:t>R</w:t>
      </w:r>
      <w:r w:rsidRPr="00A508A9">
        <w:rPr>
          <w:noProof w:val="0"/>
        </w:rPr>
        <w:t xml:space="preserve"> + </w:t>
      </w:r>
      <w:proofErr w:type="spellStart"/>
      <w:proofErr w:type="gramStart"/>
      <w:r w:rsidRPr="00A508A9">
        <w:rPr>
          <w:noProof w:val="0"/>
        </w:rPr>
        <w:t>SQ</w:t>
      </w:r>
      <w:r w:rsidRPr="00A508A9">
        <w:rPr>
          <w:noProof w:val="0"/>
          <w:vertAlign w:val="subscript"/>
        </w:rPr>
        <w:t>r</w:t>
      </w:r>
      <w:proofErr w:type="spellEnd"/>
      <w:proofErr w:type="gramEnd"/>
      <w:r w:rsidRPr="00A508A9">
        <w:rPr>
          <w:noProof w:val="0"/>
        </w:rPr>
        <w:t>. Onde: SQ</w:t>
      </w:r>
      <w:r w:rsidRPr="00A508A9">
        <w:rPr>
          <w:noProof w:val="0"/>
          <w:vertAlign w:val="subscript"/>
        </w:rPr>
        <w:t xml:space="preserve">R </w:t>
      </w:r>
      <w:r w:rsidRPr="00A508A9">
        <w:rPr>
          <w:noProof w:val="0"/>
        </w:rPr>
        <w:t xml:space="preserve">representa o afastamento do modelo para um ponto em questão, em relação à média global e </w:t>
      </w:r>
      <w:proofErr w:type="spellStart"/>
      <w:proofErr w:type="gramStart"/>
      <w:r w:rsidRPr="00A508A9">
        <w:rPr>
          <w:noProof w:val="0"/>
        </w:rPr>
        <w:t>SQ</w:t>
      </w:r>
      <w:r w:rsidRPr="00A508A9">
        <w:rPr>
          <w:noProof w:val="0"/>
          <w:vertAlign w:val="subscript"/>
        </w:rPr>
        <w:t>r</w:t>
      </w:r>
      <w:proofErr w:type="spellEnd"/>
      <w:proofErr w:type="gramEnd"/>
      <w:r w:rsidRPr="00A508A9">
        <w:rPr>
          <w:noProof w:val="0"/>
        </w:rPr>
        <w:t xml:space="preserve"> representa a diferença entre o valor observado e o valor previsto. Logo, quanto maior for à fração descrita pela regressão (SQ</w:t>
      </w:r>
      <w:r w:rsidRPr="00A508A9">
        <w:rPr>
          <w:noProof w:val="0"/>
          <w:vertAlign w:val="subscript"/>
        </w:rPr>
        <w:t>R</w:t>
      </w:r>
      <w:r w:rsidRPr="00A508A9">
        <w:rPr>
          <w:noProof w:val="0"/>
        </w:rPr>
        <w:t>) melhor será o ajuste do modelo, para que isso aconteça à contribuição residual deve ser pequena.</w:t>
      </w:r>
    </w:p>
    <w:p w:rsidR="00097E25" w:rsidRPr="00A508A9" w:rsidRDefault="00097E25" w:rsidP="00097E25">
      <w:pPr>
        <w:spacing w:line="360" w:lineRule="auto"/>
        <w:ind w:firstLine="1134"/>
        <w:jc w:val="both"/>
        <w:rPr>
          <w:noProof w:val="0"/>
        </w:rPr>
      </w:pPr>
      <w:r w:rsidRPr="00A508A9">
        <w:rPr>
          <w:noProof w:val="0"/>
        </w:rPr>
        <w:t>Essa contribuição residual é dividida em duas parcelas. A primeira é a Soma Quadrática devido ao erro puro (SQ</w:t>
      </w:r>
      <w:r w:rsidRPr="00A508A9">
        <w:rPr>
          <w:noProof w:val="0"/>
          <w:vertAlign w:val="subscript"/>
        </w:rPr>
        <w:t>EP</w:t>
      </w:r>
      <w:r w:rsidRPr="00A508A9">
        <w:rPr>
          <w:noProof w:val="0"/>
        </w:rPr>
        <w:t>) que são erros inerentes aos experimentos e a segunda é a Soma Quadrática devida à falta de ajuste (SQ</w:t>
      </w:r>
      <w:r w:rsidRPr="00A508A9">
        <w:rPr>
          <w:noProof w:val="0"/>
          <w:vertAlign w:val="subscript"/>
        </w:rPr>
        <w:t>FA</w:t>
      </w:r>
      <w:r w:rsidRPr="00A508A9">
        <w:rPr>
          <w:noProof w:val="0"/>
        </w:rPr>
        <w:t xml:space="preserve">) que mostra a falta de ajuste do modelo. Com base na tabela a Soma Quadrática Residual foi determinada somando </w:t>
      </w:r>
      <w:r w:rsidRPr="00A508A9">
        <w:t>0,413</w:t>
      </w:r>
      <w:r w:rsidRPr="00A508A9">
        <w:rPr>
          <w:noProof w:val="0"/>
        </w:rPr>
        <w:t xml:space="preserve"> (FA) com </w:t>
      </w:r>
      <w:r w:rsidRPr="00A508A9">
        <w:t>0,796</w:t>
      </w:r>
      <w:r w:rsidRPr="00A508A9">
        <w:rPr>
          <w:noProof w:val="0"/>
        </w:rPr>
        <w:t xml:space="preserve"> (EP), o valor obtido foi de.</w:t>
      </w:r>
      <w:r w:rsidRPr="00A508A9">
        <w:rPr>
          <w:sz w:val="20"/>
        </w:rPr>
        <w:t xml:space="preserve"> </w:t>
      </w:r>
      <w:smartTag w:uri="urn:schemas-microsoft-com:office:smarttags" w:element="metricconverter">
        <w:smartTagPr>
          <w:attr w:name="ProductID" w:val="9,997 A"/>
        </w:smartTagPr>
        <w:r w:rsidRPr="00A508A9">
          <w:t>9,997</w:t>
        </w:r>
        <w:r w:rsidRPr="00A508A9">
          <w:rPr>
            <w:noProof w:val="0"/>
          </w:rPr>
          <w:t xml:space="preserve"> A</w:t>
        </w:r>
      </w:smartTag>
      <w:r w:rsidRPr="00A508A9">
        <w:rPr>
          <w:noProof w:val="0"/>
        </w:rPr>
        <w:t xml:space="preserve"> partir do valor de </w:t>
      </w:r>
      <w:proofErr w:type="spellStart"/>
      <w:proofErr w:type="gramStart"/>
      <w:r w:rsidRPr="00A508A9">
        <w:rPr>
          <w:noProof w:val="0"/>
        </w:rPr>
        <w:t>SQ</w:t>
      </w:r>
      <w:r w:rsidRPr="00A508A9">
        <w:rPr>
          <w:noProof w:val="0"/>
          <w:vertAlign w:val="subscript"/>
        </w:rPr>
        <w:t>r</w:t>
      </w:r>
      <w:proofErr w:type="spellEnd"/>
      <w:proofErr w:type="gramEnd"/>
      <w:r w:rsidRPr="00A508A9">
        <w:rPr>
          <w:noProof w:val="0"/>
          <w:vertAlign w:val="subscript"/>
        </w:rPr>
        <w:t xml:space="preserve">, </w:t>
      </w:r>
      <w:r w:rsidRPr="00A508A9">
        <w:rPr>
          <w:noProof w:val="0"/>
        </w:rPr>
        <w:t>obteve-se a Soma Quadrática da Regressão (SQ</w:t>
      </w:r>
      <w:r w:rsidRPr="00A508A9">
        <w:rPr>
          <w:noProof w:val="0"/>
          <w:vertAlign w:val="subscript"/>
        </w:rPr>
        <w:t>R</w:t>
      </w:r>
      <w:r w:rsidRPr="00A508A9">
        <w:rPr>
          <w:noProof w:val="0"/>
        </w:rPr>
        <w:t>). Assim: SQR = 9,997– 1,209 = 8,788 para cada Soma Quadrática ter-se associado certo grau de liberdade, portanto, as Médias Quadráticas foram calculadas dividindo-se as Somas Quadráticas pelos seus respectivos graus de liberdade. E para se achar o F calculado dividiu-se a Média Quadrática da Regressão (MQ</w:t>
      </w:r>
      <w:r w:rsidRPr="00A508A9">
        <w:rPr>
          <w:noProof w:val="0"/>
          <w:vertAlign w:val="subscript"/>
        </w:rPr>
        <w:t>R</w:t>
      </w:r>
      <w:r w:rsidRPr="00A508A9">
        <w:rPr>
          <w:noProof w:val="0"/>
        </w:rPr>
        <w:t>) pela a Média Quadrática Residual (</w:t>
      </w:r>
      <w:proofErr w:type="spellStart"/>
      <w:proofErr w:type="gramStart"/>
      <w:r w:rsidRPr="00A508A9">
        <w:rPr>
          <w:noProof w:val="0"/>
        </w:rPr>
        <w:t>MQ</w:t>
      </w:r>
      <w:r w:rsidRPr="00A508A9">
        <w:rPr>
          <w:noProof w:val="0"/>
          <w:vertAlign w:val="subscript"/>
        </w:rPr>
        <w:t>r</w:t>
      </w:r>
      <w:proofErr w:type="spellEnd"/>
      <w:proofErr w:type="gramEnd"/>
      <w:r w:rsidRPr="00A508A9">
        <w:rPr>
          <w:noProof w:val="0"/>
        </w:rPr>
        <w:t>).</w:t>
      </w:r>
    </w:p>
    <w:p w:rsidR="00097E25" w:rsidRPr="00A508A9" w:rsidRDefault="00097E25" w:rsidP="00097E25">
      <w:pPr>
        <w:spacing w:line="360" w:lineRule="auto"/>
        <w:ind w:firstLine="1134"/>
        <w:jc w:val="both"/>
        <w:rPr>
          <w:noProof w:val="0"/>
        </w:rPr>
      </w:pPr>
      <w:r w:rsidRPr="00A508A9">
        <w:rPr>
          <w:noProof w:val="0"/>
        </w:rPr>
        <w:t>Para o estudo da regressão, por meio do teste F, observou-se que análise de regressão foi significativa, visto que valor de F calculado (</w:t>
      </w:r>
      <w:r w:rsidRPr="00A508A9">
        <w:t>6,463</w:t>
      </w:r>
      <w:r w:rsidRPr="00A508A9">
        <w:rPr>
          <w:noProof w:val="0"/>
        </w:rPr>
        <w:t>) foi superior ao tabelado (3,39). No entanto, observou-se que para esse modelo há necessidade de um ajuste, pois para a análise de falta de ajuste, o valor de F calculado (</w:t>
      </w:r>
      <w:r w:rsidRPr="00A508A9">
        <w:t>6,463</w:t>
      </w:r>
      <w:r w:rsidRPr="00A508A9">
        <w:rPr>
          <w:noProof w:val="0"/>
        </w:rPr>
        <w:t>) foi bem superior ao valor de F tabelado (</w:t>
      </w:r>
      <w:r w:rsidRPr="00A508A9">
        <w:t>3,23</w:t>
      </w:r>
      <w:r w:rsidRPr="00A508A9">
        <w:rPr>
          <w:noProof w:val="0"/>
        </w:rPr>
        <w:t>).</w:t>
      </w:r>
    </w:p>
    <w:p w:rsidR="00097E25" w:rsidRPr="00A508A9" w:rsidRDefault="00F634A8" w:rsidP="00097E25">
      <w:pPr>
        <w:keepNext/>
        <w:spacing w:line="360" w:lineRule="auto"/>
        <w:outlineLvl w:val="2"/>
        <w:rPr>
          <w:bCs/>
        </w:rPr>
      </w:pPr>
      <w:bookmarkStart w:id="25" w:name="_Toc220323263"/>
      <w:r w:rsidRPr="00A508A9">
        <w:rPr>
          <w:bCs/>
        </w:rPr>
        <w:t>3</w:t>
      </w:r>
      <w:r w:rsidR="00097E25" w:rsidRPr="00A508A9">
        <w:rPr>
          <w:bCs/>
        </w:rPr>
        <w:t>.2.3 Metodologia de Superfície de Resposta</w:t>
      </w:r>
      <w:bookmarkEnd w:id="25"/>
    </w:p>
    <w:p w:rsidR="00097E25" w:rsidRPr="00A508A9" w:rsidRDefault="00097E25" w:rsidP="00097E25">
      <w:pPr>
        <w:spacing w:line="360" w:lineRule="auto"/>
        <w:ind w:firstLine="1134"/>
        <w:jc w:val="both"/>
        <w:rPr>
          <w:lang w:val="pt-PT"/>
        </w:rPr>
      </w:pPr>
      <w:r w:rsidRPr="00A508A9">
        <w:rPr>
          <w:lang w:val="pt-PT"/>
        </w:rPr>
        <w:t>A partir do planejamento fatorial em função da resposta capacitância plotou-se a superfície de resposta, para cada duas variáveis independentes, no intuito de identificar as melhores condições para o processo de purificação do biodiesel:</w:t>
      </w:r>
    </w:p>
    <w:p w:rsidR="00097E25" w:rsidRPr="00A508A9" w:rsidRDefault="00097E25" w:rsidP="00A508A9">
      <w:pPr>
        <w:numPr>
          <w:ilvl w:val="0"/>
          <w:numId w:val="2"/>
        </w:numPr>
        <w:tabs>
          <w:tab w:val="clear" w:pos="720"/>
          <w:tab w:val="num" w:pos="0"/>
        </w:tabs>
        <w:spacing w:line="360" w:lineRule="auto"/>
        <w:ind w:left="0" w:firstLine="0"/>
        <w:jc w:val="both"/>
        <w:rPr>
          <w:bCs/>
        </w:rPr>
      </w:pPr>
      <w:r w:rsidRPr="00A508A9">
        <w:rPr>
          <w:u w:val="single"/>
        </w:rPr>
        <w:t>Temperatura x Quantidade de Silicato de Magnésio</w:t>
      </w:r>
      <w:r w:rsidRPr="00A508A9">
        <w:t>: a partir da</w:t>
      </w:r>
      <w:r w:rsidRPr="00A508A9">
        <w:rPr>
          <w:color w:val="FF0000"/>
        </w:rPr>
        <w:t xml:space="preserve"> </w:t>
      </w:r>
      <w:r w:rsidRPr="00A508A9">
        <w:rPr>
          <w:b/>
          <w:color w:val="000000"/>
        </w:rPr>
        <w:t>Figura</w:t>
      </w:r>
      <w:r w:rsidRPr="00A508A9">
        <w:rPr>
          <w:b/>
        </w:rPr>
        <w:t xml:space="preserve"> 11 </w:t>
      </w:r>
      <w:r w:rsidRPr="00A508A9">
        <w:t>observou-se que com uma menor</w:t>
      </w:r>
      <w:r w:rsidRPr="00A508A9">
        <w:rPr>
          <w:bCs/>
        </w:rPr>
        <w:t xml:space="preserve"> temperatura e uma pequena quantidade de Silicato de Magnésio obteve-se um valor de capacitância menor, identificando a ausência dos </w:t>
      </w:r>
      <w:r w:rsidRPr="00A508A9">
        <w:rPr>
          <w:bCs/>
        </w:rPr>
        <w:lastRenderedPageBreak/>
        <w:t>componentes polares no biodiesel. Provavelmente, uma quantidade de adsorvente pequena é suficiente para adsorver as substâncias polares presentes no biodiesel, um aumento da temperatura não influenciou significativamento no processo, podendo ser usada a temperatura ambiente.</w:t>
      </w:r>
    </w:p>
    <w:p w:rsidR="00097E25" w:rsidRPr="00A508A9" w:rsidRDefault="00097E25" w:rsidP="00097E25">
      <w:pPr>
        <w:spacing w:line="360" w:lineRule="auto"/>
        <w:rPr>
          <w:b/>
          <w:bCs/>
        </w:rPr>
      </w:pPr>
    </w:p>
    <w:p w:rsidR="00097E25" w:rsidRPr="00A508A9" w:rsidRDefault="00764DB9" w:rsidP="00097E25">
      <w:pPr>
        <w:spacing w:line="360" w:lineRule="auto"/>
        <w:jc w:val="both"/>
        <w:rPr>
          <w:b/>
          <w:bCs/>
        </w:rPr>
      </w:pPr>
      <w:r>
        <w:t xml:space="preserve">  </w:t>
      </w:r>
      <w:r w:rsidR="00097E25" w:rsidRPr="00A508A9">
        <w:drawing>
          <wp:inline distT="0" distB="0" distL="0" distR="0" wp14:anchorId="1416D6A8" wp14:editId="4B35AA0C">
            <wp:extent cx="2085975" cy="2466122"/>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5975" cy="2466122"/>
                    </a:xfrm>
                    <a:prstGeom prst="rect">
                      <a:avLst/>
                    </a:prstGeom>
                    <a:noFill/>
                    <a:ln>
                      <a:noFill/>
                    </a:ln>
                  </pic:spPr>
                </pic:pic>
              </a:graphicData>
            </a:graphic>
          </wp:inline>
        </w:drawing>
      </w:r>
      <w:r w:rsidR="00097E25" w:rsidRPr="00A508A9">
        <w:drawing>
          <wp:inline distT="0" distB="0" distL="0" distR="0" wp14:anchorId="64C95EFB" wp14:editId="1C4DAE1C">
            <wp:extent cx="2247900" cy="234315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 cstate="print">
                      <a:extLst>
                        <a:ext uri="{28A0092B-C50C-407E-A947-70E740481C1C}">
                          <a14:useLocalDpi xmlns:a14="http://schemas.microsoft.com/office/drawing/2010/main" val="0"/>
                        </a:ext>
                      </a:extLst>
                    </a:blip>
                    <a:srcRect l="28914" t="11873" r="1091" b="17216"/>
                    <a:stretch>
                      <a:fillRect/>
                    </a:stretch>
                  </pic:blipFill>
                  <pic:spPr bwMode="auto">
                    <a:xfrm>
                      <a:off x="0" y="0"/>
                      <a:ext cx="2247900" cy="2343150"/>
                    </a:xfrm>
                    <a:prstGeom prst="rect">
                      <a:avLst/>
                    </a:prstGeom>
                    <a:noFill/>
                    <a:ln>
                      <a:noFill/>
                    </a:ln>
                  </pic:spPr>
                </pic:pic>
              </a:graphicData>
            </a:graphic>
          </wp:inline>
        </w:drawing>
      </w:r>
    </w:p>
    <w:p w:rsidR="00097E25" w:rsidRPr="00A508A9" w:rsidRDefault="00097E25" w:rsidP="00097E25">
      <w:pPr>
        <w:ind w:firstLine="480"/>
        <w:rPr>
          <w:b/>
          <w:bCs/>
          <w:sz w:val="20"/>
          <w:szCs w:val="20"/>
        </w:rPr>
      </w:pPr>
      <w:bookmarkStart w:id="26" w:name="_Toc220322598"/>
      <w:r w:rsidRPr="00A508A9">
        <w:rPr>
          <w:b/>
          <w:bCs/>
          <w:sz w:val="20"/>
          <w:szCs w:val="20"/>
        </w:rPr>
        <w:t xml:space="preserve">Figura </w:t>
      </w:r>
      <w:r w:rsidRPr="00A508A9">
        <w:rPr>
          <w:b/>
          <w:bCs/>
          <w:sz w:val="20"/>
          <w:szCs w:val="20"/>
        </w:rPr>
        <w:fldChar w:fldCharType="begin"/>
      </w:r>
      <w:r w:rsidRPr="00A508A9">
        <w:rPr>
          <w:b/>
          <w:bCs/>
          <w:sz w:val="20"/>
          <w:szCs w:val="20"/>
        </w:rPr>
        <w:instrText xml:space="preserve"> SEQ Figura \* ARABIC </w:instrText>
      </w:r>
      <w:r w:rsidRPr="00A508A9">
        <w:rPr>
          <w:b/>
          <w:bCs/>
          <w:sz w:val="20"/>
          <w:szCs w:val="20"/>
        </w:rPr>
        <w:fldChar w:fldCharType="separate"/>
      </w:r>
      <w:r w:rsidRPr="00A508A9">
        <w:rPr>
          <w:b/>
          <w:bCs/>
          <w:sz w:val="20"/>
          <w:szCs w:val="20"/>
        </w:rPr>
        <w:t>11</w:t>
      </w:r>
      <w:r w:rsidRPr="00A508A9">
        <w:rPr>
          <w:b/>
          <w:bCs/>
          <w:sz w:val="20"/>
          <w:szCs w:val="20"/>
        </w:rPr>
        <w:fldChar w:fldCharType="end"/>
      </w:r>
      <w:r w:rsidRPr="00A508A9">
        <w:rPr>
          <w:bCs/>
          <w:sz w:val="20"/>
          <w:szCs w:val="20"/>
        </w:rPr>
        <w:t xml:space="preserve"> - Superfície de Resposta Temperatura x Teor de Silicato de Magnésio</w:t>
      </w:r>
      <w:bookmarkEnd w:id="26"/>
    </w:p>
    <w:p w:rsidR="00097E25" w:rsidRPr="00A508A9" w:rsidRDefault="00097E25" w:rsidP="00097E25">
      <w:pPr>
        <w:spacing w:line="360" w:lineRule="auto"/>
        <w:jc w:val="both"/>
        <w:rPr>
          <w:bCs/>
        </w:rPr>
      </w:pPr>
      <w:bookmarkStart w:id="27" w:name="_Toc195061507"/>
    </w:p>
    <w:p w:rsidR="00097E25" w:rsidRDefault="00097E25" w:rsidP="00097E25">
      <w:pPr>
        <w:numPr>
          <w:ilvl w:val="0"/>
          <w:numId w:val="2"/>
        </w:numPr>
        <w:spacing w:line="360" w:lineRule="auto"/>
        <w:jc w:val="both"/>
        <w:rPr>
          <w:bCs/>
        </w:rPr>
      </w:pPr>
      <w:r w:rsidRPr="00A508A9">
        <w:rPr>
          <w:u w:val="single"/>
        </w:rPr>
        <w:t>Tempo x Quantidade de Silicato de Magnésio</w:t>
      </w:r>
      <w:r w:rsidRPr="00A508A9">
        <w:t>:</w:t>
      </w:r>
      <w:r w:rsidRPr="00A508A9">
        <w:rPr>
          <w:bCs/>
        </w:rPr>
        <w:t xml:space="preserve"> segundo a</w:t>
      </w:r>
      <w:r w:rsidRPr="00A508A9">
        <w:rPr>
          <w:bCs/>
          <w:color w:val="FF0000"/>
        </w:rPr>
        <w:t xml:space="preserve"> </w:t>
      </w:r>
      <w:r w:rsidRPr="00A508A9">
        <w:rPr>
          <w:b/>
          <w:bCs/>
          <w:color w:val="000000"/>
        </w:rPr>
        <w:t>Figura 12</w:t>
      </w:r>
      <w:r w:rsidRPr="00A508A9">
        <w:rPr>
          <w:bCs/>
        </w:rPr>
        <w:t xml:space="preserve"> , observou-se que com um tempo de contato do adsorvente com o biodiesel a partir de 20 min e uma quantidade de Silicato de Magnésio pequena, obteve-se uma capacitância menor, indicando uma menor quantidade de impurezas no biodiesel. Uma pequena quantidade de adsorvente, como visto no item anterior, influência significamente no processo de purificação. Os resultados indicam que, assim como a temperatura, um aumento do tempo de contato não influencia significativamente no processo de purificação a seco do biodiesel utilizando referido adsorvente.</w:t>
      </w:r>
    </w:p>
    <w:p w:rsidR="00097E25" w:rsidRPr="00A508A9" w:rsidRDefault="00097E25" w:rsidP="00097E25">
      <w:pPr>
        <w:spacing w:line="360" w:lineRule="auto"/>
        <w:jc w:val="both"/>
        <w:rPr>
          <w:color w:val="000000"/>
        </w:rPr>
      </w:pPr>
      <w:bookmarkStart w:id="28" w:name="_Toc195061508"/>
      <w:bookmarkEnd w:id="27"/>
      <w:r w:rsidRPr="00A508A9">
        <w:drawing>
          <wp:inline distT="0" distB="0" distL="0" distR="0" wp14:anchorId="7C652D69" wp14:editId="508C12F3">
            <wp:extent cx="2409825" cy="1933575"/>
            <wp:effectExtent l="0" t="0" r="9525"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9825" cy="1933575"/>
                    </a:xfrm>
                    <a:prstGeom prst="rect">
                      <a:avLst/>
                    </a:prstGeom>
                    <a:noFill/>
                    <a:ln>
                      <a:noFill/>
                    </a:ln>
                  </pic:spPr>
                </pic:pic>
              </a:graphicData>
            </a:graphic>
          </wp:inline>
        </w:drawing>
      </w:r>
      <w:r w:rsidRPr="00A508A9">
        <w:drawing>
          <wp:inline distT="0" distB="0" distL="0" distR="0" wp14:anchorId="28BFCD38" wp14:editId="6130A81F">
            <wp:extent cx="2733675" cy="1819275"/>
            <wp:effectExtent l="0" t="0" r="9525"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 cstate="print">
                      <a:extLst>
                        <a:ext uri="{28A0092B-C50C-407E-A947-70E740481C1C}">
                          <a14:useLocalDpi xmlns:a14="http://schemas.microsoft.com/office/drawing/2010/main" val="0"/>
                        </a:ext>
                      </a:extLst>
                    </a:blip>
                    <a:srcRect l="28203" t="11513" r="1180" b="18100"/>
                    <a:stretch>
                      <a:fillRect/>
                    </a:stretch>
                  </pic:blipFill>
                  <pic:spPr bwMode="auto">
                    <a:xfrm>
                      <a:off x="0" y="0"/>
                      <a:ext cx="2733675" cy="1819275"/>
                    </a:xfrm>
                    <a:prstGeom prst="rect">
                      <a:avLst/>
                    </a:prstGeom>
                    <a:noFill/>
                    <a:ln>
                      <a:noFill/>
                    </a:ln>
                  </pic:spPr>
                </pic:pic>
              </a:graphicData>
            </a:graphic>
          </wp:inline>
        </w:drawing>
      </w:r>
    </w:p>
    <w:p w:rsidR="00097E25" w:rsidRPr="00A508A9" w:rsidRDefault="00097E25" w:rsidP="00097E25">
      <w:pPr>
        <w:rPr>
          <w:bCs/>
          <w:color w:val="000000"/>
          <w:sz w:val="20"/>
          <w:szCs w:val="20"/>
        </w:rPr>
      </w:pPr>
      <w:bookmarkStart w:id="29" w:name="_Toc220322599"/>
      <w:r w:rsidRPr="00A508A9">
        <w:rPr>
          <w:b/>
          <w:bCs/>
          <w:sz w:val="20"/>
          <w:szCs w:val="20"/>
        </w:rPr>
        <w:t xml:space="preserve">Figura </w:t>
      </w:r>
      <w:r w:rsidRPr="00A508A9">
        <w:rPr>
          <w:b/>
          <w:bCs/>
          <w:sz w:val="20"/>
          <w:szCs w:val="20"/>
        </w:rPr>
        <w:fldChar w:fldCharType="begin"/>
      </w:r>
      <w:r w:rsidRPr="00A508A9">
        <w:rPr>
          <w:b/>
          <w:bCs/>
          <w:sz w:val="20"/>
          <w:szCs w:val="20"/>
        </w:rPr>
        <w:instrText xml:space="preserve"> SEQ Figura \* ARABIC </w:instrText>
      </w:r>
      <w:r w:rsidRPr="00A508A9">
        <w:rPr>
          <w:b/>
          <w:bCs/>
          <w:sz w:val="20"/>
          <w:szCs w:val="20"/>
        </w:rPr>
        <w:fldChar w:fldCharType="separate"/>
      </w:r>
      <w:r w:rsidRPr="00A508A9">
        <w:rPr>
          <w:b/>
          <w:bCs/>
          <w:sz w:val="20"/>
          <w:szCs w:val="20"/>
        </w:rPr>
        <w:t>12</w:t>
      </w:r>
      <w:r w:rsidRPr="00A508A9">
        <w:rPr>
          <w:b/>
          <w:bCs/>
          <w:sz w:val="20"/>
          <w:szCs w:val="20"/>
        </w:rPr>
        <w:fldChar w:fldCharType="end"/>
      </w:r>
      <w:r w:rsidRPr="00A508A9">
        <w:rPr>
          <w:b/>
          <w:bCs/>
          <w:color w:val="000000"/>
          <w:sz w:val="20"/>
          <w:szCs w:val="20"/>
        </w:rPr>
        <w:t xml:space="preserve"> - </w:t>
      </w:r>
      <w:r w:rsidRPr="00A508A9">
        <w:rPr>
          <w:bCs/>
          <w:color w:val="000000"/>
          <w:sz w:val="20"/>
          <w:szCs w:val="20"/>
        </w:rPr>
        <w:t>Superfície de Resposta Tempo x Quantidade d</w:t>
      </w:r>
      <w:bookmarkEnd w:id="28"/>
      <w:r w:rsidRPr="00A508A9">
        <w:rPr>
          <w:bCs/>
          <w:color w:val="000000"/>
          <w:sz w:val="20"/>
          <w:szCs w:val="20"/>
        </w:rPr>
        <w:t>e Silicato de Magnésio</w:t>
      </w:r>
      <w:bookmarkEnd w:id="29"/>
    </w:p>
    <w:p w:rsidR="00097E25" w:rsidRPr="00A508A9" w:rsidRDefault="00097E25" w:rsidP="00097E25"/>
    <w:p w:rsidR="00097E25" w:rsidRPr="00A508A9" w:rsidRDefault="00097E25" w:rsidP="00097E25">
      <w:pPr>
        <w:numPr>
          <w:ilvl w:val="0"/>
          <w:numId w:val="2"/>
        </w:numPr>
        <w:spacing w:line="360" w:lineRule="auto"/>
        <w:jc w:val="both"/>
        <w:rPr>
          <w:b/>
          <w:bCs/>
        </w:rPr>
      </w:pPr>
      <w:r w:rsidRPr="00A508A9">
        <w:rPr>
          <w:color w:val="000000"/>
          <w:u w:val="single"/>
        </w:rPr>
        <w:t>Temperatura x Tempo</w:t>
      </w:r>
      <w:r w:rsidRPr="00A508A9">
        <w:rPr>
          <w:color w:val="000000"/>
        </w:rPr>
        <w:t xml:space="preserve">: </w:t>
      </w:r>
      <w:r w:rsidRPr="00A508A9">
        <w:rPr>
          <w:bCs/>
          <w:color w:val="000000"/>
        </w:rPr>
        <w:t xml:space="preserve">a </w:t>
      </w:r>
      <w:r w:rsidRPr="00A508A9">
        <w:rPr>
          <w:b/>
          <w:bCs/>
          <w:color w:val="000000"/>
        </w:rPr>
        <w:t xml:space="preserve">Figura 13 </w:t>
      </w:r>
      <w:r w:rsidRPr="00A508A9">
        <w:rPr>
          <w:bCs/>
          <w:color w:val="000000"/>
        </w:rPr>
        <w:t>confirmou que o tempo de contato e a temperatura não influenciaram de forma significativa no processo de adsorção dos contaminantes do biodiesel na superfícei de Silicato de Magnésio</w:t>
      </w:r>
      <w:r w:rsidRPr="00A508A9">
        <w:rPr>
          <w:bCs/>
        </w:rPr>
        <w:t>, podendo ser udada a temperatura ambiente e um tempo a partir de 20 min.</w:t>
      </w:r>
    </w:p>
    <w:p w:rsidR="00097E25" w:rsidRPr="00A508A9" w:rsidRDefault="00097E25" w:rsidP="00097E25">
      <w:pPr>
        <w:spacing w:line="360" w:lineRule="auto"/>
        <w:rPr>
          <w:b/>
          <w:bCs/>
        </w:rPr>
      </w:pPr>
      <w:r w:rsidRPr="00A508A9">
        <w:drawing>
          <wp:inline distT="0" distB="0" distL="0" distR="0" wp14:anchorId="39F4BC1F" wp14:editId="7CE1B13F">
            <wp:extent cx="2324100" cy="2181225"/>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4100" cy="2181225"/>
                    </a:xfrm>
                    <a:prstGeom prst="rect">
                      <a:avLst/>
                    </a:prstGeom>
                    <a:noFill/>
                    <a:ln>
                      <a:noFill/>
                    </a:ln>
                  </pic:spPr>
                </pic:pic>
              </a:graphicData>
            </a:graphic>
          </wp:inline>
        </w:drawing>
      </w:r>
      <w:r w:rsidRPr="00A508A9">
        <w:drawing>
          <wp:inline distT="0" distB="0" distL="0" distR="0" wp14:anchorId="7959C2BB" wp14:editId="03908217">
            <wp:extent cx="2686050" cy="2124075"/>
            <wp:effectExtent l="0" t="0" r="0"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 cstate="print">
                      <a:extLst>
                        <a:ext uri="{28A0092B-C50C-407E-A947-70E740481C1C}">
                          <a14:useLocalDpi xmlns:a14="http://schemas.microsoft.com/office/drawing/2010/main" val="0"/>
                        </a:ext>
                      </a:extLst>
                    </a:blip>
                    <a:srcRect l="28677" t="12453" r="1169" b="17810"/>
                    <a:stretch>
                      <a:fillRect/>
                    </a:stretch>
                  </pic:blipFill>
                  <pic:spPr bwMode="auto">
                    <a:xfrm>
                      <a:off x="0" y="0"/>
                      <a:ext cx="2686050" cy="2124075"/>
                    </a:xfrm>
                    <a:prstGeom prst="rect">
                      <a:avLst/>
                    </a:prstGeom>
                    <a:noFill/>
                    <a:ln>
                      <a:noFill/>
                    </a:ln>
                  </pic:spPr>
                </pic:pic>
              </a:graphicData>
            </a:graphic>
          </wp:inline>
        </w:drawing>
      </w:r>
    </w:p>
    <w:p w:rsidR="00097E25" w:rsidRPr="00A508A9" w:rsidRDefault="00097E25" w:rsidP="00097E25">
      <w:pPr>
        <w:ind w:firstLine="720"/>
        <w:rPr>
          <w:b/>
          <w:bCs/>
          <w:sz w:val="20"/>
          <w:szCs w:val="20"/>
        </w:rPr>
      </w:pPr>
      <w:bookmarkStart w:id="30" w:name="_Toc220322600"/>
      <w:r w:rsidRPr="00A508A9">
        <w:rPr>
          <w:b/>
          <w:bCs/>
          <w:sz w:val="20"/>
          <w:szCs w:val="20"/>
        </w:rPr>
        <w:t xml:space="preserve">Figura </w:t>
      </w:r>
      <w:r w:rsidRPr="00A508A9">
        <w:rPr>
          <w:b/>
          <w:bCs/>
          <w:sz w:val="20"/>
          <w:szCs w:val="20"/>
        </w:rPr>
        <w:fldChar w:fldCharType="begin"/>
      </w:r>
      <w:r w:rsidRPr="00A508A9">
        <w:rPr>
          <w:b/>
          <w:bCs/>
          <w:sz w:val="20"/>
          <w:szCs w:val="20"/>
        </w:rPr>
        <w:instrText xml:space="preserve"> SEQ Figura \* ARABIC </w:instrText>
      </w:r>
      <w:r w:rsidRPr="00A508A9">
        <w:rPr>
          <w:b/>
          <w:bCs/>
          <w:sz w:val="20"/>
          <w:szCs w:val="20"/>
        </w:rPr>
        <w:fldChar w:fldCharType="separate"/>
      </w:r>
      <w:r w:rsidRPr="00A508A9">
        <w:rPr>
          <w:b/>
          <w:bCs/>
          <w:sz w:val="20"/>
          <w:szCs w:val="20"/>
        </w:rPr>
        <w:t>13</w:t>
      </w:r>
      <w:r w:rsidRPr="00A508A9">
        <w:rPr>
          <w:b/>
          <w:bCs/>
          <w:sz w:val="20"/>
          <w:szCs w:val="20"/>
        </w:rPr>
        <w:fldChar w:fldCharType="end"/>
      </w:r>
      <w:r w:rsidRPr="00A508A9">
        <w:rPr>
          <w:b/>
          <w:bCs/>
          <w:sz w:val="20"/>
          <w:szCs w:val="20"/>
        </w:rPr>
        <w:t xml:space="preserve"> - </w:t>
      </w:r>
      <w:r w:rsidRPr="00A508A9">
        <w:rPr>
          <w:bCs/>
          <w:sz w:val="20"/>
          <w:szCs w:val="20"/>
        </w:rPr>
        <w:t>Superfície de Resposta Temperatura x Tempo</w:t>
      </w:r>
      <w:bookmarkEnd w:id="30"/>
    </w:p>
    <w:p w:rsidR="00097E25" w:rsidRPr="00A508A9" w:rsidRDefault="00097E25" w:rsidP="00097E25">
      <w:pPr>
        <w:tabs>
          <w:tab w:val="left" w:pos="900"/>
        </w:tabs>
        <w:spacing w:line="360" w:lineRule="auto"/>
        <w:jc w:val="both"/>
      </w:pPr>
    </w:p>
    <w:p w:rsidR="00097E25" w:rsidRPr="00A508A9" w:rsidRDefault="00097E25" w:rsidP="00097E25">
      <w:pPr>
        <w:tabs>
          <w:tab w:val="left" w:pos="900"/>
        </w:tabs>
        <w:spacing w:line="360" w:lineRule="auto"/>
        <w:ind w:firstLine="1134"/>
        <w:jc w:val="both"/>
      </w:pPr>
      <w:r w:rsidRPr="00A508A9">
        <w:t xml:space="preserve">Portanto, conclui-se que o </w:t>
      </w:r>
      <w:r w:rsidRPr="00A508A9">
        <w:rPr>
          <w:bCs/>
        </w:rPr>
        <w:t>Silicato de Magnésio</w:t>
      </w:r>
      <w:r w:rsidRPr="00A508A9">
        <w:t xml:space="preserve"> apresentou uma excelente eficiência na remoção dos contaminantes presentes no biodiesel etílico de babaçu e que quantidades pequenas desse adsorvente é suficiente para remoção desses contaminantes, e também não é necessário aumenta a temperatura e o tempo para favorecer o fenômeno de adsorção. Entretanto, com o </w:t>
      </w:r>
      <w:r w:rsidRPr="00A508A9">
        <w:rPr>
          <w:bCs/>
        </w:rPr>
        <w:t>Silicato de Magnésio foi possível obter valores de capacitância menores que os valores do processo de purificação convencional (lavado com água 94,081pF), indicando que não é preciso utilizar o planejamento fatorial para encontrar os valores ideias.</w:t>
      </w:r>
    </w:p>
    <w:p w:rsidR="00097E25" w:rsidRPr="00A508A9" w:rsidRDefault="00097E25" w:rsidP="00097E25">
      <w:pPr>
        <w:spacing w:line="360" w:lineRule="auto"/>
        <w:ind w:firstLine="1134"/>
        <w:jc w:val="both"/>
      </w:pPr>
      <w:r w:rsidRPr="00A508A9">
        <w:t>Como o fenômeno de adsorção que ocorre é físico, que consisti no princípio da maioria dos processos de purificação, ocorrerá a deposição de mais de uma camada de adsorbato sobre a superfície adsorvente. E após a filtração, obtém-se um sólido pastoso que apesar de ser impossível recuperá-lo, em comparação aos outros processo de purificação essa quantidade de resíduo é insignificante.</w:t>
      </w:r>
    </w:p>
    <w:p w:rsidR="00097E25" w:rsidRPr="00A508A9" w:rsidRDefault="00097E25" w:rsidP="00097E25">
      <w:pPr>
        <w:spacing w:line="360" w:lineRule="auto"/>
        <w:jc w:val="both"/>
        <w:rPr>
          <w:iCs/>
          <w:noProof w:val="0"/>
          <w:color w:val="FF0000"/>
        </w:rPr>
      </w:pPr>
    </w:p>
    <w:p w:rsidR="00097E25" w:rsidRPr="00A508A9" w:rsidRDefault="00F634A8" w:rsidP="00097E25">
      <w:pPr>
        <w:keepNext/>
        <w:spacing w:line="360" w:lineRule="auto"/>
        <w:jc w:val="both"/>
        <w:outlineLvl w:val="0"/>
        <w:rPr>
          <w:b/>
          <w:caps/>
        </w:rPr>
      </w:pPr>
      <w:bookmarkStart w:id="31" w:name="_Toc220323264"/>
      <w:r w:rsidRPr="00A508A9">
        <w:rPr>
          <w:b/>
          <w:caps/>
        </w:rPr>
        <w:t>4</w:t>
      </w:r>
      <w:r w:rsidR="00097E25" w:rsidRPr="00A508A9">
        <w:rPr>
          <w:b/>
          <w:caps/>
        </w:rPr>
        <w:t xml:space="preserve"> CO</w:t>
      </w:r>
      <w:bookmarkEnd w:id="31"/>
      <w:r w:rsidRPr="00A508A9">
        <w:rPr>
          <w:b/>
          <w:caps/>
        </w:rPr>
        <w:t>nsiderações finais</w:t>
      </w:r>
    </w:p>
    <w:p w:rsidR="00097E25" w:rsidRPr="00A508A9" w:rsidRDefault="00097E25" w:rsidP="00097E25">
      <w:pPr>
        <w:spacing w:line="360" w:lineRule="auto"/>
        <w:ind w:firstLine="1134"/>
        <w:jc w:val="both"/>
        <w:rPr>
          <w:bCs/>
        </w:rPr>
      </w:pPr>
      <w:r w:rsidRPr="00A508A9">
        <w:t>O processo de purificação desenvolvido por lavagem a seco utilizando o Silicato de Magnésio, comparado com o método de purificação com água, segundos os resultados das medidas de capacitância,</w:t>
      </w:r>
      <w:r w:rsidRPr="00A508A9">
        <w:rPr>
          <w:bCs/>
        </w:rPr>
        <w:t xml:space="preserve"> foi eficiente na purificação do biodiesel, removendo os principais contaminantes presentes após a reação de transesterificação.</w:t>
      </w:r>
    </w:p>
    <w:p w:rsidR="00097E25" w:rsidRPr="00A508A9" w:rsidRDefault="00097E25" w:rsidP="00097E25">
      <w:pPr>
        <w:spacing w:line="360" w:lineRule="auto"/>
        <w:ind w:firstLine="1134"/>
        <w:jc w:val="both"/>
        <w:rPr>
          <w:bCs/>
        </w:rPr>
      </w:pPr>
      <w:r w:rsidRPr="00A508A9">
        <w:rPr>
          <w:bCs/>
        </w:rPr>
        <w:lastRenderedPageBreak/>
        <w:t>No entanto, os parâmetros que teoricamente influênciam no processo, foram avaliados, utilizando como resposta apenas as medidas de capacitância, portanto, será necessário avaliar esse processo atráves de análises cromatográficas, usando como resposta o teor de glicerina livre, além de ensaios de absorção atômica, medindo o teor de íons K</w:t>
      </w:r>
      <w:r w:rsidRPr="00A508A9">
        <w:rPr>
          <w:bCs/>
          <w:vertAlign w:val="superscript"/>
        </w:rPr>
        <w:t>+</w:t>
      </w:r>
      <w:r w:rsidRPr="00A508A9">
        <w:rPr>
          <w:bCs/>
        </w:rPr>
        <w:t xml:space="preserve"> presentes no biodiesel bruto.</w:t>
      </w:r>
    </w:p>
    <w:p w:rsidR="00097E25" w:rsidRPr="00A508A9" w:rsidRDefault="00097E25" w:rsidP="00097E25">
      <w:pPr>
        <w:autoSpaceDE w:val="0"/>
        <w:autoSpaceDN w:val="0"/>
        <w:adjustRightInd w:val="0"/>
        <w:spacing w:line="360" w:lineRule="auto"/>
        <w:ind w:firstLine="1134"/>
        <w:jc w:val="both"/>
        <w:rPr>
          <w:noProof w:val="0"/>
        </w:rPr>
      </w:pPr>
      <w:r w:rsidRPr="00A508A9">
        <w:t>Como pode ser observado através do resultado o uso da capacitância para medir o teor de silicato de magnésio no biodiesel etílico de babaçu é viável e apresenta uma boa precisão e linearidade para finalidade a que se propõe. A repetitividade das medidas foi comprovada, desde que garantido a estabilidade da temperatura.</w:t>
      </w:r>
    </w:p>
    <w:p w:rsidR="00097E25" w:rsidRPr="00A508A9" w:rsidRDefault="00097E25" w:rsidP="00097E25">
      <w:pPr>
        <w:spacing w:line="360" w:lineRule="auto"/>
        <w:ind w:firstLine="1134"/>
        <w:jc w:val="both"/>
        <w:rPr>
          <w:bCs/>
          <w:color w:val="000000"/>
        </w:rPr>
      </w:pPr>
      <w:r w:rsidRPr="00A508A9">
        <w:rPr>
          <w:bCs/>
          <w:color w:val="000000"/>
        </w:rPr>
        <w:t>A condução de planejamentos experimentais, cujas variáveis foram o teor de silicato de magnésio,temperatura e tempo de contato, permitiu a determinação do efeito dos principais parâmetros sobre processo de purificação. Os melhores resultados de purificação em ésteres etílicos foram alcançados nas seguintes condições: 1,5% de silicato de magnésio; 60°C e 140,451 min, cuja capacitância obtida foi de 93,231 pF.</w:t>
      </w:r>
    </w:p>
    <w:p w:rsidR="00097E25" w:rsidRPr="00A508A9" w:rsidRDefault="00097E25" w:rsidP="00097E25">
      <w:pPr>
        <w:spacing w:line="360" w:lineRule="auto"/>
        <w:ind w:firstLine="1134"/>
        <w:jc w:val="both"/>
        <w:rPr>
          <w:bCs/>
          <w:color w:val="000000"/>
        </w:rPr>
      </w:pPr>
      <w:r w:rsidRPr="00A508A9">
        <w:rPr>
          <w:bCs/>
          <w:color w:val="000000"/>
        </w:rPr>
        <w:t>De um modo geral, variação na temperatura e no tempo de contato não apresentou influência significativa sobre a purificação da reação. O baixo teor de silicato de magnésio (0,66%) favoreceu a obtenção de um produto com menor índice de sabões e, conseqüentemente, de mais fácil purificação, evitando, assim maiores perdas de rendimento.</w:t>
      </w:r>
    </w:p>
    <w:p w:rsidR="00B209D7" w:rsidRDefault="00B209D7" w:rsidP="00BB4246">
      <w:pPr>
        <w:spacing w:line="360" w:lineRule="auto"/>
        <w:jc w:val="both"/>
        <w:rPr>
          <w:bCs/>
          <w:color w:val="FF0000"/>
        </w:rPr>
      </w:pPr>
    </w:p>
    <w:p w:rsidR="00097E25" w:rsidRPr="00A508A9" w:rsidRDefault="00097E25" w:rsidP="00BB4246">
      <w:pPr>
        <w:spacing w:line="360" w:lineRule="auto"/>
        <w:jc w:val="both"/>
        <w:rPr>
          <w:b/>
          <w:caps/>
        </w:rPr>
      </w:pPr>
      <w:r w:rsidRPr="00A508A9">
        <w:rPr>
          <w:bCs/>
          <w:color w:val="FF0000"/>
        </w:rPr>
        <w:t xml:space="preserve"> </w:t>
      </w:r>
      <w:bookmarkStart w:id="32" w:name="_Toc220323265"/>
      <w:r w:rsidRPr="00A508A9">
        <w:rPr>
          <w:b/>
          <w:caps/>
        </w:rPr>
        <w:t>REFERÊNCIAS</w:t>
      </w:r>
      <w:bookmarkEnd w:id="32"/>
    </w:p>
    <w:p w:rsidR="00097E25" w:rsidRPr="00A508A9" w:rsidRDefault="00097E25" w:rsidP="00BB4246">
      <w:pPr>
        <w:jc w:val="both"/>
      </w:pPr>
    </w:p>
    <w:p w:rsidR="00097E25" w:rsidRPr="00A508A9" w:rsidRDefault="00097E25" w:rsidP="002E1285">
      <w:pPr>
        <w:jc w:val="both"/>
        <w:rPr>
          <w:b/>
          <w:noProof w:val="0"/>
          <w:color w:val="000000"/>
        </w:rPr>
      </w:pPr>
      <w:r w:rsidRPr="00A508A9">
        <w:t>ABNT</w:t>
      </w:r>
      <w:r w:rsidRPr="00A508A9">
        <w:rPr>
          <w:bCs/>
        </w:rPr>
        <w:t xml:space="preserve"> - </w:t>
      </w:r>
      <w:r w:rsidRPr="00A508A9">
        <w:t>Associação Brasileira de Normas e técnicas. Projeto 71.080.50; Determinação da condutividade elétrica em álcool etílico.. Disponível em www.abnt.org.br, dez. 2006.</w:t>
      </w:r>
    </w:p>
    <w:p w:rsidR="00097E25" w:rsidRPr="00A508A9" w:rsidRDefault="00097E25" w:rsidP="002E1285">
      <w:pPr>
        <w:jc w:val="both"/>
      </w:pPr>
    </w:p>
    <w:p w:rsidR="00097E25" w:rsidRPr="00A508A9" w:rsidRDefault="00097E25" w:rsidP="002E1285">
      <w:pPr>
        <w:jc w:val="both"/>
        <w:rPr>
          <w:lang w:val="en-US"/>
        </w:rPr>
      </w:pPr>
      <w:r w:rsidRPr="00A508A9">
        <w:t xml:space="preserve">ACS Industries, LP. </w:t>
      </w:r>
      <w:r w:rsidRPr="00A508A9">
        <w:rPr>
          <w:lang w:val="en-US"/>
        </w:rPr>
        <w:t xml:space="preserve">(2003). Liquid-liquid coalescer design manual. Retrieved Feb. </w:t>
      </w:r>
    </w:p>
    <w:p w:rsidR="00097E25" w:rsidRPr="00A508A9" w:rsidRDefault="00097E25" w:rsidP="002E1285">
      <w:pPr>
        <w:jc w:val="both"/>
        <w:rPr>
          <w:lang w:val="en-US"/>
        </w:rPr>
      </w:pPr>
    </w:p>
    <w:p w:rsidR="00097E25" w:rsidRPr="00A508A9" w:rsidRDefault="00097E25" w:rsidP="002E1285">
      <w:pPr>
        <w:jc w:val="both"/>
        <w:rPr>
          <w:color w:val="000000"/>
        </w:rPr>
      </w:pPr>
      <w:r w:rsidRPr="00A508A9">
        <w:t>ANP-Agência Nacional de Petróleo, Gás Natural e Biocombustíveis.Resolução nº07, de 07 de julho de2008. Regulamento Técnico, nº 1/2008. . Brasília: Diário Oficial da União.</w:t>
      </w:r>
    </w:p>
    <w:p w:rsidR="00097E25" w:rsidRPr="00A508A9" w:rsidRDefault="00097E25" w:rsidP="002E1285">
      <w:pPr>
        <w:jc w:val="both"/>
        <w:rPr>
          <w:color w:val="000000"/>
        </w:rPr>
      </w:pPr>
    </w:p>
    <w:p w:rsidR="00097E25" w:rsidRPr="00A508A9" w:rsidRDefault="00097E25" w:rsidP="002E1285">
      <w:pPr>
        <w:jc w:val="both"/>
        <w:rPr>
          <w:color w:val="000000"/>
          <w:lang w:val="en-US"/>
        </w:rPr>
      </w:pPr>
      <w:r w:rsidRPr="00A508A9">
        <w:rPr>
          <w:color w:val="000000"/>
        </w:rPr>
        <w:t xml:space="preserve">ANVISA - Agência Nacional de Vigilância Sanitária. Consulta Pública nº 54, de26 de setembro de 2008. </w:t>
      </w:r>
      <w:r w:rsidRPr="00A508A9">
        <w:rPr>
          <w:color w:val="000000"/>
          <w:lang w:val="en-US"/>
        </w:rPr>
        <w:t xml:space="preserve">Disponível em: </w:t>
      </w:r>
      <w:r w:rsidRPr="00A508A9">
        <w:rPr>
          <w:bCs/>
          <w:color w:val="000000"/>
          <w:lang w:val="en-US"/>
        </w:rPr>
        <w:t>www.anvisa.gov.br.</w:t>
      </w:r>
    </w:p>
    <w:p w:rsidR="00097E25" w:rsidRPr="00A508A9" w:rsidRDefault="00097E25" w:rsidP="002E1285">
      <w:pPr>
        <w:jc w:val="both"/>
        <w:rPr>
          <w:lang w:val="en-US"/>
        </w:rPr>
      </w:pPr>
      <w:r w:rsidRPr="00A508A9">
        <w:rPr>
          <w:lang w:val="en-US"/>
        </w:rPr>
        <w:t>ASTM D 2624-00. Electrical Conductivity of Aviation and Distillate Fuels. ASTM International. Available in: www.astm.org</w:t>
      </w:r>
    </w:p>
    <w:p w:rsidR="00097E25" w:rsidRPr="00A508A9" w:rsidRDefault="00097E25" w:rsidP="002E1285">
      <w:pPr>
        <w:jc w:val="both"/>
        <w:rPr>
          <w:lang w:val="en-US"/>
        </w:rPr>
      </w:pPr>
    </w:p>
    <w:p w:rsidR="00097E25" w:rsidRPr="00A508A9" w:rsidRDefault="00097E25" w:rsidP="002E1285">
      <w:pPr>
        <w:jc w:val="both"/>
      </w:pPr>
      <w:r w:rsidRPr="00A508A9">
        <w:rPr>
          <w:lang w:val="en-US"/>
        </w:rPr>
        <w:t xml:space="preserve">BRANDÃO, Kiany Sirley Ribeiro. </w:t>
      </w:r>
      <w:r w:rsidRPr="00A508A9">
        <w:t>Estudo e otimização do processo de produção de biodiesel a partir do óleo de soja (Glicine sp) e óleo de babaçu (Orbignya Martiana). Monografia graduação. Universidade Federal do Maranhão. 2005.</w:t>
      </w:r>
    </w:p>
    <w:p w:rsidR="00097E25" w:rsidRPr="00A508A9" w:rsidRDefault="00097E25" w:rsidP="002E1285">
      <w:pPr>
        <w:jc w:val="both"/>
        <w:rPr>
          <w:bCs/>
        </w:rPr>
      </w:pPr>
    </w:p>
    <w:p w:rsidR="00097E25" w:rsidRPr="00A508A9" w:rsidRDefault="00097E25" w:rsidP="002E1285">
      <w:pPr>
        <w:jc w:val="both"/>
        <w:rPr>
          <w:bCs/>
        </w:rPr>
      </w:pPr>
      <w:r w:rsidRPr="00A508A9">
        <w:rPr>
          <w:bCs/>
        </w:rPr>
        <w:lastRenderedPageBreak/>
        <w:t>BRASIL. Ministério de Minas e Energia. Agência Nacional de Petróleo. Resolução nº42, de 24 de novembro de 2004. Disponível em: &lt;http://www.biod</w:t>
      </w:r>
      <w:r w:rsidR="00F634A8" w:rsidRPr="00A508A9">
        <w:rPr>
          <w:bCs/>
        </w:rPr>
        <w:t>iesel.gov.br&gt;. Acesso em: 29 abril. 2015</w:t>
      </w:r>
      <w:r w:rsidRPr="00A508A9">
        <w:rPr>
          <w:bCs/>
        </w:rPr>
        <w:t>.</w:t>
      </w:r>
    </w:p>
    <w:p w:rsidR="00097E25" w:rsidRPr="00A508A9" w:rsidRDefault="00097E25" w:rsidP="002E1285">
      <w:pPr>
        <w:jc w:val="both"/>
      </w:pPr>
    </w:p>
    <w:p w:rsidR="00097E25" w:rsidRPr="00A508A9" w:rsidRDefault="00097E25" w:rsidP="002E1285">
      <w:pPr>
        <w:jc w:val="both"/>
        <w:rPr>
          <w:bCs/>
        </w:rPr>
      </w:pPr>
      <w:r w:rsidRPr="00A508A9">
        <w:rPr>
          <w:lang w:val="en-US"/>
        </w:rPr>
        <w:t xml:space="preserve">BILLAUD, F., Dominguez, V., Broutin, P., and Busson, C.: Production of hydrocarbons by pyrolyses of methyl esters from rapeseed oil. </w:t>
      </w:r>
      <w:r w:rsidRPr="00A508A9">
        <w:rPr>
          <w:i/>
        </w:rPr>
        <w:t>J. Am. Oil Chem. Soc</w:t>
      </w:r>
      <w:r w:rsidRPr="00A508A9">
        <w:t>., 72, 1149-1154 (1995).</w:t>
      </w:r>
    </w:p>
    <w:p w:rsidR="00097E25" w:rsidRPr="00A508A9" w:rsidRDefault="00097E25" w:rsidP="002E1285">
      <w:pPr>
        <w:jc w:val="both"/>
      </w:pPr>
    </w:p>
    <w:p w:rsidR="00097E25" w:rsidRPr="00A508A9" w:rsidRDefault="00097E25" w:rsidP="002E1285">
      <w:pPr>
        <w:jc w:val="both"/>
      </w:pPr>
      <w:r w:rsidRPr="00A508A9">
        <w:t>Biodiesel. Barreiras, potenciais e impactos. Disponível em: &lt;http/:www.biodieselbr.com/biodiesel/</w:t>
      </w:r>
      <w:r w:rsidRPr="00A508A9">
        <w:rPr>
          <w:bCs/>
        </w:rPr>
        <w:t>glicerina</w:t>
      </w:r>
      <w:r w:rsidRPr="00A508A9">
        <w:t>/biodiesel-</w:t>
      </w:r>
      <w:r w:rsidRPr="00A508A9">
        <w:rPr>
          <w:bCs/>
        </w:rPr>
        <w:t>glicerina</w:t>
      </w:r>
      <w:r w:rsidRPr="00A508A9">
        <w:t xml:space="preserve">.htm - </w:t>
      </w:r>
      <w:r w:rsidR="00F634A8" w:rsidRPr="00A508A9">
        <w:t>44k&gt; Acesso: 12 de março de 2016</w:t>
      </w:r>
      <w:r w:rsidRPr="00A508A9">
        <w:t>.</w:t>
      </w:r>
    </w:p>
    <w:p w:rsidR="00097E25" w:rsidRPr="00A508A9" w:rsidRDefault="00097E25" w:rsidP="002E1285">
      <w:pPr>
        <w:jc w:val="both"/>
      </w:pPr>
    </w:p>
    <w:p w:rsidR="00097E25" w:rsidRPr="00A508A9" w:rsidRDefault="00097E25" w:rsidP="002E1285">
      <w:pPr>
        <w:jc w:val="both"/>
      </w:pPr>
      <w:r w:rsidRPr="00A508A9">
        <w:t>BRUNS, R. E.; BARROS NETO, B.; SCARMINIO, I. S. Planejamento e Otimização de Experimentos. 1. ed. Campinas: Editora da Unicamp, 1995. v. 1. 300 p.</w:t>
      </w:r>
    </w:p>
    <w:p w:rsidR="00097E25" w:rsidRPr="00A508A9" w:rsidRDefault="00097E25" w:rsidP="002E1285">
      <w:pPr>
        <w:jc w:val="both"/>
      </w:pPr>
    </w:p>
    <w:p w:rsidR="00097E25" w:rsidRPr="00A508A9" w:rsidRDefault="00097E25" w:rsidP="002E1285">
      <w:pPr>
        <w:jc w:val="both"/>
      </w:pPr>
      <w:r w:rsidRPr="00A508A9">
        <w:t>CALDEIRA &amp; MOTA, C. Reações de conversão de glicerina a intermediários petroquímicos. Apresentação no Workshop MCT. Disponível em: &lt; www.biodiesel.gov.br/rede.html&gt;</w:t>
      </w:r>
    </w:p>
    <w:p w:rsidR="00097E25" w:rsidRPr="00A508A9" w:rsidRDefault="00097E25" w:rsidP="002E1285">
      <w:pPr>
        <w:jc w:val="both"/>
        <w:rPr>
          <w:bCs/>
        </w:rPr>
      </w:pPr>
      <w:r w:rsidRPr="00A508A9">
        <w:rPr>
          <w:bCs/>
        </w:rPr>
        <w:t>CIOLA, Remolo.Fundamentos de Catálise, ed.1°.editora .moderna. São Paulo,sp,1981.</w:t>
      </w:r>
    </w:p>
    <w:p w:rsidR="00097E25" w:rsidRPr="00A508A9" w:rsidRDefault="00097E25" w:rsidP="002E1285">
      <w:pPr>
        <w:jc w:val="both"/>
        <w:rPr>
          <w:bCs/>
        </w:rPr>
      </w:pPr>
    </w:p>
    <w:p w:rsidR="00097E25" w:rsidRPr="00A508A9" w:rsidRDefault="00097E25" w:rsidP="002E1285">
      <w:pPr>
        <w:jc w:val="both"/>
        <w:rPr>
          <w:lang w:val="en-US"/>
        </w:rPr>
      </w:pPr>
      <w:r w:rsidRPr="00A508A9">
        <w:rPr>
          <w:bCs/>
          <w:lang w:val="en-US"/>
        </w:rPr>
        <w:t xml:space="preserve">COLLABORATIVE BIODIESEL TUTORIAL, Bebblewashing Biodiesel &amp; Emulsion. Disponivel em : </w:t>
      </w:r>
      <w:hyperlink r:id="rId19" w:history="1">
        <w:r w:rsidRPr="00A508A9">
          <w:rPr>
            <w:bCs/>
            <w:color w:val="0000FF"/>
            <w:u w:val="single"/>
            <w:lang w:val="en-US"/>
          </w:rPr>
          <w:t>www.localb100.com/cbt/bubblewashingbiodiesel</w:t>
        </w:r>
      </w:hyperlink>
      <w:r w:rsidRPr="00A508A9">
        <w:rPr>
          <w:lang w:val="en-US"/>
        </w:rPr>
        <w:t>.</w:t>
      </w:r>
    </w:p>
    <w:p w:rsidR="00097E25" w:rsidRPr="00A508A9" w:rsidRDefault="00097E25" w:rsidP="002E1285">
      <w:pPr>
        <w:jc w:val="both"/>
        <w:rPr>
          <w:lang w:val="en-US"/>
        </w:rPr>
      </w:pPr>
    </w:p>
    <w:p w:rsidR="00097E25" w:rsidRPr="00A508A9" w:rsidRDefault="00097E25" w:rsidP="002E1285">
      <w:pPr>
        <w:jc w:val="both"/>
        <w:rPr>
          <w:lang w:val="en-US"/>
        </w:rPr>
      </w:pPr>
      <w:r w:rsidRPr="00A508A9">
        <w:rPr>
          <w:lang w:val="en-US"/>
        </w:rPr>
        <w:t xml:space="preserve">DALLAS, Group of American INC. </w:t>
      </w:r>
      <w:r w:rsidRPr="00A508A9">
        <w:rPr>
          <w:bCs/>
          <w:lang w:val="en-US"/>
        </w:rPr>
        <w:t xml:space="preserve">ADSORBING IT ALL. </w:t>
      </w:r>
      <w:r w:rsidRPr="00A508A9">
        <w:rPr>
          <w:lang w:val="en-US"/>
        </w:rPr>
        <w:t xml:space="preserve">The biodiesel industry with a synthetic magnesium silicate adsorbent that has changed the way some producers </w:t>
      </w:r>
    </w:p>
    <w:p w:rsidR="00097E25" w:rsidRPr="00A508A9" w:rsidRDefault="00097E25" w:rsidP="002E1285">
      <w:pPr>
        <w:jc w:val="both"/>
      </w:pPr>
      <w:r w:rsidRPr="00A508A9">
        <w:rPr>
          <w:lang w:val="en-US"/>
        </w:rPr>
        <w:t xml:space="preserve">clean up their methyl esters. </w:t>
      </w:r>
      <w:r w:rsidRPr="00A508A9">
        <w:t xml:space="preserve">March 2005. BIODIESEL MAGAZINE </w:t>
      </w:r>
    </w:p>
    <w:p w:rsidR="00097E25" w:rsidRPr="00A508A9" w:rsidRDefault="00097E25" w:rsidP="002E1285">
      <w:pPr>
        <w:jc w:val="both"/>
      </w:pPr>
    </w:p>
    <w:p w:rsidR="00097E25" w:rsidRPr="00A508A9" w:rsidRDefault="00097E25" w:rsidP="002E1285">
      <w:pPr>
        <w:jc w:val="both"/>
      </w:pPr>
      <w:r w:rsidRPr="00A508A9">
        <w:t xml:space="preserve">DIARIO OFICIAL DA UNIAO – RESOLUÇÃO Nº 42, DE 24 DE NOVEMBRO DE 2004. </w:t>
      </w:r>
      <w:r w:rsidRPr="00A508A9">
        <w:rPr>
          <w:bCs/>
        </w:rPr>
        <w:t>Edição Número 236 de 09/12/2004. Ministério de Minas e Energia - Agência Nacional do Petróleo.</w:t>
      </w:r>
    </w:p>
    <w:p w:rsidR="00097E25" w:rsidRPr="00A508A9" w:rsidRDefault="00097E25" w:rsidP="002E1285">
      <w:pPr>
        <w:jc w:val="both"/>
      </w:pPr>
    </w:p>
    <w:p w:rsidR="00097E25" w:rsidRPr="00A508A9" w:rsidRDefault="00097E25" w:rsidP="002E1285">
      <w:pPr>
        <w:jc w:val="both"/>
      </w:pPr>
      <w:r w:rsidRPr="00A508A9">
        <w:rPr>
          <w:lang w:val="en-US"/>
        </w:rPr>
        <w:t xml:space="preserve">DOMINGOS, Anderson Kurunczi. Optimization of the ethanolysis of Raphanus sativus (L. Var.) crude oil applying the response surface methodology. </w:t>
      </w:r>
      <w:r w:rsidRPr="00A508A9">
        <w:t>(Article in Press). Bioresource Technology (2007).</w:t>
      </w:r>
    </w:p>
    <w:p w:rsidR="00097E25" w:rsidRPr="00A508A9" w:rsidRDefault="00097E25" w:rsidP="002E1285">
      <w:pPr>
        <w:jc w:val="both"/>
      </w:pPr>
    </w:p>
    <w:p w:rsidR="00097E25" w:rsidRPr="00A508A9" w:rsidRDefault="00097E25" w:rsidP="002E1285">
      <w:pPr>
        <w:jc w:val="both"/>
      </w:pPr>
      <w:r w:rsidRPr="00A508A9">
        <w:t xml:space="preserve">GRACE DAVISON. Engineered Materials. Produtos e tecnologias especiais para a produção de Precursor de Combustível BIODIESEL (BDFP) e combustível </w:t>
      </w:r>
    </w:p>
    <w:p w:rsidR="00097E25" w:rsidRPr="00A508A9" w:rsidRDefault="00097E25" w:rsidP="002E1285">
      <w:pPr>
        <w:ind w:firstLine="708"/>
        <w:jc w:val="both"/>
      </w:pPr>
    </w:p>
    <w:p w:rsidR="00097E25" w:rsidRPr="00A508A9" w:rsidRDefault="00097E25" w:rsidP="002E1285">
      <w:pPr>
        <w:jc w:val="both"/>
      </w:pPr>
      <w:r w:rsidRPr="00A508A9">
        <w:t>BIODIESEL. Disponível em: http://www.gracedavison.com.b</w:t>
      </w:r>
      <w:r w:rsidR="00F634A8" w:rsidRPr="00A508A9">
        <w:t>r/&gt; Acessado em: 31mar. 20013</w:t>
      </w:r>
      <w:r w:rsidRPr="00A508A9">
        <w:t xml:space="preserve"> no estado so Maranhão. Disponível em: http://www.ibge.gov.br/estadosat/perfil.php?sigla=ma</w:t>
      </w:r>
    </w:p>
    <w:p w:rsidR="00097E25" w:rsidRPr="00A508A9" w:rsidRDefault="00097E25" w:rsidP="002E1285">
      <w:pPr>
        <w:jc w:val="both"/>
      </w:pPr>
    </w:p>
    <w:p w:rsidR="00097E25" w:rsidRPr="00A508A9" w:rsidRDefault="00097E25" w:rsidP="002E1285">
      <w:pPr>
        <w:jc w:val="both"/>
        <w:rPr>
          <w:lang w:val="en-US"/>
        </w:rPr>
      </w:pPr>
      <w:r w:rsidRPr="00A508A9">
        <w:rPr>
          <w:lang w:val="en-US"/>
        </w:rPr>
        <w:t>HILL,</w:t>
      </w:r>
      <w:r w:rsidR="00F634A8" w:rsidRPr="00A508A9">
        <w:rPr>
          <w:lang w:val="en-US"/>
        </w:rPr>
        <w:t>2008</w:t>
      </w:r>
      <w:r w:rsidRPr="00A508A9">
        <w:rPr>
          <w:lang w:val="en-US"/>
        </w:rPr>
        <w:t xml:space="preserve"> Phillip. Mist washing biodiesel. </w:t>
      </w:r>
      <w:r w:rsidRPr="00A508A9">
        <w:t xml:space="preserve">Disponível em: &lt;http://www.biodieselgear.com/&gt;. </w:t>
      </w:r>
      <w:r w:rsidR="00F634A8" w:rsidRPr="00A508A9">
        <w:rPr>
          <w:lang w:val="en-US"/>
        </w:rPr>
        <w:t>Acesso em: 31 ago. 2012.</w:t>
      </w:r>
    </w:p>
    <w:p w:rsidR="00097E25" w:rsidRPr="00A508A9" w:rsidRDefault="00097E25" w:rsidP="002E1285">
      <w:pPr>
        <w:jc w:val="both"/>
        <w:rPr>
          <w:lang w:val="en-US"/>
        </w:rPr>
      </w:pPr>
    </w:p>
    <w:p w:rsidR="00097E25" w:rsidRPr="00A508A9" w:rsidRDefault="00097E25" w:rsidP="002E1285">
      <w:pPr>
        <w:jc w:val="both"/>
      </w:pPr>
      <w:r w:rsidRPr="00A508A9">
        <w:rPr>
          <w:lang w:val="en-US"/>
        </w:rPr>
        <w:t xml:space="preserve">INTERNATION </w:t>
      </w:r>
      <w:smartTag w:uri="urn:schemas-microsoft-com:office:smarttags" w:element="place">
        <w:r w:rsidRPr="00A508A9">
          <w:rPr>
            <w:lang w:val="en-US"/>
          </w:rPr>
          <w:t>UNION</w:t>
        </w:r>
      </w:smartTag>
      <w:r w:rsidRPr="00A508A9">
        <w:rPr>
          <w:lang w:val="en-US"/>
        </w:rPr>
        <w:t xml:space="preserve"> OF PURE AND APPLIED CHEMISTRY. Standard methods for the analysis of oils, fats and derivatives (SMAOFD). </w:t>
      </w:r>
      <w:r w:rsidRPr="00A508A9">
        <w:t>7ª ed. B</w:t>
      </w:r>
      <w:r w:rsidR="00A0516B">
        <w:t>oston, method 2507, IUPAC, 1987.</w:t>
      </w:r>
    </w:p>
    <w:p w:rsidR="00097E25" w:rsidRPr="00A508A9" w:rsidRDefault="00097E25" w:rsidP="002E1285">
      <w:pPr>
        <w:jc w:val="both"/>
      </w:pPr>
    </w:p>
    <w:p w:rsidR="00097E25" w:rsidRPr="00A508A9" w:rsidRDefault="00097E25" w:rsidP="002E1285">
      <w:pPr>
        <w:jc w:val="both"/>
      </w:pPr>
    </w:p>
    <w:p w:rsidR="00097E25" w:rsidRPr="00A508A9" w:rsidRDefault="00097E25" w:rsidP="002E1285">
      <w:pPr>
        <w:jc w:val="both"/>
      </w:pPr>
      <w:r w:rsidRPr="00A508A9">
        <w:lastRenderedPageBreak/>
        <w:t xml:space="preserve">KUCEK, K.T. Otimização da Transesterificação Etílica do Oleo de Soja </w:t>
      </w:r>
      <w:smartTag w:uri="urn:schemas-microsoft-com:office:smarttags" w:element="PersonName">
        <w:smartTagPr>
          <w:attr w:name="ProductID" w:val="em Meio Alcalino. Disserta￧￣o"/>
        </w:smartTagPr>
        <w:r w:rsidRPr="00A508A9">
          <w:t>em Meio Alcalino. Dissertação</w:t>
        </w:r>
      </w:smartTag>
      <w:r w:rsidRPr="00A508A9">
        <w:t xml:space="preserve"> (Pós- Graduação </w:t>
      </w:r>
      <w:smartTag w:uri="urn:schemas-microsoft-com:office:smarttags" w:element="PersonName">
        <w:smartTagPr>
          <w:attr w:name="ProductID" w:val="em qu￭mica Org￢nica"/>
        </w:smartTagPr>
        <w:r w:rsidRPr="00A508A9">
          <w:t>em química Orgânica</w:t>
        </w:r>
      </w:smartTag>
      <w:r w:rsidRPr="00A508A9">
        <w:t xml:space="preserve"> – Mestre). Universidade Federal do Paraná. </w:t>
      </w:r>
    </w:p>
    <w:p w:rsidR="00097E25" w:rsidRPr="00A508A9" w:rsidRDefault="00097E25" w:rsidP="002E1285">
      <w:pPr>
        <w:jc w:val="both"/>
      </w:pPr>
    </w:p>
    <w:p w:rsidR="00097E25" w:rsidRPr="00A508A9" w:rsidRDefault="00097E25" w:rsidP="002E1285">
      <w:pPr>
        <w:jc w:val="both"/>
        <w:rPr>
          <w:lang w:val="en"/>
        </w:rPr>
      </w:pPr>
      <w:r w:rsidRPr="00A508A9">
        <w:rPr>
          <w:lang w:val="en"/>
        </w:rPr>
        <w:t xml:space="preserve">LEE, Inmok et. al. </w:t>
      </w:r>
      <w:r w:rsidRPr="00A508A9">
        <w:rPr>
          <w:bCs/>
          <w:lang w:val="en"/>
        </w:rPr>
        <w:t xml:space="preserve">Processes of Producing Biodiesel and Biodiesel Produced Therefrom. </w:t>
      </w:r>
      <w:smartTag w:uri="urn:schemas-microsoft-com:office:smarttags" w:element="place">
        <w:smartTag w:uri="urn:schemas-microsoft-com:office:smarttags" w:element="country-region">
          <w:r w:rsidRPr="00A508A9">
            <w:rPr>
              <w:lang w:val="en"/>
            </w:rPr>
            <w:t>United States</w:t>
          </w:r>
        </w:smartTag>
      </w:smartTag>
      <w:r w:rsidRPr="00A508A9">
        <w:rPr>
          <w:lang w:val="en"/>
        </w:rPr>
        <w:t xml:space="preserve"> Patent 20070151146. </w:t>
      </w:r>
    </w:p>
    <w:p w:rsidR="00097E25" w:rsidRPr="00A508A9" w:rsidRDefault="00097E25" w:rsidP="002E1285">
      <w:pPr>
        <w:jc w:val="both"/>
        <w:rPr>
          <w:lang w:val="fr-FR"/>
        </w:rPr>
      </w:pPr>
      <w:r w:rsidRPr="00A508A9">
        <w:rPr>
          <w:lang w:val="en-US"/>
        </w:rPr>
        <w:t xml:space="preserve">MA, F. e Hanna, M.A. Biodiesel Production: a review. </w:t>
      </w:r>
      <w:r w:rsidRPr="00A508A9">
        <w:rPr>
          <w:i/>
          <w:lang w:val="fr-FR"/>
        </w:rPr>
        <w:t>Bioresource Technology.</w:t>
      </w:r>
      <w:r w:rsidRPr="00A508A9">
        <w:rPr>
          <w:lang w:val="fr-FR"/>
        </w:rPr>
        <w:t xml:space="preserve"> V. 70, p.1-15, 1999</w:t>
      </w:r>
    </w:p>
    <w:p w:rsidR="00097E25" w:rsidRPr="00A508A9" w:rsidRDefault="00097E25" w:rsidP="002E1285">
      <w:pPr>
        <w:jc w:val="both"/>
        <w:rPr>
          <w:bCs/>
          <w:lang w:val="en-US"/>
        </w:rPr>
      </w:pPr>
      <w:r w:rsidRPr="00A508A9">
        <w:rPr>
          <w:bCs/>
          <w:lang w:val="fr-FR"/>
        </w:rPr>
        <w:t xml:space="preserve">MEIRELLES, Fabio de Salles. </w:t>
      </w:r>
      <w:r w:rsidRPr="00A508A9">
        <w:rPr>
          <w:bCs/>
          <w:lang w:val="en-US"/>
        </w:rPr>
        <w:t xml:space="preserve">BIODIESEL. </w:t>
      </w:r>
      <w:smartTag w:uri="urn:schemas-microsoft-com:office:smarttags" w:element="City">
        <w:smartTag w:uri="urn:schemas-microsoft-com:office:smarttags" w:element="place">
          <w:r w:rsidRPr="00A508A9">
            <w:rPr>
              <w:bCs/>
              <w:lang w:val="en-US"/>
            </w:rPr>
            <w:t>Brasilia</w:t>
          </w:r>
        </w:smartTag>
      </w:smartTag>
      <w:r w:rsidRPr="00A508A9">
        <w:rPr>
          <w:bCs/>
          <w:lang w:val="en-US"/>
        </w:rPr>
        <w:t>, 2003.</w:t>
      </w:r>
    </w:p>
    <w:p w:rsidR="00097E25" w:rsidRPr="00A508A9" w:rsidRDefault="00097E25" w:rsidP="002E1285">
      <w:pPr>
        <w:jc w:val="both"/>
        <w:rPr>
          <w:lang w:val="en-US"/>
        </w:rPr>
      </w:pPr>
    </w:p>
    <w:p w:rsidR="00097E25" w:rsidRPr="00A508A9" w:rsidRDefault="00097E25" w:rsidP="002E1285">
      <w:pPr>
        <w:jc w:val="both"/>
        <w:rPr>
          <w:lang w:val="en-US"/>
        </w:rPr>
      </w:pPr>
      <w:r w:rsidRPr="00A508A9">
        <w:rPr>
          <w:lang w:val="en-US"/>
        </w:rPr>
        <w:t xml:space="preserve">NADIV, C. &amp; SEMIAT, R. (1995). Batch settling of liquid-liquid dispersion. Industrial and Engineering Chemistry Research, 34, 2427-2435. </w:t>
      </w:r>
    </w:p>
    <w:p w:rsidR="00097E25" w:rsidRPr="00A508A9" w:rsidRDefault="00097E25" w:rsidP="002E1285">
      <w:pPr>
        <w:jc w:val="both"/>
        <w:rPr>
          <w:lang w:val="en-US"/>
        </w:rPr>
      </w:pPr>
    </w:p>
    <w:p w:rsidR="00097E25" w:rsidRPr="00A508A9" w:rsidRDefault="00097E25" w:rsidP="002E1285">
      <w:pPr>
        <w:jc w:val="both"/>
      </w:pPr>
      <w:r w:rsidRPr="00A508A9">
        <w:rPr>
          <w:lang w:val="en-US"/>
        </w:rPr>
        <w:t xml:space="preserve">NOUREDDINI; Hossein. System and process for producing biodiesel fuel with reduced viscosity and a cloud point below thirty-two (32) degrees Fahrenheit. </w:t>
      </w:r>
      <w:r w:rsidRPr="00A508A9">
        <w:t>USPTO Patent Full. Patent nº 6,174,501, p. 4-14, 2001.</w:t>
      </w:r>
    </w:p>
    <w:p w:rsidR="00097E25" w:rsidRPr="00A508A9" w:rsidRDefault="00097E25" w:rsidP="002E1285">
      <w:pPr>
        <w:jc w:val="both"/>
      </w:pPr>
    </w:p>
    <w:p w:rsidR="00097E25" w:rsidRPr="00A508A9" w:rsidRDefault="00097E25" w:rsidP="002E1285">
      <w:pPr>
        <w:jc w:val="both"/>
      </w:pPr>
      <w:r w:rsidRPr="00A508A9">
        <w:t>SAAD, Emir Bolzani. Etanólise do óleo de milho e empregando catalisadores alcalinos e enzimáticos. Dissertação de mestrado: Universidade Federal do Paraná. Curitiba, 2005.</w:t>
      </w:r>
    </w:p>
    <w:p w:rsidR="00097E25" w:rsidRPr="00A508A9" w:rsidRDefault="00097E25" w:rsidP="002E1285">
      <w:pPr>
        <w:jc w:val="both"/>
        <w:rPr>
          <w:bCs/>
        </w:rPr>
      </w:pPr>
    </w:p>
    <w:p w:rsidR="00097E25" w:rsidRPr="00A508A9" w:rsidRDefault="00097E25" w:rsidP="002E1285">
      <w:pPr>
        <w:jc w:val="both"/>
      </w:pPr>
      <w:r w:rsidRPr="00A508A9">
        <w:rPr>
          <w:bCs/>
        </w:rPr>
        <w:t>SINIPOMA</w:t>
      </w:r>
      <w:r w:rsidRPr="00A508A9">
        <w:t xml:space="preserve"> – Sindicato das industrias produtoras de óleo do Maranhão, 2004.</w:t>
      </w:r>
    </w:p>
    <w:p w:rsidR="00097E25" w:rsidRPr="00A508A9" w:rsidRDefault="00097E25" w:rsidP="002E1285">
      <w:pPr>
        <w:jc w:val="both"/>
      </w:pPr>
    </w:p>
    <w:p w:rsidR="00097E25" w:rsidRPr="00A508A9" w:rsidRDefault="00097E25" w:rsidP="002E1285">
      <w:pPr>
        <w:jc w:val="both"/>
      </w:pPr>
      <w:r w:rsidRPr="00A508A9">
        <w:t>TEIXEIRA, M.A.La Industria Brasilena de Extraccion de Aceite de Palma de Babassu, um nuevo enfoque. Departamento de Energia – FEM – UNICAMP, 2001.</w:t>
      </w:r>
    </w:p>
    <w:p w:rsidR="00097E25" w:rsidRPr="00A508A9" w:rsidRDefault="00097E25" w:rsidP="002E1285">
      <w:pPr>
        <w:jc w:val="both"/>
        <w:rPr>
          <w:bCs/>
        </w:rPr>
      </w:pPr>
    </w:p>
    <w:p w:rsidR="00097E25" w:rsidRPr="00A508A9" w:rsidRDefault="00097E25" w:rsidP="002E1285">
      <w:pPr>
        <w:jc w:val="both"/>
        <w:rPr>
          <w:lang w:val="en-US"/>
        </w:rPr>
      </w:pPr>
      <w:r w:rsidRPr="00A508A9">
        <w:rPr>
          <w:bCs/>
        </w:rPr>
        <w:t>TOOMEH</w:t>
      </w:r>
      <w:r w:rsidRPr="00A508A9">
        <w:t xml:space="preserve"> H </w:t>
      </w:r>
      <w:r w:rsidRPr="00A508A9">
        <w:rPr>
          <w:lang w:val="en-US"/>
        </w:rPr>
        <w:sym w:font="Symbol" w:char="F026"/>
      </w:r>
      <w:r w:rsidRPr="00A508A9">
        <w:t xml:space="preserve"> G - Hamadan &amp; Ghaleb Toomeh Co. </w:t>
      </w:r>
      <w:r w:rsidRPr="00A508A9">
        <w:rPr>
          <w:lang w:val="en-US"/>
        </w:rPr>
        <w:t>Refined Glycein 99.7%. http://www.toomeh.com/products.html</w:t>
      </w:r>
    </w:p>
    <w:p w:rsidR="00097E25" w:rsidRPr="00A508A9" w:rsidRDefault="00097E25" w:rsidP="002E1285">
      <w:pPr>
        <w:jc w:val="both"/>
        <w:rPr>
          <w:lang w:val="en-US"/>
        </w:rPr>
      </w:pPr>
    </w:p>
    <w:p w:rsidR="00097E25" w:rsidRPr="00A508A9" w:rsidRDefault="00097E25" w:rsidP="002E1285">
      <w:pPr>
        <w:jc w:val="both"/>
        <w:rPr>
          <w:lang w:val="en-US"/>
        </w:rPr>
      </w:pPr>
      <w:r w:rsidRPr="00A508A9">
        <w:rPr>
          <w:lang w:val="en-US"/>
        </w:rPr>
        <w:t xml:space="preserve">TYSON, K. Shaine, - NREL, Biodiesel R &amp; D  Potential, presentation at the Montana Biodiesl Workshop, </w:t>
      </w:r>
      <w:smartTag w:uri="urn:schemas-microsoft-com:office:smarttags" w:element="date">
        <w:smartTagPr>
          <w:attr w:name="Year" w:val="2003"/>
          <w:attr w:name="Day" w:val="8"/>
          <w:attr w:name="Month" w:val="10"/>
        </w:smartTagPr>
        <w:r w:rsidRPr="00A508A9">
          <w:rPr>
            <w:lang w:val="en-US"/>
          </w:rPr>
          <w:t>October 8, 2003</w:t>
        </w:r>
      </w:smartTag>
      <w:r w:rsidRPr="00A508A9">
        <w:rPr>
          <w:lang w:val="en-US"/>
        </w:rPr>
        <w:t>.</w:t>
      </w:r>
    </w:p>
    <w:p w:rsidR="00097E25" w:rsidRPr="00A508A9" w:rsidRDefault="00097E25" w:rsidP="002E1285">
      <w:pPr>
        <w:jc w:val="both"/>
        <w:rPr>
          <w:lang w:val="en-US"/>
        </w:rPr>
      </w:pPr>
    </w:p>
    <w:p w:rsidR="00097E25" w:rsidRPr="00A508A9" w:rsidRDefault="00097E25" w:rsidP="002E1285">
      <w:pPr>
        <w:jc w:val="both"/>
        <w:rPr>
          <w:lang w:val="en-US"/>
        </w:rPr>
      </w:pPr>
      <w:r w:rsidRPr="00A508A9">
        <w:t xml:space="preserve">URIOSTE, D. Produção de biodiesel por catálise enzimática do óleo de babaçu com álcoois de cadeia curta. Dissertação: M.Sc. apresentada no curso de Pós-graduação </w:t>
      </w:r>
      <w:smartTag w:uri="urn:schemas-microsoft-com:office:smarttags" w:element="PersonName">
        <w:smartTagPr>
          <w:attr w:name="ProductID" w:val="em Engenharia Qu￭mica DEQ-"/>
        </w:smartTagPr>
        <w:r w:rsidRPr="00A508A9">
          <w:t>em Engenharia Química DEQ-</w:t>
        </w:r>
      </w:smartTag>
      <w:r w:rsidRPr="00A508A9">
        <w:t xml:space="preserve"> Faculdade de Engenharia Química, Lorena-SP, 123p. </w:t>
      </w:r>
      <w:r w:rsidRPr="00A508A9">
        <w:rPr>
          <w:lang w:val="en-US"/>
        </w:rPr>
        <w:t xml:space="preserve">2004. </w:t>
      </w:r>
    </w:p>
    <w:p w:rsidR="00097E25" w:rsidRPr="00A508A9" w:rsidRDefault="00097E25" w:rsidP="002E1285">
      <w:pPr>
        <w:jc w:val="both"/>
        <w:rPr>
          <w:bCs/>
          <w:lang w:val="en-US"/>
        </w:rPr>
      </w:pPr>
    </w:p>
    <w:p w:rsidR="00097E25" w:rsidRPr="00A508A9" w:rsidRDefault="00097E25" w:rsidP="002E1285">
      <w:pPr>
        <w:jc w:val="both"/>
        <w:rPr>
          <w:lang w:val="en-US"/>
        </w:rPr>
      </w:pPr>
      <w:r w:rsidRPr="00A508A9">
        <w:rPr>
          <w:bCs/>
          <w:lang w:val="en-US"/>
        </w:rPr>
        <w:t>ZHANG, Y.al. Biodiesel production from waste cooking oil. 1. Process design and</w:t>
      </w:r>
      <w:r w:rsidRPr="00A508A9">
        <w:rPr>
          <w:lang w:val="en-US"/>
        </w:rPr>
        <w:t xml:space="preserve"> technological assessment. Bioresource Technology, 89, p1-16, 2003.</w:t>
      </w:r>
    </w:p>
    <w:p w:rsidR="00097E25" w:rsidRPr="00A508A9" w:rsidRDefault="00097E25" w:rsidP="002E1285">
      <w:pPr>
        <w:jc w:val="both"/>
        <w:rPr>
          <w:lang w:val="en-US"/>
        </w:rPr>
      </w:pPr>
    </w:p>
    <w:p w:rsidR="00097E25" w:rsidRPr="00A508A9" w:rsidRDefault="00097E25" w:rsidP="002E1285">
      <w:pPr>
        <w:autoSpaceDE w:val="0"/>
        <w:autoSpaceDN w:val="0"/>
        <w:adjustRightInd w:val="0"/>
        <w:rPr>
          <w:noProof w:val="0"/>
          <w:color w:val="000000"/>
          <w:lang w:val="es-ES"/>
        </w:rPr>
      </w:pPr>
      <w:r w:rsidRPr="00A508A9">
        <w:rPr>
          <w:noProof w:val="0"/>
          <w:color w:val="000000"/>
          <w:lang w:val="en-US"/>
        </w:rPr>
        <w:t xml:space="preserve">V. P. Levitt (Editor), </w:t>
      </w:r>
      <w:smartTag w:uri="urn:schemas-microsoft-com:office:smarttags" w:element="City">
        <w:smartTag w:uri="urn:schemas-microsoft-com:office:smarttags" w:element="place">
          <w:r w:rsidRPr="00A508A9">
            <w:rPr>
              <w:noProof w:val="0"/>
              <w:color w:val="000000"/>
              <w:lang w:val="en-US"/>
            </w:rPr>
            <w:t>Findlay</w:t>
          </w:r>
        </w:smartTag>
      </w:smartTag>
      <w:r w:rsidRPr="00A508A9">
        <w:rPr>
          <w:noProof w:val="0"/>
          <w:color w:val="000000"/>
          <w:lang w:val="en-US"/>
        </w:rPr>
        <w:t xml:space="preserve">’s Practical Physical Chemistry. </w:t>
      </w:r>
      <w:proofErr w:type="spellStart"/>
      <w:r w:rsidRPr="00A508A9">
        <w:rPr>
          <w:noProof w:val="0"/>
          <w:color w:val="000000"/>
          <w:lang w:val="es-ES"/>
        </w:rPr>
        <w:t>Longman</w:t>
      </w:r>
      <w:proofErr w:type="spellEnd"/>
      <w:r w:rsidRPr="00A508A9">
        <w:rPr>
          <w:noProof w:val="0"/>
          <w:color w:val="000000"/>
          <w:lang w:val="es-ES"/>
        </w:rPr>
        <w:t xml:space="preserve"> </w:t>
      </w:r>
      <w:proofErr w:type="spellStart"/>
      <w:r w:rsidRPr="00A508A9">
        <w:rPr>
          <w:noProof w:val="0"/>
          <w:color w:val="000000"/>
          <w:lang w:val="es-ES"/>
        </w:rPr>
        <w:t>Group</w:t>
      </w:r>
      <w:proofErr w:type="spellEnd"/>
      <w:r w:rsidRPr="00A508A9">
        <w:rPr>
          <w:noProof w:val="0"/>
          <w:color w:val="000000"/>
          <w:lang w:val="es-ES"/>
        </w:rPr>
        <w:t>, Londres (197</w:t>
      </w:r>
    </w:p>
    <w:sectPr w:rsidR="00097E25" w:rsidRPr="00A508A9">
      <w:headerReference w:type="even" r:id="rId20"/>
      <w:headerReference w:type="default" r:id="rId2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3FB4" w:rsidRDefault="007C3FB4" w:rsidP="00097E25">
      <w:r>
        <w:separator/>
      </w:r>
    </w:p>
  </w:endnote>
  <w:endnote w:type="continuationSeparator" w:id="0">
    <w:p w:rsidR="007C3FB4" w:rsidRDefault="007C3FB4" w:rsidP="00097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3FB4" w:rsidRDefault="007C3FB4" w:rsidP="00097E25">
      <w:r>
        <w:separator/>
      </w:r>
    </w:p>
  </w:footnote>
  <w:footnote w:type="continuationSeparator" w:id="0">
    <w:p w:rsidR="007C3FB4" w:rsidRDefault="007C3FB4" w:rsidP="00097E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E25" w:rsidRDefault="00097E25" w:rsidP="00097E25">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97E25" w:rsidRDefault="00097E25">
    <w:pPr>
      <w:pStyle w:val="Cabealh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E25" w:rsidRPr="003A271C" w:rsidRDefault="00097E25" w:rsidP="00097E25">
    <w:pPr>
      <w:ind w:right="360"/>
      <w:rPr>
        <w:rFonts w:ascii="Arial Narrow" w:hAnsi="Arial Narrow"/>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9867C7"/>
    <w:multiLevelType w:val="hybridMultilevel"/>
    <w:tmpl w:val="06BE0FD8"/>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1">
    <w:nsid w:val="128B0750"/>
    <w:multiLevelType w:val="hybridMultilevel"/>
    <w:tmpl w:val="78A27A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2A0C5AC7"/>
    <w:multiLevelType w:val="hybridMultilevel"/>
    <w:tmpl w:val="73E4608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34EA"/>
    <w:rsid w:val="00097E25"/>
    <w:rsid w:val="0011014C"/>
    <w:rsid w:val="002C29E5"/>
    <w:rsid w:val="002E1285"/>
    <w:rsid w:val="00302D10"/>
    <w:rsid w:val="00334ADD"/>
    <w:rsid w:val="00431ED1"/>
    <w:rsid w:val="004D2DB2"/>
    <w:rsid w:val="00601C82"/>
    <w:rsid w:val="00764DB9"/>
    <w:rsid w:val="007C3FB4"/>
    <w:rsid w:val="00877854"/>
    <w:rsid w:val="009239C4"/>
    <w:rsid w:val="009878AA"/>
    <w:rsid w:val="00A0516B"/>
    <w:rsid w:val="00A33A8A"/>
    <w:rsid w:val="00A508A9"/>
    <w:rsid w:val="00AB5252"/>
    <w:rsid w:val="00B07AE2"/>
    <w:rsid w:val="00B209D7"/>
    <w:rsid w:val="00BB4246"/>
    <w:rsid w:val="00BC0983"/>
    <w:rsid w:val="00C453BA"/>
    <w:rsid w:val="00CA67AE"/>
    <w:rsid w:val="00DA2BCD"/>
    <w:rsid w:val="00E334EA"/>
    <w:rsid w:val="00E9111B"/>
    <w:rsid w:val="00F634A8"/>
    <w:rsid w:val="00F81E9A"/>
    <w:rsid w:val="00FA5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City"/>
  <w:smartTagType w:namespaceuri="urn:schemas-microsoft-com:office:smarttags" w:name="country-region"/>
  <w:smartTagType w:namespaceuri="urn:schemas-microsoft-com:office:smarttags" w:name="PersonName"/>
  <w:smartTagType w:namespaceuri="urn:schemas-microsoft-com:office:smarttags" w:name="plac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4EA"/>
    <w:pPr>
      <w:spacing w:after="0" w:line="240" w:lineRule="auto"/>
    </w:pPr>
    <w:rPr>
      <w:rFonts w:ascii="Times New Roman" w:eastAsia="Times New Roman" w:hAnsi="Times New Roman" w:cs="Times New Roman"/>
      <w:noProof/>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E334EA"/>
    <w:rPr>
      <w:rFonts w:ascii="Tahoma" w:hAnsi="Tahoma" w:cs="Tahoma"/>
      <w:sz w:val="16"/>
      <w:szCs w:val="16"/>
    </w:rPr>
  </w:style>
  <w:style w:type="character" w:customStyle="1" w:styleId="TextodebaloChar">
    <w:name w:val="Texto de balão Char"/>
    <w:basedOn w:val="Fontepargpadro"/>
    <w:link w:val="Textodebalo"/>
    <w:uiPriority w:val="99"/>
    <w:semiHidden/>
    <w:rsid w:val="00E334EA"/>
    <w:rPr>
      <w:rFonts w:ascii="Tahoma" w:eastAsia="Times New Roman" w:hAnsi="Tahoma" w:cs="Tahoma"/>
      <w:noProof/>
      <w:sz w:val="16"/>
      <w:szCs w:val="16"/>
      <w:lang w:eastAsia="pt-BR"/>
    </w:rPr>
  </w:style>
  <w:style w:type="paragraph" w:styleId="Rodap">
    <w:name w:val="footer"/>
    <w:basedOn w:val="Normal"/>
    <w:link w:val="RodapChar"/>
    <w:uiPriority w:val="99"/>
    <w:unhideWhenUsed/>
    <w:rsid w:val="00097E25"/>
    <w:pPr>
      <w:tabs>
        <w:tab w:val="center" w:pos="4252"/>
        <w:tab w:val="right" w:pos="8504"/>
      </w:tabs>
    </w:pPr>
  </w:style>
  <w:style w:type="character" w:customStyle="1" w:styleId="RodapChar">
    <w:name w:val="Rodapé Char"/>
    <w:basedOn w:val="Fontepargpadro"/>
    <w:link w:val="Rodap"/>
    <w:uiPriority w:val="99"/>
    <w:rsid w:val="00097E25"/>
    <w:rPr>
      <w:rFonts w:ascii="Times New Roman" w:eastAsia="Times New Roman" w:hAnsi="Times New Roman" w:cs="Times New Roman"/>
      <w:noProof/>
      <w:sz w:val="24"/>
      <w:szCs w:val="24"/>
      <w:lang w:eastAsia="pt-BR"/>
    </w:rPr>
  </w:style>
  <w:style w:type="character" w:styleId="Nmerodepgina">
    <w:name w:val="page number"/>
    <w:basedOn w:val="Fontepargpadro"/>
    <w:rsid w:val="00097E25"/>
  </w:style>
  <w:style w:type="paragraph" w:styleId="Cabealho">
    <w:name w:val="header"/>
    <w:basedOn w:val="Normal"/>
    <w:link w:val="CabealhoChar"/>
    <w:uiPriority w:val="99"/>
    <w:rsid w:val="00097E25"/>
    <w:pPr>
      <w:tabs>
        <w:tab w:val="center" w:pos="4252"/>
        <w:tab w:val="right" w:pos="8504"/>
      </w:tabs>
    </w:pPr>
  </w:style>
  <w:style w:type="character" w:customStyle="1" w:styleId="CabealhoChar">
    <w:name w:val="Cabeçalho Char"/>
    <w:basedOn w:val="Fontepargpadro"/>
    <w:link w:val="Cabealho"/>
    <w:uiPriority w:val="99"/>
    <w:rsid w:val="00097E25"/>
    <w:rPr>
      <w:rFonts w:ascii="Times New Roman" w:eastAsia="Times New Roman" w:hAnsi="Times New Roman" w:cs="Times New Roman"/>
      <w:noProof/>
      <w:sz w:val="24"/>
      <w:szCs w:val="24"/>
      <w:lang w:eastAsia="pt-BR"/>
    </w:rPr>
  </w:style>
  <w:style w:type="paragraph" w:styleId="Pr-formataoHTML">
    <w:name w:val="HTML Preformatted"/>
    <w:basedOn w:val="Normal"/>
    <w:link w:val="Pr-formataoHTMLChar"/>
    <w:uiPriority w:val="99"/>
    <w:semiHidden/>
    <w:unhideWhenUsed/>
    <w:rsid w:val="00302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sz w:val="20"/>
      <w:szCs w:val="20"/>
    </w:rPr>
  </w:style>
  <w:style w:type="character" w:customStyle="1" w:styleId="Pr-formataoHTMLChar">
    <w:name w:val="Pré-formatação HTML Char"/>
    <w:basedOn w:val="Fontepargpadro"/>
    <w:link w:val="Pr-formataoHTML"/>
    <w:uiPriority w:val="99"/>
    <w:semiHidden/>
    <w:rsid w:val="00302D10"/>
    <w:rPr>
      <w:rFonts w:ascii="Courier New" w:eastAsia="Times New Roman" w:hAnsi="Courier New" w:cs="Courier New"/>
      <w:sz w:val="20"/>
      <w:szCs w:val="20"/>
      <w:lang w:eastAsia="pt-BR"/>
    </w:rPr>
  </w:style>
  <w:style w:type="paragraph" w:styleId="PargrafodaLista">
    <w:name w:val="List Paragraph"/>
    <w:basedOn w:val="Normal"/>
    <w:uiPriority w:val="34"/>
    <w:qFormat/>
    <w:rsid w:val="00334AD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4EA"/>
    <w:pPr>
      <w:spacing w:after="0" w:line="240" w:lineRule="auto"/>
    </w:pPr>
    <w:rPr>
      <w:rFonts w:ascii="Times New Roman" w:eastAsia="Times New Roman" w:hAnsi="Times New Roman" w:cs="Times New Roman"/>
      <w:noProof/>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E334EA"/>
    <w:rPr>
      <w:rFonts w:ascii="Tahoma" w:hAnsi="Tahoma" w:cs="Tahoma"/>
      <w:sz w:val="16"/>
      <w:szCs w:val="16"/>
    </w:rPr>
  </w:style>
  <w:style w:type="character" w:customStyle="1" w:styleId="TextodebaloChar">
    <w:name w:val="Texto de balão Char"/>
    <w:basedOn w:val="Fontepargpadro"/>
    <w:link w:val="Textodebalo"/>
    <w:uiPriority w:val="99"/>
    <w:semiHidden/>
    <w:rsid w:val="00E334EA"/>
    <w:rPr>
      <w:rFonts w:ascii="Tahoma" w:eastAsia="Times New Roman" w:hAnsi="Tahoma" w:cs="Tahoma"/>
      <w:noProof/>
      <w:sz w:val="16"/>
      <w:szCs w:val="16"/>
      <w:lang w:eastAsia="pt-BR"/>
    </w:rPr>
  </w:style>
  <w:style w:type="paragraph" w:styleId="Rodap">
    <w:name w:val="footer"/>
    <w:basedOn w:val="Normal"/>
    <w:link w:val="RodapChar"/>
    <w:uiPriority w:val="99"/>
    <w:unhideWhenUsed/>
    <w:rsid w:val="00097E25"/>
    <w:pPr>
      <w:tabs>
        <w:tab w:val="center" w:pos="4252"/>
        <w:tab w:val="right" w:pos="8504"/>
      </w:tabs>
    </w:pPr>
  </w:style>
  <w:style w:type="character" w:customStyle="1" w:styleId="RodapChar">
    <w:name w:val="Rodapé Char"/>
    <w:basedOn w:val="Fontepargpadro"/>
    <w:link w:val="Rodap"/>
    <w:uiPriority w:val="99"/>
    <w:rsid w:val="00097E25"/>
    <w:rPr>
      <w:rFonts w:ascii="Times New Roman" w:eastAsia="Times New Roman" w:hAnsi="Times New Roman" w:cs="Times New Roman"/>
      <w:noProof/>
      <w:sz w:val="24"/>
      <w:szCs w:val="24"/>
      <w:lang w:eastAsia="pt-BR"/>
    </w:rPr>
  </w:style>
  <w:style w:type="character" w:styleId="Nmerodepgina">
    <w:name w:val="page number"/>
    <w:basedOn w:val="Fontepargpadro"/>
    <w:rsid w:val="00097E25"/>
  </w:style>
  <w:style w:type="paragraph" w:styleId="Cabealho">
    <w:name w:val="header"/>
    <w:basedOn w:val="Normal"/>
    <w:link w:val="CabealhoChar"/>
    <w:uiPriority w:val="99"/>
    <w:rsid w:val="00097E25"/>
    <w:pPr>
      <w:tabs>
        <w:tab w:val="center" w:pos="4252"/>
        <w:tab w:val="right" w:pos="8504"/>
      </w:tabs>
    </w:pPr>
  </w:style>
  <w:style w:type="character" w:customStyle="1" w:styleId="CabealhoChar">
    <w:name w:val="Cabeçalho Char"/>
    <w:basedOn w:val="Fontepargpadro"/>
    <w:link w:val="Cabealho"/>
    <w:uiPriority w:val="99"/>
    <w:rsid w:val="00097E25"/>
    <w:rPr>
      <w:rFonts w:ascii="Times New Roman" w:eastAsia="Times New Roman" w:hAnsi="Times New Roman" w:cs="Times New Roman"/>
      <w:noProof/>
      <w:sz w:val="24"/>
      <w:szCs w:val="24"/>
      <w:lang w:eastAsia="pt-BR"/>
    </w:rPr>
  </w:style>
  <w:style w:type="paragraph" w:styleId="Pr-formataoHTML">
    <w:name w:val="HTML Preformatted"/>
    <w:basedOn w:val="Normal"/>
    <w:link w:val="Pr-formataoHTMLChar"/>
    <w:uiPriority w:val="99"/>
    <w:semiHidden/>
    <w:unhideWhenUsed/>
    <w:rsid w:val="00302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sz w:val="20"/>
      <w:szCs w:val="20"/>
    </w:rPr>
  </w:style>
  <w:style w:type="character" w:customStyle="1" w:styleId="Pr-formataoHTMLChar">
    <w:name w:val="Pré-formatação HTML Char"/>
    <w:basedOn w:val="Fontepargpadro"/>
    <w:link w:val="Pr-formataoHTML"/>
    <w:uiPriority w:val="99"/>
    <w:semiHidden/>
    <w:rsid w:val="00302D10"/>
    <w:rPr>
      <w:rFonts w:ascii="Courier New" w:eastAsia="Times New Roman" w:hAnsi="Courier New" w:cs="Courier New"/>
      <w:sz w:val="20"/>
      <w:szCs w:val="20"/>
      <w:lang w:eastAsia="pt-BR"/>
    </w:rPr>
  </w:style>
  <w:style w:type="paragraph" w:styleId="PargrafodaLista">
    <w:name w:val="List Paragraph"/>
    <w:basedOn w:val="Normal"/>
    <w:uiPriority w:val="34"/>
    <w:qFormat/>
    <w:rsid w:val="00334A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8634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http://www.localb100.com/cbt/bubblewashingbiodiese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19</Pages>
  <Words>6115</Words>
  <Characters>33022</Characters>
  <Application>Microsoft Office Word</Application>
  <DocSecurity>0</DocSecurity>
  <Lines>275</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21</cp:revision>
  <dcterms:created xsi:type="dcterms:W3CDTF">2016-07-08T20:38:00Z</dcterms:created>
  <dcterms:modified xsi:type="dcterms:W3CDTF">2016-07-19T16:03:00Z</dcterms:modified>
</cp:coreProperties>
</file>