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4C" w:rsidRPr="00934245" w:rsidRDefault="00AB373E" w:rsidP="00C44A4C">
      <w:pPr>
        <w:ind w:right="7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ANÁLISE </w:t>
      </w:r>
      <w:r w:rsidR="009D6428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A353F3">
        <w:rPr>
          <w:rFonts w:ascii="Times New Roman" w:hAnsi="Times New Roman" w:cs="Times New Roman"/>
          <w:b/>
          <w:sz w:val="28"/>
          <w:szCs w:val="28"/>
        </w:rPr>
        <w:t>ESTUPRO DE VULNERÁVEL</w:t>
      </w:r>
      <w:r w:rsidR="00C44A4C" w:rsidRPr="00934245">
        <w:rPr>
          <w:rStyle w:val="FootnoteReference"/>
          <w:rFonts w:ascii="Times New Roman" w:eastAsia="Calibri" w:hAnsi="Times New Roman" w:cs="Times New Roman"/>
          <w:smallCaps/>
          <w:sz w:val="28"/>
          <w:szCs w:val="28"/>
        </w:rPr>
        <w:footnoteReference w:id="1"/>
      </w:r>
    </w:p>
    <w:p w:rsidR="00C44A4C" w:rsidRPr="00934245" w:rsidRDefault="00C44A4C" w:rsidP="00C44A4C">
      <w:pPr>
        <w:pStyle w:val="Default"/>
        <w:ind w:right="762"/>
        <w:jc w:val="right"/>
        <w:rPr>
          <w:rFonts w:ascii="Times New Roman" w:hAnsi="Times New Roman" w:cs="Times New Roman"/>
          <w:i/>
        </w:rPr>
      </w:pPr>
      <w:proofErr w:type="spellStart"/>
      <w:r w:rsidRPr="00934245">
        <w:rPr>
          <w:rFonts w:ascii="Times New Roman" w:hAnsi="Times New Roman" w:cs="Times New Roman"/>
          <w:i/>
        </w:rPr>
        <w:t>Tirciane</w:t>
      </w:r>
      <w:proofErr w:type="spellEnd"/>
      <w:r w:rsidRPr="00934245">
        <w:rPr>
          <w:rFonts w:ascii="Times New Roman" w:hAnsi="Times New Roman" w:cs="Times New Roman"/>
          <w:i/>
        </w:rPr>
        <w:t xml:space="preserve"> </w:t>
      </w:r>
      <w:proofErr w:type="spellStart"/>
      <w:r w:rsidRPr="00934245">
        <w:rPr>
          <w:rFonts w:ascii="Times New Roman" w:hAnsi="Times New Roman" w:cs="Times New Roman"/>
          <w:i/>
        </w:rPr>
        <w:t>Chuvas</w:t>
      </w:r>
      <w:proofErr w:type="spellEnd"/>
      <w:r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2"/>
      </w:r>
    </w:p>
    <w:p w:rsidR="00C44A4C" w:rsidRPr="00934245" w:rsidRDefault="00C44A4C" w:rsidP="00C44A4C">
      <w:pPr>
        <w:pStyle w:val="Default"/>
        <w:ind w:right="762"/>
        <w:jc w:val="right"/>
        <w:rPr>
          <w:rFonts w:ascii="Times New Roman" w:hAnsi="Times New Roman" w:cs="Times New Roman"/>
          <w:sz w:val="22"/>
          <w:szCs w:val="22"/>
        </w:rPr>
      </w:pPr>
    </w:p>
    <w:p w:rsidR="00C44A4C" w:rsidRPr="00934245" w:rsidRDefault="00C44A4C" w:rsidP="00C44A4C">
      <w:pPr>
        <w:pStyle w:val="Default"/>
        <w:ind w:right="762"/>
        <w:rPr>
          <w:rFonts w:ascii="Times New Roman" w:hAnsi="Times New Roman" w:cs="Times New Roman"/>
          <w:b/>
          <w:bCs/>
        </w:rPr>
      </w:pPr>
    </w:p>
    <w:p w:rsidR="00103D3E" w:rsidRDefault="00103D3E" w:rsidP="00103D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 levanta discussões sobre o estupro de vulnerável, a partir do caso hipotético que segue: a</w:t>
      </w:r>
      <w:r w:rsidR="009D6428">
        <w:rPr>
          <w:rFonts w:ascii="Times New Roman" w:hAnsi="Times New Roman" w:cs="Times New Roman"/>
          <w:sz w:val="24"/>
          <w:szCs w:val="24"/>
        </w:rPr>
        <w:t xml:space="preserve"> imprensa maranhense noticiou o caso de</w:t>
      </w:r>
      <w:r w:rsidR="0004066F" w:rsidRPr="0004066F">
        <w:rPr>
          <w:rFonts w:ascii="Times New Roman" w:hAnsi="Times New Roman" w:cs="Times New Roman"/>
          <w:sz w:val="24"/>
          <w:szCs w:val="24"/>
        </w:rPr>
        <w:t xml:space="preserve"> Guto Magalhães, empresário, 35 anos, </w:t>
      </w:r>
      <w:r w:rsidR="009D6428">
        <w:rPr>
          <w:rFonts w:ascii="Times New Roman" w:hAnsi="Times New Roman" w:cs="Times New Roman"/>
          <w:sz w:val="24"/>
          <w:szCs w:val="24"/>
        </w:rPr>
        <w:t xml:space="preserve">que </w:t>
      </w:r>
      <w:r w:rsidR="0004066F" w:rsidRPr="0004066F">
        <w:rPr>
          <w:rFonts w:ascii="Times New Roman" w:hAnsi="Times New Roman" w:cs="Times New Roman"/>
          <w:sz w:val="24"/>
          <w:szCs w:val="24"/>
        </w:rPr>
        <w:t xml:space="preserve">foi condenado à </w:t>
      </w:r>
      <w:r w:rsidR="009D6428">
        <w:rPr>
          <w:rFonts w:ascii="Times New Roman" w:hAnsi="Times New Roman" w:cs="Times New Roman"/>
          <w:sz w:val="24"/>
          <w:szCs w:val="24"/>
        </w:rPr>
        <w:t xml:space="preserve">10 anos de reclusão, </w:t>
      </w:r>
      <w:r w:rsidR="0004066F" w:rsidRPr="0004066F">
        <w:rPr>
          <w:rFonts w:ascii="Times New Roman" w:hAnsi="Times New Roman" w:cs="Times New Roman"/>
          <w:sz w:val="24"/>
          <w:szCs w:val="24"/>
        </w:rPr>
        <w:t xml:space="preserve">pena máxima cominada ao crime inserto no artigo 213 do Código Penal </w:t>
      </w:r>
      <w:r w:rsidR="009D6428">
        <w:rPr>
          <w:rFonts w:ascii="Times New Roman" w:hAnsi="Times New Roman" w:cs="Times New Roman"/>
          <w:sz w:val="24"/>
          <w:szCs w:val="24"/>
        </w:rPr>
        <w:t>(CP)</w:t>
      </w:r>
      <w:r w:rsidR="0004066F" w:rsidRPr="0004066F">
        <w:rPr>
          <w:rFonts w:ascii="Times New Roman" w:hAnsi="Times New Roman" w:cs="Times New Roman"/>
          <w:sz w:val="24"/>
          <w:szCs w:val="24"/>
        </w:rPr>
        <w:t>, por ter mediante violência, obrigado sua namorada de 22 anos a manter com e</w:t>
      </w:r>
      <w:r w:rsidR="009D6428">
        <w:rPr>
          <w:rFonts w:ascii="Times New Roman" w:hAnsi="Times New Roman" w:cs="Times New Roman"/>
          <w:sz w:val="24"/>
          <w:szCs w:val="24"/>
        </w:rPr>
        <w:t>le conjunção carnal após conduzi</w:t>
      </w:r>
      <w:r w:rsidR="0004066F" w:rsidRPr="0004066F">
        <w:rPr>
          <w:rFonts w:ascii="Times New Roman" w:hAnsi="Times New Roman" w:cs="Times New Roman"/>
          <w:sz w:val="24"/>
          <w:szCs w:val="24"/>
        </w:rPr>
        <w:t xml:space="preserve">-la a uma praia deserta. </w:t>
      </w:r>
      <w:r w:rsidR="009D6428">
        <w:rPr>
          <w:rFonts w:ascii="Times New Roman" w:hAnsi="Times New Roman" w:cs="Times New Roman"/>
          <w:sz w:val="24"/>
          <w:szCs w:val="24"/>
        </w:rPr>
        <w:t>Outra notícia dava conta do caso de</w:t>
      </w:r>
      <w:r w:rsidR="0004066F" w:rsidRPr="0004066F">
        <w:rPr>
          <w:rFonts w:ascii="Times New Roman" w:hAnsi="Times New Roman" w:cs="Times New Roman"/>
          <w:sz w:val="24"/>
          <w:szCs w:val="24"/>
        </w:rPr>
        <w:t xml:space="preserve"> Dino Costa, servidor público federal, 19 anos</w:t>
      </w:r>
      <w:r w:rsidR="009D6428">
        <w:rPr>
          <w:rFonts w:ascii="Times New Roman" w:hAnsi="Times New Roman" w:cs="Times New Roman"/>
          <w:sz w:val="24"/>
          <w:szCs w:val="24"/>
        </w:rPr>
        <w:t>,</w:t>
      </w:r>
      <w:r w:rsidR="0004066F" w:rsidRPr="0004066F">
        <w:rPr>
          <w:rFonts w:ascii="Times New Roman" w:hAnsi="Times New Roman" w:cs="Times New Roman"/>
          <w:sz w:val="24"/>
          <w:szCs w:val="24"/>
        </w:rPr>
        <w:t xml:space="preserve"> que manteve relações sexuais consentidas com sua namorada de 13 anos, </w:t>
      </w:r>
      <w:r w:rsidR="009D6428">
        <w:rPr>
          <w:rFonts w:ascii="Times New Roman" w:hAnsi="Times New Roman" w:cs="Times New Roman"/>
          <w:sz w:val="24"/>
          <w:szCs w:val="24"/>
        </w:rPr>
        <w:t xml:space="preserve">mas nesse caso, </w:t>
      </w:r>
      <w:r w:rsidR="0004066F" w:rsidRPr="0004066F">
        <w:rPr>
          <w:rFonts w:ascii="Times New Roman" w:hAnsi="Times New Roman" w:cs="Times New Roman"/>
          <w:sz w:val="24"/>
          <w:szCs w:val="24"/>
        </w:rPr>
        <w:t xml:space="preserve">foi condenado </w:t>
      </w:r>
      <w:r w:rsidR="009D6428">
        <w:rPr>
          <w:rFonts w:ascii="Times New Roman" w:hAnsi="Times New Roman" w:cs="Times New Roman"/>
          <w:sz w:val="24"/>
          <w:szCs w:val="24"/>
        </w:rPr>
        <w:t xml:space="preserve">à 15 anos de reclusão, </w:t>
      </w:r>
      <w:r w:rsidR="0004066F" w:rsidRPr="0004066F">
        <w:rPr>
          <w:rFonts w:ascii="Times New Roman" w:hAnsi="Times New Roman" w:cs="Times New Roman"/>
          <w:sz w:val="24"/>
          <w:szCs w:val="24"/>
        </w:rPr>
        <w:t xml:space="preserve">também pena máxima prevista para o crime </w:t>
      </w:r>
      <w:r w:rsidR="009D6428">
        <w:rPr>
          <w:rFonts w:ascii="Times New Roman" w:hAnsi="Times New Roman" w:cs="Times New Roman"/>
          <w:sz w:val="24"/>
          <w:szCs w:val="24"/>
        </w:rPr>
        <w:t>217 do CP</w:t>
      </w:r>
      <w:r w:rsidR="0004066F" w:rsidRPr="0004066F">
        <w:rPr>
          <w:rFonts w:ascii="Times New Roman" w:hAnsi="Times New Roman" w:cs="Times New Roman"/>
          <w:sz w:val="24"/>
          <w:szCs w:val="24"/>
        </w:rPr>
        <w:t>.</w:t>
      </w:r>
      <w:r w:rsidR="009D6428">
        <w:rPr>
          <w:rFonts w:ascii="Times New Roman" w:hAnsi="Times New Roman" w:cs="Times New Roman"/>
          <w:sz w:val="24"/>
          <w:szCs w:val="24"/>
        </w:rPr>
        <w:t xml:space="preserve"> </w:t>
      </w:r>
      <w:r w:rsidR="00B80406">
        <w:rPr>
          <w:rFonts w:ascii="Times New Roman" w:hAnsi="Times New Roman" w:cs="Times New Roman"/>
          <w:sz w:val="24"/>
          <w:szCs w:val="24"/>
        </w:rPr>
        <w:t xml:space="preserve">As duas situações semelhantes impõem divergências pelos diferentes resultados alcançados. </w:t>
      </w:r>
      <w:r w:rsidR="009D6428">
        <w:rPr>
          <w:rFonts w:ascii="Times New Roman" w:hAnsi="Times New Roman" w:cs="Times New Roman"/>
          <w:sz w:val="24"/>
          <w:szCs w:val="24"/>
        </w:rPr>
        <w:t>Os personagens principais são Guto Magalhães</w:t>
      </w:r>
      <w:r w:rsidR="002D0797">
        <w:rPr>
          <w:rFonts w:ascii="Times New Roman" w:hAnsi="Times New Roman" w:cs="Times New Roman"/>
          <w:sz w:val="24"/>
          <w:szCs w:val="24"/>
        </w:rPr>
        <w:t>,</w:t>
      </w:r>
      <w:r w:rsidR="009D6428">
        <w:rPr>
          <w:rFonts w:ascii="Times New Roman" w:hAnsi="Times New Roman" w:cs="Times New Roman"/>
          <w:sz w:val="24"/>
          <w:szCs w:val="24"/>
        </w:rPr>
        <w:t xml:space="preserve"> Dino Costa</w:t>
      </w:r>
      <w:r w:rsidR="002D0797">
        <w:rPr>
          <w:rFonts w:ascii="Times New Roman" w:hAnsi="Times New Roman" w:cs="Times New Roman"/>
          <w:sz w:val="24"/>
          <w:szCs w:val="24"/>
        </w:rPr>
        <w:t xml:space="preserve"> e sua</w:t>
      </w:r>
      <w:r w:rsidR="009D6428">
        <w:rPr>
          <w:rFonts w:ascii="Times New Roman" w:hAnsi="Times New Roman" w:cs="Times New Roman"/>
          <w:sz w:val="24"/>
          <w:szCs w:val="24"/>
        </w:rPr>
        <w:t xml:space="preserve"> </w:t>
      </w:r>
      <w:r w:rsidR="002D0797">
        <w:rPr>
          <w:rFonts w:ascii="Times New Roman" w:hAnsi="Times New Roman" w:cs="Times New Roman"/>
          <w:sz w:val="24"/>
          <w:szCs w:val="24"/>
        </w:rPr>
        <w:t>namorada</w:t>
      </w:r>
      <w:r w:rsidR="009D6428">
        <w:rPr>
          <w:rFonts w:ascii="Times New Roman" w:hAnsi="Times New Roman" w:cs="Times New Roman"/>
          <w:sz w:val="24"/>
          <w:szCs w:val="24"/>
        </w:rPr>
        <w:t>.</w:t>
      </w:r>
    </w:p>
    <w:p w:rsidR="00C61C5C" w:rsidRPr="00103D3E" w:rsidRDefault="00103D3E" w:rsidP="00103D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discussão que relativiza a </w:t>
      </w:r>
      <w:r w:rsidR="00502094" w:rsidRPr="00103D3E">
        <w:rPr>
          <w:rFonts w:ascii="Times New Roman" w:hAnsi="Times New Roman" w:cs="Times New Roman"/>
          <w:sz w:val="24"/>
          <w:szCs w:val="24"/>
        </w:rPr>
        <w:t xml:space="preserve">vulnerabilidade </w:t>
      </w:r>
      <w:r>
        <w:rPr>
          <w:rFonts w:ascii="Times New Roman" w:hAnsi="Times New Roman" w:cs="Times New Roman"/>
          <w:sz w:val="24"/>
          <w:szCs w:val="24"/>
        </w:rPr>
        <w:t xml:space="preserve">, tem-se que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</w:t>
      </w:r>
      <w:proofErr w:type="spellEnd"/>
      <w:r w:rsidR="00675510" w:rsidRPr="00103D3E">
        <w:rPr>
          <w:rFonts w:ascii="Times New Roman" w:hAnsi="Times New Roman" w:cs="Times New Roman"/>
          <w:iCs/>
          <w:sz w:val="24"/>
          <w:szCs w:val="24"/>
        </w:rPr>
        <w:t xml:space="preserve"> lei 12.015/2009 acrescento</w:t>
      </w:r>
      <w:r w:rsidR="00675510">
        <w:rPr>
          <w:rFonts w:ascii="Times New Roman" w:hAnsi="Times New Roman" w:cs="Times New Roman"/>
          <w:iCs/>
          <w:sz w:val="24"/>
          <w:szCs w:val="24"/>
        </w:rPr>
        <w:t>u</w:t>
      </w:r>
      <w:r w:rsidR="00675510" w:rsidRPr="00675510">
        <w:rPr>
          <w:rFonts w:ascii="Times New Roman" w:hAnsi="Times New Roman" w:cs="Times New Roman"/>
          <w:iCs/>
          <w:sz w:val="24"/>
          <w:szCs w:val="24"/>
        </w:rPr>
        <w:t xml:space="preserve"> ao </w:t>
      </w:r>
      <w:r w:rsidR="00745049">
        <w:rPr>
          <w:rFonts w:ascii="Times New Roman" w:hAnsi="Times New Roman" w:cs="Times New Roman"/>
          <w:iCs/>
          <w:sz w:val="24"/>
          <w:szCs w:val="24"/>
        </w:rPr>
        <w:t>CP</w:t>
      </w:r>
      <w:r w:rsidR="00675510" w:rsidRPr="00675510">
        <w:rPr>
          <w:rFonts w:ascii="Times New Roman" w:hAnsi="Times New Roman" w:cs="Times New Roman"/>
          <w:iCs/>
          <w:sz w:val="24"/>
          <w:szCs w:val="24"/>
        </w:rPr>
        <w:t xml:space="preserve"> o art. 217-A, contendo o estupro de vulnerável: </w:t>
      </w:r>
      <w:r w:rsidR="00675510">
        <w:rPr>
          <w:rFonts w:ascii="Times New Roman" w:hAnsi="Times New Roman" w:cs="Times New Roman"/>
          <w:iCs/>
          <w:sz w:val="24"/>
          <w:szCs w:val="24"/>
        </w:rPr>
        <w:t>“</w:t>
      </w:r>
      <w:r w:rsidR="00745049">
        <w:rPr>
          <w:rFonts w:ascii="Times New Roman" w:hAnsi="Times New Roman" w:cs="Times New Roman"/>
          <w:iCs/>
          <w:sz w:val="24"/>
          <w:szCs w:val="24"/>
        </w:rPr>
        <w:t>t</w:t>
      </w:r>
      <w:r w:rsidR="00675510" w:rsidRPr="00675510">
        <w:rPr>
          <w:rFonts w:ascii="Times New Roman" w:hAnsi="Times New Roman" w:cs="Times New Roman"/>
          <w:iCs/>
          <w:sz w:val="24"/>
          <w:szCs w:val="24"/>
        </w:rPr>
        <w:t>er conjunção carnal ou praticar outro ato libidinoso</w:t>
      </w:r>
      <w:r w:rsidR="00675510">
        <w:rPr>
          <w:rFonts w:ascii="Times New Roman" w:hAnsi="Times New Roman" w:cs="Times New Roman"/>
          <w:iCs/>
          <w:sz w:val="24"/>
          <w:szCs w:val="24"/>
        </w:rPr>
        <w:t xml:space="preserve"> com menor de 14 (catorze) anos</w:t>
      </w:r>
      <w:r w:rsidR="00675510" w:rsidRPr="00675510">
        <w:rPr>
          <w:rFonts w:ascii="Times New Roman" w:hAnsi="Times New Roman" w:cs="Times New Roman"/>
          <w:iCs/>
          <w:sz w:val="24"/>
          <w:szCs w:val="24"/>
        </w:rPr>
        <w:t>. A pena cominada é reclusão, de 8 (oito) a 15 (quinze) anos</w:t>
      </w:r>
      <w:r w:rsidR="00675510">
        <w:rPr>
          <w:rFonts w:ascii="Times New Roman" w:hAnsi="Times New Roman" w:cs="Times New Roman"/>
          <w:iCs/>
          <w:sz w:val="24"/>
          <w:szCs w:val="24"/>
        </w:rPr>
        <w:t>”</w:t>
      </w:r>
      <w:r w:rsidR="009941C6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3"/>
      </w:r>
      <w:r w:rsidR="001B6FB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75510" w:rsidRPr="00675510">
        <w:rPr>
          <w:rFonts w:ascii="Times New Roman" w:hAnsi="Times New Roman" w:cs="Times New Roman"/>
          <w:iCs/>
          <w:sz w:val="24"/>
          <w:szCs w:val="24"/>
        </w:rPr>
        <w:t>A nova lei baniu do ordenamento a presunção da violência contida no revogado art. 224 do C</w:t>
      </w:r>
      <w:r w:rsidR="00675510">
        <w:rPr>
          <w:rFonts w:ascii="Times New Roman" w:hAnsi="Times New Roman" w:cs="Times New Roman"/>
          <w:iCs/>
          <w:sz w:val="24"/>
          <w:szCs w:val="24"/>
        </w:rPr>
        <w:t>P. Assim, o</w:t>
      </w:r>
      <w:r w:rsidR="00675510" w:rsidRPr="00675510">
        <w:rPr>
          <w:rFonts w:ascii="Times New Roman" w:hAnsi="Times New Roman" w:cs="Times New Roman"/>
          <w:iCs/>
          <w:sz w:val="24"/>
          <w:szCs w:val="24"/>
        </w:rPr>
        <w:t xml:space="preserve"> estupro de vulnerável não é espécie do crime de estupro, definido no art. 213</w:t>
      </w:r>
      <w:r w:rsidR="00675510">
        <w:rPr>
          <w:rFonts w:ascii="Times New Roman" w:hAnsi="Times New Roman" w:cs="Times New Roman"/>
          <w:iCs/>
          <w:sz w:val="24"/>
          <w:szCs w:val="24"/>
        </w:rPr>
        <w:t>, CP</w:t>
      </w:r>
      <w:r w:rsidR="00675510" w:rsidRPr="0067551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B6FBF">
        <w:rPr>
          <w:rFonts w:ascii="Times New Roman" w:hAnsi="Times New Roman" w:cs="Times New Roman"/>
          <w:iCs/>
          <w:sz w:val="24"/>
          <w:szCs w:val="24"/>
        </w:rPr>
        <w:t xml:space="preserve">e sua </w:t>
      </w:r>
      <w:r w:rsidR="00675510" w:rsidRPr="00675510">
        <w:rPr>
          <w:rFonts w:ascii="Times New Roman" w:hAnsi="Times New Roman" w:cs="Times New Roman"/>
          <w:iCs/>
          <w:sz w:val="24"/>
          <w:szCs w:val="24"/>
        </w:rPr>
        <w:t>estrutura típica</w:t>
      </w:r>
      <w:r w:rsidR="001B6FB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75510" w:rsidRPr="00675510">
        <w:rPr>
          <w:rFonts w:ascii="Times New Roman" w:hAnsi="Times New Roman" w:cs="Times New Roman"/>
          <w:iCs/>
          <w:sz w:val="24"/>
          <w:szCs w:val="24"/>
        </w:rPr>
        <w:t>é diferente. N</w:t>
      </w:r>
      <w:r w:rsidR="00C61C5C">
        <w:rPr>
          <w:rFonts w:ascii="Times New Roman" w:hAnsi="Times New Roman" w:cs="Times New Roman"/>
          <w:iCs/>
          <w:sz w:val="24"/>
          <w:szCs w:val="24"/>
        </w:rPr>
        <w:t>o de estupro</w:t>
      </w:r>
      <w:r w:rsidR="00745049">
        <w:rPr>
          <w:rFonts w:ascii="Times New Roman" w:hAnsi="Times New Roman" w:cs="Times New Roman"/>
          <w:iCs/>
          <w:sz w:val="24"/>
          <w:szCs w:val="24"/>
        </w:rPr>
        <w:t>,</w:t>
      </w:r>
      <w:r w:rsidR="00C61C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75510" w:rsidRPr="00675510">
        <w:rPr>
          <w:rFonts w:ascii="Times New Roman" w:hAnsi="Times New Roman" w:cs="Times New Roman"/>
          <w:iCs/>
          <w:sz w:val="24"/>
          <w:szCs w:val="24"/>
        </w:rPr>
        <w:t xml:space="preserve">exige-se constrangimento, </w:t>
      </w:r>
      <w:r w:rsidR="00C61C5C">
        <w:rPr>
          <w:rFonts w:ascii="Times New Roman" w:hAnsi="Times New Roman" w:cs="Times New Roman"/>
          <w:iCs/>
          <w:sz w:val="24"/>
          <w:szCs w:val="24"/>
        </w:rPr>
        <w:t xml:space="preserve">enquanto no outro </w:t>
      </w:r>
      <w:r w:rsidR="00675510" w:rsidRPr="00675510">
        <w:rPr>
          <w:rFonts w:ascii="Times New Roman" w:hAnsi="Times New Roman" w:cs="Times New Roman"/>
          <w:iCs/>
          <w:sz w:val="24"/>
          <w:szCs w:val="24"/>
        </w:rPr>
        <w:t xml:space="preserve">não. </w:t>
      </w:r>
      <w:r w:rsidR="005946A4">
        <w:rPr>
          <w:rFonts w:ascii="Times New Roman" w:hAnsi="Times New Roman" w:cs="Times New Roman"/>
          <w:iCs/>
          <w:sz w:val="24"/>
          <w:szCs w:val="24"/>
        </w:rPr>
        <w:t>N</w:t>
      </w:r>
      <w:r w:rsidR="00745049">
        <w:rPr>
          <w:rFonts w:ascii="Times New Roman" w:hAnsi="Times New Roman" w:cs="Times New Roman"/>
          <w:iCs/>
          <w:sz w:val="24"/>
          <w:szCs w:val="24"/>
        </w:rPr>
        <w:t xml:space="preserve">o art. 213, o </w:t>
      </w:r>
      <w:r w:rsidR="00675510" w:rsidRPr="00675510">
        <w:rPr>
          <w:rFonts w:ascii="Times New Roman" w:hAnsi="Times New Roman" w:cs="Times New Roman"/>
          <w:iCs/>
          <w:sz w:val="24"/>
          <w:szCs w:val="24"/>
        </w:rPr>
        <w:t xml:space="preserve">bem jurídico protegido é </w:t>
      </w:r>
      <w:r w:rsidR="00745049">
        <w:rPr>
          <w:rFonts w:ascii="Times New Roman" w:hAnsi="Times New Roman" w:cs="Times New Roman"/>
          <w:iCs/>
          <w:sz w:val="24"/>
          <w:szCs w:val="24"/>
        </w:rPr>
        <w:t>libe</w:t>
      </w:r>
      <w:r w:rsidR="001B6FBF">
        <w:rPr>
          <w:rFonts w:ascii="Times New Roman" w:hAnsi="Times New Roman" w:cs="Times New Roman"/>
          <w:iCs/>
          <w:sz w:val="24"/>
          <w:szCs w:val="24"/>
        </w:rPr>
        <w:t xml:space="preserve">rdade sexual, </w:t>
      </w:r>
      <w:r w:rsidR="005946A4">
        <w:rPr>
          <w:rFonts w:ascii="Times New Roman" w:hAnsi="Times New Roman" w:cs="Times New Roman"/>
          <w:iCs/>
          <w:sz w:val="24"/>
          <w:szCs w:val="24"/>
        </w:rPr>
        <w:t xml:space="preserve">e </w:t>
      </w:r>
      <w:r w:rsidR="001B6FBF">
        <w:rPr>
          <w:rFonts w:ascii="Times New Roman" w:hAnsi="Times New Roman" w:cs="Times New Roman"/>
          <w:iCs/>
          <w:sz w:val="24"/>
          <w:szCs w:val="24"/>
        </w:rPr>
        <w:t>no art. 217</w:t>
      </w:r>
      <w:r w:rsidR="00745049">
        <w:rPr>
          <w:rFonts w:ascii="Times New Roman" w:hAnsi="Times New Roman" w:cs="Times New Roman"/>
          <w:iCs/>
          <w:sz w:val="24"/>
          <w:szCs w:val="24"/>
        </w:rPr>
        <w:t xml:space="preserve"> é </w:t>
      </w:r>
      <w:r w:rsidR="00675510" w:rsidRPr="00675510">
        <w:rPr>
          <w:rFonts w:ascii="Times New Roman" w:hAnsi="Times New Roman" w:cs="Times New Roman"/>
          <w:iCs/>
          <w:sz w:val="24"/>
          <w:szCs w:val="24"/>
        </w:rPr>
        <w:t>a própria vítima da ação</w:t>
      </w:r>
      <w:r w:rsidR="007C778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B6FBF">
        <w:rPr>
          <w:rFonts w:ascii="Times New Roman" w:hAnsi="Times New Roman" w:cs="Times New Roman"/>
          <w:iCs/>
          <w:sz w:val="24"/>
          <w:szCs w:val="24"/>
        </w:rPr>
        <w:t>chamada</w:t>
      </w:r>
      <w:r w:rsidR="00675510" w:rsidRPr="00675510">
        <w:rPr>
          <w:rFonts w:ascii="Times New Roman" w:hAnsi="Times New Roman" w:cs="Times New Roman"/>
          <w:iCs/>
          <w:sz w:val="24"/>
          <w:szCs w:val="24"/>
        </w:rPr>
        <w:t xml:space="preserve"> de vulnerável.</w:t>
      </w:r>
      <w:r w:rsidR="00C61C5C">
        <w:rPr>
          <w:rFonts w:ascii="Times New Roman" w:hAnsi="Times New Roman" w:cs="Times New Roman"/>
          <w:iCs/>
          <w:sz w:val="24"/>
          <w:szCs w:val="24"/>
        </w:rPr>
        <w:t xml:space="preserve"> Não se pode falar em proteção à liberdade sexual, pois não há plena disponibilidade</w:t>
      </w:r>
      <w:r w:rsidR="001B6FBF">
        <w:rPr>
          <w:rFonts w:ascii="Times New Roman" w:hAnsi="Times New Roman" w:cs="Times New Roman"/>
          <w:iCs/>
          <w:sz w:val="24"/>
          <w:szCs w:val="24"/>
        </w:rPr>
        <w:t xml:space="preserve"> desta </w:t>
      </w:r>
      <w:r w:rsidR="00C61C5C">
        <w:rPr>
          <w:rFonts w:ascii="Times New Roman" w:hAnsi="Times New Roman" w:cs="Times New Roman"/>
          <w:iCs/>
          <w:sz w:val="24"/>
          <w:szCs w:val="24"/>
        </w:rPr>
        <w:t>liberdade. O que se procura proteger é a “evolução e o desenvolvimento normal da personalidade do menor”</w:t>
      </w:r>
      <w:r w:rsidR="009941C6" w:rsidRPr="009941C6">
        <w:rPr>
          <w:rStyle w:val="FootnoteReference"/>
          <w:rFonts w:ascii="Times New Roman" w:eastAsia="Calibri" w:hAnsi="Times New Roman" w:cs="Times New Roman"/>
          <w:smallCaps/>
        </w:rPr>
        <w:t xml:space="preserve"> </w:t>
      </w:r>
      <w:r w:rsidR="009941C6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4"/>
      </w:r>
      <w:r w:rsidR="00C61C5C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9756EA" w:rsidRDefault="001B6FBF" w:rsidP="009756E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Cumpre</w:t>
      </w:r>
      <w:r w:rsidR="000E6FC0" w:rsidRPr="00675510">
        <w:rPr>
          <w:rFonts w:ascii="Times New Roman" w:hAnsi="Times New Roman" w:cs="Times New Roman"/>
          <w:iCs/>
          <w:sz w:val="24"/>
          <w:szCs w:val="24"/>
        </w:rPr>
        <w:t xml:space="preserve"> discutir </w:t>
      </w:r>
      <w:r>
        <w:rPr>
          <w:rFonts w:ascii="Times New Roman" w:hAnsi="Times New Roman" w:cs="Times New Roman"/>
          <w:iCs/>
          <w:sz w:val="24"/>
          <w:szCs w:val="24"/>
        </w:rPr>
        <w:t xml:space="preserve">agora </w:t>
      </w:r>
      <w:r w:rsidR="000E6FC0" w:rsidRPr="00675510">
        <w:rPr>
          <w:rFonts w:ascii="Times New Roman" w:hAnsi="Times New Roman" w:cs="Times New Roman"/>
          <w:iCs/>
          <w:sz w:val="24"/>
          <w:szCs w:val="24"/>
        </w:rPr>
        <w:t>a condição de vulnerável. No art. 218 – B nos deparamos com a adjetivação para outra faixa: menor de 18 anos. A dife</w:t>
      </w:r>
      <w:r>
        <w:rPr>
          <w:rFonts w:ascii="Times New Roman" w:hAnsi="Times New Roman" w:cs="Times New Roman"/>
          <w:iCs/>
          <w:sz w:val="24"/>
          <w:szCs w:val="24"/>
        </w:rPr>
        <w:t>re</w:t>
      </w:r>
      <w:r w:rsidR="000E6FC0" w:rsidRPr="00675510">
        <w:rPr>
          <w:rFonts w:ascii="Times New Roman" w:hAnsi="Times New Roman" w:cs="Times New Roman"/>
          <w:iCs/>
          <w:sz w:val="24"/>
          <w:szCs w:val="24"/>
        </w:rPr>
        <w:t>nça</w:t>
      </w:r>
      <w:r w:rsidR="000E6FC0">
        <w:rPr>
          <w:rFonts w:ascii="Times New Roman" w:hAnsi="Times New Roman" w:cs="Times New Roman"/>
          <w:sz w:val="24"/>
          <w:szCs w:val="24"/>
        </w:rPr>
        <w:t xml:space="preserve"> entre as duas faixas leva a c</w:t>
      </w:r>
      <w:r w:rsidR="009654B8">
        <w:rPr>
          <w:rFonts w:ascii="Times New Roman" w:hAnsi="Times New Roman" w:cs="Times New Roman"/>
          <w:sz w:val="24"/>
          <w:szCs w:val="24"/>
        </w:rPr>
        <w:t>rer</w:t>
      </w:r>
      <w:r w:rsidR="000E6FC0">
        <w:rPr>
          <w:rFonts w:ascii="Times New Roman" w:hAnsi="Times New Roman" w:cs="Times New Roman"/>
          <w:sz w:val="24"/>
          <w:szCs w:val="24"/>
        </w:rPr>
        <w:t xml:space="preserve"> que o legislador criou concepções distintas dessa</w:t>
      </w:r>
      <w:r w:rsidR="009654B8">
        <w:rPr>
          <w:rFonts w:ascii="Times New Roman" w:hAnsi="Times New Roman" w:cs="Times New Roman"/>
          <w:sz w:val="24"/>
          <w:szCs w:val="24"/>
        </w:rPr>
        <w:t xml:space="preserve"> situação, </w:t>
      </w:r>
      <w:r w:rsidR="009941C6">
        <w:rPr>
          <w:rFonts w:ascii="Times New Roman" w:hAnsi="Times New Roman" w:cs="Times New Roman"/>
          <w:sz w:val="24"/>
          <w:szCs w:val="24"/>
        </w:rPr>
        <w:t>“</w:t>
      </w:r>
      <w:r w:rsidR="009654B8">
        <w:rPr>
          <w:rFonts w:ascii="Times New Roman" w:hAnsi="Times New Roman" w:cs="Times New Roman"/>
          <w:sz w:val="24"/>
          <w:szCs w:val="24"/>
        </w:rPr>
        <w:t>ampliando seu</w:t>
      </w:r>
      <w:r w:rsidR="00CA5E8B">
        <w:rPr>
          <w:rFonts w:ascii="Times New Roman" w:hAnsi="Times New Roman" w:cs="Times New Roman"/>
          <w:sz w:val="24"/>
          <w:szCs w:val="24"/>
        </w:rPr>
        <w:t xml:space="preserve"> conceito e definindo duas </w:t>
      </w:r>
      <w:r w:rsidR="00CA5E8B">
        <w:rPr>
          <w:rFonts w:ascii="Times New Roman" w:hAnsi="Times New Roman" w:cs="Times New Roman"/>
          <w:sz w:val="24"/>
          <w:szCs w:val="24"/>
        </w:rPr>
        <w:lastRenderedPageBreak/>
        <w:t>modalidades, quais sejam, uma vulnerabilidade absoluta e outra relativa</w:t>
      </w:r>
      <w:r w:rsidR="009941C6">
        <w:rPr>
          <w:rFonts w:ascii="Times New Roman" w:hAnsi="Times New Roman" w:cs="Times New Roman"/>
          <w:sz w:val="24"/>
          <w:szCs w:val="24"/>
        </w:rPr>
        <w:t>”</w:t>
      </w:r>
      <w:r w:rsidR="009941C6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5"/>
      </w:r>
      <w:r w:rsidR="005314A5">
        <w:rPr>
          <w:rFonts w:ascii="Times New Roman" w:hAnsi="Times New Roman" w:cs="Times New Roman"/>
          <w:sz w:val="24"/>
          <w:szCs w:val="24"/>
        </w:rPr>
        <w:t>.</w:t>
      </w:r>
      <w:r w:rsidR="00076F6D">
        <w:rPr>
          <w:rFonts w:ascii="Times New Roman" w:hAnsi="Times New Roman" w:cs="Times New Roman"/>
          <w:sz w:val="24"/>
          <w:szCs w:val="24"/>
        </w:rPr>
        <w:t xml:space="preserve"> Tal distinção, para Greco</w:t>
      </w:r>
      <w:r w:rsidR="005E2365">
        <w:rPr>
          <w:rFonts w:ascii="Times New Roman" w:hAnsi="Times New Roman" w:cs="Times New Roman"/>
          <w:sz w:val="24"/>
          <w:szCs w:val="24"/>
        </w:rPr>
        <w:t xml:space="preserve">, vai de encontro com a orientação jurisprudencial </w:t>
      </w:r>
      <w:r>
        <w:rPr>
          <w:rFonts w:ascii="Times New Roman" w:hAnsi="Times New Roman" w:cs="Times New Roman"/>
          <w:sz w:val="24"/>
          <w:szCs w:val="24"/>
        </w:rPr>
        <w:t>d</w:t>
      </w:r>
      <w:r w:rsidR="005E2365">
        <w:rPr>
          <w:rFonts w:ascii="Times New Roman" w:hAnsi="Times New Roman" w:cs="Times New Roman"/>
          <w:sz w:val="24"/>
          <w:szCs w:val="24"/>
        </w:rPr>
        <w:t>o Supremo Tribunal Fede</w:t>
      </w:r>
      <w:r w:rsidR="000B7ABF">
        <w:rPr>
          <w:rFonts w:ascii="Times New Roman" w:hAnsi="Times New Roman" w:cs="Times New Roman"/>
          <w:sz w:val="24"/>
          <w:szCs w:val="24"/>
        </w:rPr>
        <w:t>ral (STF) sobre a relativização</w:t>
      </w:r>
      <w:r w:rsidR="005E2365">
        <w:rPr>
          <w:rFonts w:ascii="Times New Roman" w:hAnsi="Times New Roman" w:cs="Times New Roman"/>
          <w:sz w:val="24"/>
          <w:szCs w:val="24"/>
        </w:rPr>
        <w:t xml:space="preserve"> da presunção de violência, que não é absoluta</w:t>
      </w:r>
      <w:r w:rsidR="001506D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78B5" w:rsidRDefault="001506D4" w:rsidP="009756EA">
      <w:pPr>
        <w:spacing w:line="240" w:lineRule="auto"/>
        <w:ind w:left="4320"/>
        <w:jc w:val="both"/>
        <w:rPr>
          <w:rFonts w:ascii="Times New Roman" w:hAnsi="Times New Roman" w:cs="Times New Roman"/>
          <w:sz w:val="20"/>
          <w:szCs w:val="20"/>
        </w:rPr>
      </w:pPr>
      <w:r w:rsidRPr="001506D4">
        <w:rPr>
          <w:rFonts w:ascii="Times New Roman" w:hAnsi="Times New Roman" w:cs="Times New Roman"/>
          <w:sz w:val="20"/>
          <w:szCs w:val="20"/>
        </w:rPr>
        <w:t>Nos nossos dias não há crianças, mas moças com doze anos. Precocemente amadurecidas, a maioria delas já conta com discernimento bastante para reagir ante eventuais adversidades, ainda que não possuam escala de valores definidos a ponto de vislumbrarem toda sorte de conseqüências que lhes podem advir.</w:t>
      </w:r>
      <w:r w:rsidR="009941C6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6"/>
      </w:r>
      <w:r w:rsidR="009941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6F6D" w:rsidRPr="00DD1272" w:rsidRDefault="005314A5" w:rsidP="00076F6D">
      <w:pPr>
        <w:spacing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10A70">
        <w:rPr>
          <w:rFonts w:ascii="Times New Roman" w:hAnsi="Times New Roman" w:cs="Times New Roman"/>
          <w:sz w:val="24"/>
          <w:szCs w:val="24"/>
        </w:rPr>
        <w:t xml:space="preserve"> interpretação mais racional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C10A70">
        <w:rPr>
          <w:rFonts w:ascii="Times New Roman" w:hAnsi="Times New Roman" w:cs="Times New Roman"/>
          <w:sz w:val="24"/>
          <w:szCs w:val="24"/>
        </w:rPr>
        <w:t xml:space="preserve">a análise de cada caso para que se possa constatar as verdadeiras condições da pessoa ofendida, bem como o seu grau de amadurecimento e discernimento. </w:t>
      </w:r>
      <w:r w:rsidR="00076F6D" w:rsidRPr="00DD1272">
        <w:rPr>
          <w:rFonts w:ascii="Times New Roman" w:hAnsi="Times New Roman" w:cs="Times New Roman"/>
          <w:iCs/>
          <w:sz w:val="24"/>
          <w:szCs w:val="24"/>
        </w:rPr>
        <w:t xml:space="preserve">Para </w:t>
      </w:r>
      <w:r w:rsidR="005946A4">
        <w:rPr>
          <w:rFonts w:ascii="Times New Roman" w:hAnsi="Times New Roman" w:cs="Times New Roman"/>
          <w:iCs/>
          <w:sz w:val="24"/>
          <w:szCs w:val="24"/>
        </w:rPr>
        <w:t>Magalhães</w:t>
      </w:r>
      <w:r w:rsidR="00076F6D" w:rsidRPr="00DD1272">
        <w:rPr>
          <w:rFonts w:ascii="Times New Roman" w:hAnsi="Times New Roman" w:cs="Times New Roman"/>
          <w:iCs/>
          <w:sz w:val="24"/>
          <w:szCs w:val="24"/>
        </w:rPr>
        <w:t>, a presunção de violência absoluta "é inadmissível, porque se puníssemos sempre o agente que tivesse contato carnal com um menor, estaríamos consagrando a responsabilidade objetiva, coisa, entreta</w:t>
      </w:r>
      <w:r w:rsidR="00EF5DEF">
        <w:rPr>
          <w:rFonts w:ascii="Times New Roman" w:hAnsi="Times New Roman" w:cs="Times New Roman"/>
          <w:iCs/>
          <w:sz w:val="24"/>
          <w:szCs w:val="24"/>
        </w:rPr>
        <w:t>nto, repudiada pela nossa lei</w:t>
      </w:r>
      <w:r w:rsidR="00076F6D">
        <w:rPr>
          <w:rFonts w:ascii="Times New Roman" w:hAnsi="Times New Roman" w:cs="Times New Roman"/>
          <w:iCs/>
          <w:sz w:val="24"/>
          <w:szCs w:val="24"/>
        </w:rPr>
        <w:t>”</w:t>
      </w:r>
      <w:r w:rsidR="009941C6" w:rsidRPr="009941C6">
        <w:rPr>
          <w:rStyle w:val="FootnoteReference"/>
          <w:rFonts w:ascii="Times New Roman" w:eastAsia="Calibri" w:hAnsi="Times New Roman" w:cs="Times New Roman"/>
          <w:smallCaps/>
        </w:rPr>
        <w:t xml:space="preserve"> </w:t>
      </w:r>
      <w:r w:rsidR="009941C6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7"/>
      </w:r>
      <w:r w:rsidR="00EF5DEF">
        <w:rPr>
          <w:rStyle w:val="FootnoteReference"/>
          <w:rFonts w:ascii="Times New Roman" w:eastAsia="Calibri" w:hAnsi="Times New Roman" w:cs="Times New Roman"/>
          <w:smallCaps/>
        </w:rPr>
        <w:t>.</w:t>
      </w:r>
    </w:p>
    <w:p w:rsidR="00AE3AB1" w:rsidRPr="00446500" w:rsidRDefault="00F91CFC" w:rsidP="0044650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B6FBF">
        <w:rPr>
          <w:rFonts w:ascii="Times New Roman" w:hAnsi="Times New Roman" w:cs="Times New Roman"/>
          <w:sz w:val="24"/>
          <w:szCs w:val="24"/>
        </w:rPr>
        <w:t xml:space="preserve">e tal objetividade fosse aceita, </w:t>
      </w:r>
      <w:r>
        <w:rPr>
          <w:rFonts w:ascii="Times New Roman" w:hAnsi="Times New Roman" w:cs="Times New Roman"/>
          <w:iCs/>
          <w:sz w:val="24"/>
          <w:szCs w:val="24"/>
        </w:rPr>
        <w:t>haveria crime toda vez que uma</w:t>
      </w:r>
      <w:r w:rsidRPr="006755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314A5">
        <w:rPr>
          <w:rFonts w:ascii="Times New Roman" w:hAnsi="Times New Roman" w:cs="Times New Roman"/>
          <w:iCs/>
          <w:sz w:val="24"/>
          <w:szCs w:val="24"/>
        </w:rPr>
        <w:t>pessoa</w:t>
      </w:r>
      <w:r>
        <w:rPr>
          <w:rFonts w:ascii="Times New Roman" w:hAnsi="Times New Roman" w:cs="Times New Roman"/>
          <w:iCs/>
          <w:sz w:val="24"/>
          <w:szCs w:val="24"/>
        </w:rPr>
        <w:t xml:space="preserve"> de 1</w:t>
      </w:r>
      <w:r w:rsidR="001B6FBF">
        <w:rPr>
          <w:rFonts w:ascii="Times New Roman" w:hAnsi="Times New Roman" w:cs="Times New Roman"/>
          <w:iCs/>
          <w:sz w:val="24"/>
          <w:szCs w:val="24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B6FBF">
        <w:rPr>
          <w:rFonts w:ascii="Times New Roman" w:hAnsi="Times New Roman" w:cs="Times New Roman"/>
          <w:iCs/>
          <w:sz w:val="24"/>
          <w:szCs w:val="24"/>
        </w:rPr>
        <w:t>beijasse</w:t>
      </w:r>
      <w:r w:rsidRPr="00675510">
        <w:rPr>
          <w:rFonts w:ascii="Times New Roman" w:hAnsi="Times New Roman" w:cs="Times New Roman"/>
          <w:iCs/>
          <w:sz w:val="24"/>
          <w:szCs w:val="24"/>
        </w:rPr>
        <w:t xml:space="preserve"> seu namorado </w:t>
      </w:r>
      <w:r w:rsidR="005314A5">
        <w:rPr>
          <w:rFonts w:ascii="Times New Roman" w:hAnsi="Times New Roman" w:cs="Times New Roman"/>
          <w:iCs/>
          <w:sz w:val="24"/>
          <w:szCs w:val="24"/>
        </w:rPr>
        <w:t>(a)</w:t>
      </w:r>
      <w:r w:rsidRPr="00675510">
        <w:rPr>
          <w:rFonts w:ascii="Times New Roman" w:hAnsi="Times New Roman" w:cs="Times New Roman"/>
          <w:iCs/>
          <w:sz w:val="24"/>
          <w:szCs w:val="24"/>
        </w:rPr>
        <w:t>. Se um deles for maior de 1</w:t>
      </w:r>
      <w:r w:rsidR="001B6FBF">
        <w:rPr>
          <w:rFonts w:ascii="Times New Roman" w:hAnsi="Times New Roman" w:cs="Times New Roman"/>
          <w:iCs/>
          <w:sz w:val="24"/>
          <w:szCs w:val="24"/>
        </w:rPr>
        <w:t>8 anos, terá</w:t>
      </w:r>
      <w:r w:rsidRPr="00675510">
        <w:rPr>
          <w:rFonts w:ascii="Times New Roman" w:hAnsi="Times New Roman" w:cs="Times New Roman"/>
          <w:iCs/>
          <w:sz w:val="24"/>
          <w:szCs w:val="24"/>
        </w:rPr>
        <w:t xml:space="preserve"> cometido o crime d</w:t>
      </w:r>
      <w:r w:rsidR="005314A5">
        <w:rPr>
          <w:rFonts w:ascii="Times New Roman" w:hAnsi="Times New Roman" w:cs="Times New Roman"/>
          <w:iCs/>
          <w:sz w:val="24"/>
          <w:szCs w:val="24"/>
        </w:rPr>
        <w:t>o</w:t>
      </w:r>
      <w:r w:rsidRPr="00675510">
        <w:rPr>
          <w:rFonts w:ascii="Times New Roman" w:hAnsi="Times New Roman" w:cs="Times New Roman"/>
          <w:iCs/>
          <w:sz w:val="24"/>
          <w:szCs w:val="24"/>
        </w:rPr>
        <w:t xml:space="preserve"> 217-A.</w:t>
      </w:r>
      <w:r w:rsidR="001B6FB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655C">
        <w:rPr>
          <w:rFonts w:ascii="Times New Roman" w:hAnsi="Times New Roman" w:cs="Times New Roman"/>
          <w:iCs/>
          <w:sz w:val="24"/>
          <w:szCs w:val="24"/>
        </w:rPr>
        <w:t xml:space="preserve">Ademais, </w:t>
      </w:r>
      <w:r w:rsidR="0075655C" w:rsidRPr="00DD1272">
        <w:rPr>
          <w:rFonts w:ascii="Times New Roman" w:hAnsi="Times New Roman" w:cs="Times New Roman"/>
          <w:iCs/>
          <w:sz w:val="24"/>
          <w:szCs w:val="24"/>
        </w:rPr>
        <w:t>a vulnerabilidade no seu conceito absoluto</w:t>
      </w:r>
      <w:r w:rsidR="0075655C">
        <w:rPr>
          <w:rFonts w:ascii="Times New Roman" w:hAnsi="Times New Roman" w:cs="Times New Roman"/>
          <w:iCs/>
          <w:sz w:val="24"/>
          <w:szCs w:val="24"/>
        </w:rPr>
        <w:t xml:space="preserve"> não admite </w:t>
      </w:r>
      <w:r w:rsidR="0075655C" w:rsidRPr="00DD1272">
        <w:rPr>
          <w:rFonts w:ascii="Times New Roman" w:hAnsi="Times New Roman" w:cs="Times New Roman"/>
          <w:iCs/>
          <w:sz w:val="24"/>
          <w:szCs w:val="24"/>
        </w:rPr>
        <w:t>produzir provas em contrário, pois qualquer pessoa, em qualquer circunstância</w:t>
      </w:r>
      <w:r w:rsidR="005314A5">
        <w:rPr>
          <w:rFonts w:ascii="Times New Roman" w:hAnsi="Times New Roman" w:cs="Times New Roman"/>
          <w:iCs/>
          <w:sz w:val="24"/>
          <w:szCs w:val="24"/>
        </w:rPr>
        <w:t>,</w:t>
      </w:r>
      <w:r w:rsidR="0075655C" w:rsidRPr="00DD1272">
        <w:rPr>
          <w:rFonts w:ascii="Times New Roman" w:hAnsi="Times New Roman" w:cs="Times New Roman"/>
          <w:iCs/>
          <w:sz w:val="24"/>
          <w:szCs w:val="24"/>
        </w:rPr>
        <w:t xml:space="preserve"> será considerada presumidamente culpada</w:t>
      </w:r>
      <w:r w:rsidR="0075655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941C6">
        <w:rPr>
          <w:rFonts w:ascii="Times New Roman" w:hAnsi="Times New Roman" w:cs="Times New Roman"/>
          <w:iCs/>
          <w:sz w:val="24"/>
          <w:szCs w:val="24"/>
        </w:rPr>
        <w:t>“</w:t>
      </w:r>
      <w:r w:rsidR="0075655C">
        <w:rPr>
          <w:rFonts w:ascii="Times New Roman" w:hAnsi="Times New Roman" w:cs="Times New Roman"/>
          <w:iCs/>
          <w:sz w:val="24"/>
          <w:szCs w:val="24"/>
        </w:rPr>
        <w:t xml:space="preserve">o que </w:t>
      </w:r>
      <w:r w:rsidR="0075655C" w:rsidRPr="00DD1272">
        <w:rPr>
          <w:rFonts w:ascii="Times New Roman" w:hAnsi="Times New Roman" w:cs="Times New Roman"/>
          <w:iCs/>
          <w:sz w:val="24"/>
          <w:szCs w:val="24"/>
        </w:rPr>
        <w:t>viola</w:t>
      </w:r>
      <w:r w:rsidR="0075655C">
        <w:rPr>
          <w:rFonts w:ascii="Times New Roman" w:hAnsi="Times New Roman" w:cs="Times New Roman"/>
          <w:iCs/>
          <w:sz w:val="24"/>
          <w:szCs w:val="24"/>
        </w:rPr>
        <w:t>ria</w:t>
      </w:r>
      <w:r w:rsidR="004F6E82">
        <w:rPr>
          <w:rFonts w:ascii="Times New Roman" w:hAnsi="Times New Roman" w:cs="Times New Roman"/>
          <w:iCs/>
          <w:sz w:val="24"/>
          <w:szCs w:val="24"/>
        </w:rPr>
        <w:t xml:space="preserve"> os princípios c</w:t>
      </w:r>
      <w:r w:rsidR="0075655C" w:rsidRPr="00DD1272">
        <w:rPr>
          <w:rFonts w:ascii="Times New Roman" w:hAnsi="Times New Roman" w:cs="Times New Roman"/>
          <w:iCs/>
          <w:sz w:val="24"/>
          <w:szCs w:val="24"/>
        </w:rPr>
        <w:t>onstitucionais do Contraditório e da Ampla Defesa e da Presunção de Inocência</w:t>
      </w:r>
      <w:r w:rsidR="009941C6">
        <w:rPr>
          <w:rFonts w:ascii="Times New Roman" w:hAnsi="Times New Roman" w:cs="Times New Roman"/>
          <w:iCs/>
          <w:sz w:val="24"/>
          <w:szCs w:val="24"/>
        </w:rPr>
        <w:t>”</w:t>
      </w:r>
      <w:r w:rsidR="009941C6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8"/>
      </w:r>
      <w:r w:rsidR="0075655C" w:rsidRPr="00DD1272">
        <w:rPr>
          <w:rFonts w:ascii="Times New Roman" w:hAnsi="Times New Roman" w:cs="Times New Roman"/>
          <w:iCs/>
          <w:sz w:val="24"/>
          <w:szCs w:val="24"/>
        </w:rPr>
        <w:t>.</w:t>
      </w:r>
      <w:r w:rsidR="004F6E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6E82" w:rsidRPr="00DD1272">
        <w:rPr>
          <w:rFonts w:ascii="Times New Roman" w:hAnsi="Times New Roman" w:cs="Times New Roman"/>
          <w:iCs/>
          <w:sz w:val="24"/>
          <w:szCs w:val="24"/>
        </w:rPr>
        <w:t>Outro aspecto</w:t>
      </w:r>
      <w:r w:rsidR="004F6E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6E82" w:rsidRPr="00DD1272">
        <w:rPr>
          <w:rFonts w:ascii="Times New Roman" w:hAnsi="Times New Roman" w:cs="Times New Roman"/>
          <w:iCs/>
          <w:sz w:val="24"/>
          <w:szCs w:val="24"/>
        </w:rPr>
        <w:t xml:space="preserve">é </w:t>
      </w:r>
      <w:r w:rsidR="004F6E82">
        <w:rPr>
          <w:rFonts w:ascii="Times New Roman" w:hAnsi="Times New Roman" w:cs="Times New Roman"/>
          <w:iCs/>
          <w:sz w:val="24"/>
          <w:szCs w:val="24"/>
        </w:rPr>
        <w:t xml:space="preserve">a afronta ao </w:t>
      </w:r>
      <w:r w:rsidR="009941C6">
        <w:rPr>
          <w:rFonts w:ascii="Times New Roman" w:hAnsi="Times New Roman" w:cs="Times New Roman"/>
          <w:iCs/>
          <w:sz w:val="24"/>
          <w:szCs w:val="24"/>
        </w:rPr>
        <w:t xml:space="preserve">que </w:t>
      </w:r>
      <w:r w:rsidR="005314A5">
        <w:rPr>
          <w:rFonts w:ascii="Times New Roman" w:hAnsi="Times New Roman" w:cs="Times New Roman"/>
          <w:iCs/>
          <w:sz w:val="24"/>
          <w:szCs w:val="24"/>
        </w:rPr>
        <w:t>Barros</w:t>
      </w:r>
      <w:r w:rsidR="004F6E82">
        <w:rPr>
          <w:rFonts w:ascii="Times New Roman" w:hAnsi="Times New Roman" w:cs="Times New Roman"/>
          <w:iCs/>
          <w:sz w:val="24"/>
          <w:szCs w:val="24"/>
        </w:rPr>
        <w:t xml:space="preserve"> c</w:t>
      </w:r>
      <w:r w:rsidR="001B6FBF">
        <w:rPr>
          <w:rFonts w:ascii="Times New Roman" w:hAnsi="Times New Roman" w:cs="Times New Roman"/>
          <w:iCs/>
          <w:sz w:val="24"/>
          <w:szCs w:val="24"/>
        </w:rPr>
        <w:t>hama de</w:t>
      </w:r>
      <w:r w:rsidR="004F6E82">
        <w:rPr>
          <w:rFonts w:ascii="Times New Roman" w:hAnsi="Times New Roman" w:cs="Times New Roman"/>
          <w:iCs/>
          <w:sz w:val="24"/>
          <w:szCs w:val="24"/>
        </w:rPr>
        <w:t xml:space="preserve"> princípios da Paternidade R</w:t>
      </w:r>
      <w:r w:rsidR="004F6E82" w:rsidRPr="00DD1272">
        <w:rPr>
          <w:rFonts w:ascii="Times New Roman" w:hAnsi="Times New Roman" w:cs="Times New Roman"/>
          <w:iCs/>
          <w:sz w:val="24"/>
          <w:szCs w:val="24"/>
        </w:rPr>
        <w:t xml:space="preserve">esponsável e </w:t>
      </w:r>
      <w:r w:rsidR="004F6E82">
        <w:rPr>
          <w:rFonts w:ascii="Times New Roman" w:hAnsi="Times New Roman" w:cs="Times New Roman"/>
          <w:iCs/>
          <w:sz w:val="24"/>
          <w:szCs w:val="24"/>
        </w:rPr>
        <w:t>da Harmonia F</w:t>
      </w:r>
      <w:r w:rsidR="004F6E82" w:rsidRPr="00DD1272">
        <w:rPr>
          <w:rFonts w:ascii="Times New Roman" w:hAnsi="Times New Roman" w:cs="Times New Roman"/>
          <w:iCs/>
          <w:sz w:val="24"/>
          <w:szCs w:val="24"/>
        </w:rPr>
        <w:t>amiliar</w:t>
      </w:r>
      <w:r w:rsidR="004F6E82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9533AE">
        <w:rPr>
          <w:rFonts w:ascii="Times New Roman" w:hAnsi="Times New Roman" w:cs="Times New Roman"/>
          <w:iCs/>
          <w:sz w:val="24"/>
          <w:szCs w:val="24"/>
        </w:rPr>
        <w:t>U</w:t>
      </w:r>
      <w:r w:rsidR="005314A5">
        <w:rPr>
          <w:rFonts w:ascii="Times New Roman" w:hAnsi="Times New Roman" w:cs="Times New Roman"/>
          <w:iCs/>
          <w:sz w:val="24"/>
          <w:szCs w:val="24"/>
        </w:rPr>
        <w:t>ma garota de 13 anos grávida</w:t>
      </w:r>
      <w:r w:rsidR="00B17140">
        <w:rPr>
          <w:rFonts w:ascii="Times New Roman" w:hAnsi="Times New Roman" w:cs="Times New Roman"/>
          <w:iCs/>
          <w:sz w:val="24"/>
          <w:szCs w:val="24"/>
        </w:rPr>
        <w:t xml:space="preserve">, por exemplo, </w:t>
      </w:r>
      <w:r w:rsidR="009533AE">
        <w:rPr>
          <w:rFonts w:ascii="Times New Roman" w:hAnsi="Times New Roman" w:cs="Times New Roman"/>
          <w:iCs/>
          <w:sz w:val="24"/>
          <w:szCs w:val="24"/>
        </w:rPr>
        <w:t xml:space="preserve">dificilmente </w:t>
      </w:r>
      <w:r w:rsidR="009533AE" w:rsidRPr="00446500">
        <w:rPr>
          <w:rFonts w:ascii="Times New Roman" w:hAnsi="Times New Roman" w:cs="Times New Roman"/>
          <w:iCs/>
          <w:sz w:val="24"/>
          <w:szCs w:val="24"/>
        </w:rPr>
        <w:t>contaria com o apoio do pai da criança, visto que</w:t>
      </w:r>
      <w:r w:rsidR="004F6E82" w:rsidRPr="0044650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533AE" w:rsidRPr="00446500">
        <w:rPr>
          <w:rFonts w:ascii="Times New Roman" w:hAnsi="Times New Roman" w:cs="Times New Roman"/>
          <w:iCs/>
          <w:sz w:val="24"/>
          <w:szCs w:val="24"/>
        </w:rPr>
        <w:t>seria</w:t>
      </w:r>
      <w:r w:rsidR="004F6E82" w:rsidRPr="00446500">
        <w:rPr>
          <w:rFonts w:ascii="Times New Roman" w:hAnsi="Times New Roman" w:cs="Times New Roman"/>
          <w:iCs/>
          <w:sz w:val="24"/>
          <w:szCs w:val="24"/>
        </w:rPr>
        <w:t xml:space="preserve"> condenado </w:t>
      </w:r>
      <w:r w:rsidR="005314A5" w:rsidRPr="00446500">
        <w:rPr>
          <w:rFonts w:ascii="Times New Roman" w:hAnsi="Times New Roman" w:cs="Times New Roman"/>
          <w:iCs/>
          <w:sz w:val="24"/>
          <w:szCs w:val="24"/>
        </w:rPr>
        <w:t xml:space="preserve">entre </w:t>
      </w:r>
      <w:r w:rsidR="004F6E82" w:rsidRPr="00446500">
        <w:rPr>
          <w:rFonts w:ascii="Times New Roman" w:hAnsi="Times New Roman" w:cs="Times New Roman"/>
          <w:iCs/>
          <w:sz w:val="24"/>
          <w:szCs w:val="24"/>
        </w:rPr>
        <w:t>8 e 15 anos d</w:t>
      </w:r>
      <w:r w:rsidR="009533AE" w:rsidRPr="00446500">
        <w:rPr>
          <w:rFonts w:ascii="Times New Roman" w:hAnsi="Times New Roman" w:cs="Times New Roman"/>
          <w:iCs/>
          <w:sz w:val="24"/>
          <w:szCs w:val="24"/>
        </w:rPr>
        <w:t>e reclusão</w:t>
      </w:r>
      <w:r w:rsidR="004F6E82" w:rsidRPr="00446500">
        <w:rPr>
          <w:rFonts w:ascii="Times New Roman" w:hAnsi="Times New Roman" w:cs="Times New Roman"/>
          <w:iCs/>
          <w:sz w:val="24"/>
          <w:szCs w:val="24"/>
        </w:rPr>
        <w:t>.</w:t>
      </w:r>
      <w:r w:rsidR="00446500" w:rsidRPr="0044650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E3AB1" w:rsidRPr="00446500">
        <w:rPr>
          <w:rFonts w:ascii="Times New Roman" w:hAnsi="Times New Roman" w:cs="Times New Roman"/>
          <w:sz w:val="24"/>
          <w:szCs w:val="24"/>
        </w:rPr>
        <w:t>O Superior Tribunal de Justiça (STJ)</w:t>
      </w:r>
      <w:r w:rsidR="005314A5" w:rsidRPr="00446500">
        <w:rPr>
          <w:rFonts w:ascii="Times New Roman" w:hAnsi="Times New Roman" w:cs="Times New Roman"/>
          <w:sz w:val="24"/>
          <w:szCs w:val="24"/>
        </w:rPr>
        <w:t xml:space="preserve"> </w:t>
      </w:r>
      <w:r w:rsidR="00AE3AB1" w:rsidRPr="00446500">
        <w:rPr>
          <w:rFonts w:ascii="Times New Roman" w:hAnsi="Times New Roman" w:cs="Times New Roman"/>
          <w:sz w:val="24"/>
          <w:szCs w:val="24"/>
        </w:rPr>
        <w:t xml:space="preserve">não admite a responsabilidade objetiva: </w:t>
      </w:r>
    </w:p>
    <w:p w:rsidR="00AE3AB1" w:rsidRPr="00A730DB" w:rsidRDefault="00AE3AB1" w:rsidP="00AE3AB1">
      <w:pPr>
        <w:pStyle w:val="NormalWeb"/>
        <w:shd w:val="clear" w:color="auto" w:fill="FFFFFF"/>
        <w:ind w:left="4320"/>
        <w:jc w:val="both"/>
        <w:rPr>
          <w:b/>
          <w:sz w:val="20"/>
          <w:szCs w:val="20"/>
        </w:rPr>
      </w:pPr>
      <w:r w:rsidRPr="00A730DB">
        <w:rPr>
          <w:rStyle w:val="Strong"/>
          <w:b w:val="0"/>
          <w:bCs w:val="0"/>
          <w:sz w:val="20"/>
          <w:szCs w:val="20"/>
        </w:rPr>
        <w:t xml:space="preserve">EMENTA: RESP - PENAL - ESTUPRO - </w:t>
      </w:r>
      <w:r w:rsidRPr="00B022BA">
        <w:rPr>
          <w:rStyle w:val="hlhilite"/>
          <w:sz w:val="20"/>
          <w:szCs w:val="20"/>
        </w:rPr>
        <w:t>PRESUNÇÃO</w:t>
      </w:r>
      <w:r w:rsidRPr="00B022BA">
        <w:rPr>
          <w:rStyle w:val="Strong"/>
          <w:bCs w:val="0"/>
          <w:sz w:val="20"/>
          <w:szCs w:val="20"/>
        </w:rPr>
        <w:t xml:space="preserve"> </w:t>
      </w:r>
      <w:r w:rsidRPr="00B022BA">
        <w:rPr>
          <w:rStyle w:val="hlhilite"/>
          <w:sz w:val="20"/>
          <w:szCs w:val="20"/>
        </w:rPr>
        <w:t>DE</w:t>
      </w:r>
      <w:r w:rsidRPr="00A730DB">
        <w:rPr>
          <w:rStyle w:val="Strong"/>
          <w:b w:val="0"/>
          <w:bCs w:val="0"/>
          <w:sz w:val="20"/>
          <w:szCs w:val="20"/>
        </w:rPr>
        <w:t xml:space="preserve"> VIOLENCIA. O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direito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 penal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moderno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 é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direito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 penal da culpa.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Não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 se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prescinde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 do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elemento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subjetivo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. </w:t>
      </w:r>
      <w:proofErr w:type="spellStart"/>
      <w:proofErr w:type="gramStart"/>
      <w:r w:rsidRPr="00A730DB">
        <w:rPr>
          <w:rStyle w:val="Strong"/>
          <w:b w:val="0"/>
          <w:bCs w:val="0"/>
          <w:sz w:val="20"/>
          <w:szCs w:val="20"/>
        </w:rPr>
        <w:t>Intoleráveis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 a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responsabilidade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objetiva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 e a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responsabilidade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pelo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fato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 </w:t>
      </w:r>
      <w:r w:rsidRPr="00A730DB">
        <w:rPr>
          <w:rStyle w:val="hlhilite"/>
          <w:b/>
          <w:sz w:val="20"/>
          <w:szCs w:val="20"/>
        </w:rPr>
        <w:t>de</w:t>
      </w:r>
      <w:r w:rsidRPr="00A730DB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outrem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>.</w:t>
      </w:r>
      <w:proofErr w:type="gramEnd"/>
      <w:r w:rsidRPr="00A730DB">
        <w:rPr>
          <w:rStyle w:val="Strong"/>
          <w:b w:val="0"/>
          <w:bCs w:val="0"/>
          <w:sz w:val="20"/>
          <w:szCs w:val="20"/>
        </w:rPr>
        <w:t xml:space="preserve"> O principio da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legalidade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fornece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 a forma e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princípio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 da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personalidade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 (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sentido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atual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 da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doutrina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) a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substância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 da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conduta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 xml:space="preserve"> </w:t>
      </w:r>
      <w:proofErr w:type="spellStart"/>
      <w:r w:rsidRPr="00A730DB">
        <w:rPr>
          <w:rStyle w:val="Strong"/>
          <w:b w:val="0"/>
          <w:bCs w:val="0"/>
          <w:sz w:val="20"/>
          <w:szCs w:val="20"/>
        </w:rPr>
        <w:t>delituosa</w:t>
      </w:r>
      <w:proofErr w:type="spellEnd"/>
      <w:r w:rsidRPr="00A730DB">
        <w:rPr>
          <w:rStyle w:val="Strong"/>
          <w:b w:val="0"/>
          <w:bCs w:val="0"/>
          <w:sz w:val="20"/>
          <w:szCs w:val="20"/>
        </w:rPr>
        <w:t>.</w:t>
      </w:r>
      <w:r w:rsidR="009941C6" w:rsidRPr="00934245">
        <w:rPr>
          <w:rStyle w:val="FootnoteReference"/>
          <w:rFonts w:eastAsia="Calibri"/>
          <w:smallCaps/>
        </w:rPr>
        <w:footnoteReference w:id="9"/>
      </w:r>
      <w:r w:rsidRPr="00A730DB">
        <w:rPr>
          <w:rStyle w:val="Strong"/>
          <w:b w:val="0"/>
          <w:bCs w:val="0"/>
          <w:sz w:val="20"/>
          <w:szCs w:val="20"/>
        </w:rPr>
        <w:t xml:space="preserve">. </w:t>
      </w:r>
    </w:p>
    <w:p w:rsidR="0047133A" w:rsidRDefault="0047133A" w:rsidP="0047133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>
        <w:rPr>
          <w:rFonts w:ascii="Times New Roman" w:eastAsia="ArialMT" w:hAnsi="Times New Roman" w:cs="Times New Roman"/>
          <w:sz w:val="24"/>
          <w:szCs w:val="24"/>
          <w:lang w:val="en-US"/>
        </w:rPr>
        <w:lastRenderedPageBreak/>
        <w:t xml:space="preserve">O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princípio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="009941C6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da </w:t>
      </w:r>
      <w:proofErr w:type="spellStart"/>
      <w:r w:rsidR="009941C6">
        <w:rPr>
          <w:rFonts w:ascii="Times New Roman" w:eastAsia="ArialMT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ArialMT" w:hAnsi="Times New Roman" w:cs="Times New Roman"/>
          <w:sz w:val="24"/>
          <w:szCs w:val="24"/>
          <w:lang w:val="en-US"/>
        </w:rPr>
        <w:t>ulpabilidade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941C6">
        <w:rPr>
          <w:rFonts w:ascii="Times New Roman" w:eastAsia="ArialMT" w:hAnsi="Times New Roman" w:cs="Times New Roman"/>
          <w:sz w:val="24"/>
          <w:szCs w:val="24"/>
          <w:lang w:val="en-US"/>
        </w:rPr>
        <w:t>por</w:t>
      </w:r>
      <w:proofErr w:type="spellEnd"/>
      <w:r w:rsidR="009941C6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41C6">
        <w:rPr>
          <w:rFonts w:ascii="Times New Roman" w:eastAsia="ArialMT" w:hAnsi="Times New Roman" w:cs="Times New Roman"/>
          <w:sz w:val="24"/>
          <w:szCs w:val="24"/>
          <w:lang w:val="en-US"/>
        </w:rPr>
        <w:t>sua</w:t>
      </w:r>
      <w:proofErr w:type="spellEnd"/>
      <w:r w:rsidR="009941C6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41C6">
        <w:rPr>
          <w:rFonts w:ascii="Times New Roman" w:eastAsia="ArialMT" w:hAnsi="Times New Roman" w:cs="Times New Roman"/>
          <w:sz w:val="24"/>
          <w:szCs w:val="24"/>
          <w:lang w:val="en-US"/>
        </w:rPr>
        <w:t>vez</w:t>
      </w:r>
      <w:proofErr w:type="spellEnd"/>
      <w:r w:rsidR="009941C6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impõe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subjetividade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penal,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não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admitindo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atribuição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responsabilidade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derivada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simplesmente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uma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associação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causal entre a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conduta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e um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resultado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. “Se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não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houver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dolo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ou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culpa,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não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haverá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conduta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eastAsia="ArialMT" w:hAnsi="Times New Roman" w:cs="Times New Roman"/>
          <w:sz w:val="24"/>
          <w:szCs w:val="24"/>
          <w:lang w:val="en-US"/>
        </w:rPr>
        <w:t>Sem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conduta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não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há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fato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típico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ArialMT" w:hAnsi="Times New Roman" w:cs="Times New Roman"/>
          <w:sz w:val="24"/>
          <w:szCs w:val="24"/>
          <w:lang w:val="en-US"/>
        </w:rPr>
        <w:t>Sem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fato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típico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não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haverá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crime”</w:t>
      </w:r>
      <w:r w:rsidR="009941C6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10"/>
      </w:r>
      <w:r>
        <w:rPr>
          <w:rFonts w:ascii="Times New Roman" w:eastAsia="ArialMT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</w:p>
    <w:p w:rsidR="00C10A70" w:rsidRDefault="00C10A70" w:rsidP="00F91CFC">
      <w:pPr>
        <w:tabs>
          <w:tab w:val="left" w:pos="720"/>
        </w:tabs>
        <w:spacing w:line="36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Dito isto, não cabe</w:t>
      </w:r>
      <w:r w:rsidR="00DD79BB">
        <w:rPr>
          <w:rFonts w:ascii="Times New Roman" w:hAnsi="Times New Roman" w:cs="Times New Roman"/>
          <w:sz w:val="24"/>
          <w:szCs w:val="24"/>
        </w:rPr>
        <w:t>ria</w:t>
      </w:r>
      <w:r>
        <w:rPr>
          <w:rFonts w:ascii="Times New Roman" w:hAnsi="Times New Roman" w:cs="Times New Roman"/>
          <w:sz w:val="24"/>
          <w:szCs w:val="24"/>
        </w:rPr>
        <w:t xml:space="preserve"> imputar a condição de vulneráve</w:t>
      </w:r>
      <w:r w:rsidR="0047133A">
        <w:rPr>
          <w:rFonts w:ascii="Times New Roman" w:hAnsi="Times New Roman" w:cs="Times New Roman"/>
          <w:sz w:val="24"/>
          <w:szCs w:val="24"/>
        </w:rPr>
        <w:t>l à namorada de Dino Costa. Ape</w:t>
      </w:r>
      <w:r>
        <w:rPr>
          <w:rFonts w:ascii="Times New Roman" w:hAnsi="Times New Roman" w:cs="Times New Roman"/>
          <w:sz w:val="24"/>
          <w:szCs w:val="24"/>
        </w:rPr>
        <w:t>sar de ter 13 anos, a mesma manteve relações sexuais consentidas, numa clara demonstração d</w:t>
      </w:r>
      <w:r w:rsidR="00675510">
        <w:rPr>
          <w:rFonts w:ascii="Times New Roman" w:hAnsi="Times New Roman" w:cs="Times New Roman"/>
          <w:sz w:val="24"/>
          <w:szCs w:val="24"/>
        </w:rPr>
        <w:t>e que levava uma vida libertina, ou, no mínimo, liberada.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CFC">
        <w:rPr>
          <w:rFonts w:ascii="Times New Roman" w:hAnsi="Times New Roman" w:cs="Times New Roman"/>
          <w:sz w:val="24"/>
          <w:szCs w:val="24"/>
        </w:rPr>
        <w:t xml:space="preserve">Ainda que </w:t>
      </w:r>
      <w:r w:rsidR="00580713">
        <w:rPr>
          <w:rFonts w:ascii="Times New Roman" w:hAnsi="Times New Roman" w:cs="Times New Roman"/>
          <w:sz w:val="24"/>
          <w:szCs w:val="24"/>
        </w:rPr>
        <w:t xml:space="preserve">se </w:t>
      </w:r>
      <w:r w:rsidR="00F91CFC">
        <w:rPr>
          <w:rFonts w:ascii="Times New Roman" w:hAnsi="Times New Roman" w:cs="Times New Roman"/>
          <w:sz w:val="24"/>
          <w:szCs w:val="24"/>
        </w:rPr>
        <w:t>buscasse penaliz</w:t>
      </w:r>
      <w:r w:rsidR="00580713">
        <w:rPr>
          <w:rFonts w:ascii="Times New Roman" w:hAnsi="Times New Roman" w:cs="Times New Roman"/>
          <w:sz w:val="24"/>
          <w:szCs w:val="24"/>
        </w:rPr>
        <w:t>á-lo</w:t>
      </w:r>
      <w:r w:rsidR="00F91CFC">
        <w:rPr>
          <w:rFonts w:ascii="Times New Roman" w:hAnsi="Times New Roman" w:cs="Times New Roman"/>
          <w:sz w:val="24"/>
          <w:szCs w:val="24"/>
        </w:rPr>
        <w:t xml:space="preserve"> por um certo abuso, condená-lo</w:t>
      </w:r>
      <w:r w:rsidRPr="0004066F">
        <w:rPr>
          <w:rFonts w:ascii="Times New Roman" w:hAnsi="Times New Roman" w:cs="Times New Roman"/>
          <w:sz w:val="24"/>
          <w:szCs w:val="24"/>
        </w:rPr>
        <w:t xml:space="preserve"> à pena máxima prevista para o crime de estupro de vulnerável, qual seja, 15 anos de reclusão</w:t>
      </w:r>
      <w:r w:rsidR="00F91CFC">
        <w:rPr>
          <w:rFonts w:ascii="Times New Roman" w:hAnsi="Times New Roman" w:cs="Times New Roman"/>
          <w:sz w:val="24"/>
          <w:szCs w:val="24"/>
        </w:rPr>
        <w:t>, torna-se um contra-se</w:t>
      </w:r>
      <w:r w:rsidR="00FA56F9">
        <w:rPr>
          <w:rFonts w:ascii="Times New Roman" w:hAnsi="Times New Roman" w:cs="Times New Roman"/>
          <w:sz w:val="24"/>
          <w:szCs w:val="24"/>
        </w:rPr>
        <w:t xml:space="preserve">nso perante o contexto </w:t>
      </w:r>
      <w:r w:rsidR="00580713">
        <w:rPr>
          <w:rFonts w:ascii="Times New Roman" w:hAnsi="Times New Roman" w:cs="Times New Roman"/>
          <w:sz w:val="24"/>
          <w:szCs w:val="24"/>
        </w:rPr>
        <w:t xml:space="preserve">social em </w:t>
      </w:r>
      <w:r w:rsidR="00FA56F9">
        <w:rPr>
          <w:rFonts w:ascii="Times New Roman" w:hAnsi="Times New Roman" w:cs="Times New Roman"/>
          <w:sz w:val="24"/>
          <w:szCs w:val="24"/>
        </w:rPr>
        <w:t>ambos viviam</w:t>
      </w:r>
      <w:r w:rsidRPr="0004066F">
        <w:rPr>
          <w:rFonts w:ascii="Times New Roman" w:hAnsi="Times New Roman" w:cs="Times New Roman"/>
          <w:sz w:val="24"/>
          <w:szCs w:val="24"/>
        </w:rPr>
        <w:t>.</w:t>
      </w:r>
    </w:p>
    <w:p w:rsidR="000D7185" w:rsidRDefault="0011408C" w:rsidP="003E6F2F">
      <w:pPr>
        <w:pStyle w:val="NormalWeb"/>
        <w:spacing w:line="360" w:lineRule="auto"/>
        <w:ind w:firstLine="720"/>
        <w:jc w:val="both"/>
        <w:rPr>
          <w:rFonts w:eastAsiaTheme="minorHAnsi"/>
          <w:lang w:val="pt-BR"/>
        </w:rPr>
      </w:pPr>
      <w:r>
        <w:rPr>
          <w:rFonts w:eastAsiaTheme="minorHAnsi"/>
          <w:lang w:val="pt-BR"/>
        </w:rPr>
        <w:t>O</w:t>
      </w:r>
      <w:r w:rsidRPr="0011408C">
        <w:rPr>
          <w:rFonts w:eastAsiaTheme="minorHAnsi"/>
          <w:lang w:val="pt-BR"/>
        </w:rPr>
        <w:t xml:space="preserve"> próprio Estatuto da Criança e do Adolescente (ECA)</w:t>
      </w:r>
      <w:r w:rsidR="009941C6" w:rsidRPr="009941C6">
        <w:rPr>
          <w:rStyle w:val="FootnoteReference"/>
          <w:rFonts w:eastAsia="Calibri"/>
          <w:smallCaps/>
        </w:rPr>
        <w:t xml:space="preserve"> </w:t>
      </w:r>
      <w:r w:rsidR="009941C6" w:rsidRPr="00934245">
        <w:rPr>
          <w:rStyle w:val="FootnoteReference"/>
          <w:rFonts w:eastAsia="Calibri"/>
          <w:smallCaps/>
        </w:rPr>
        <w:footnoteReference w:id="11"/>
      </w:r>
      <w:r w:rsidRPr="0011408C">
        <w:rPr>
          <w:rFonts w:eastAsiaTheme="minorHAnsi"/>
          <w:lang w:val="pt-BR"/>
        </w:rPr>
        <w:t xml:space="preserve"> prevê que maiores de 12 anos já podem ser responsabilizados pelos seus atos infracionais, considerando-o</w:t>
      </w:r>
      <w:r>
        <w:rPr>
          <w:rFonts w:eastAsiaTheme="minorHAnsi"/>
          <w:lang w:val="pt-BR"/>
        </w:rPr>
        <w:t>s</w:t>
      </w:r>
      <w:r w:rsidRPr="0011408C">
        <w:rPr>
          <w:rFonts w:eastAsiaTheme="minorHAnsi"/>
          <w:lang w:val="pt-BR"/>
        </w:rPr>
        <w:t xml:space="preserve"> capaz</w:t>
      </w:r>
      <w:r>
        <w:rPr>
          <w:rFonts w:eastAsiaTheme="minorHAnsi"/>
          <w:lang w:val="pt-BR"/>
        </w:rPr>
        <w:t>es</w:t>
      </w:r>
      <w:r w:rsidRPr="0011408C">
        <w:rPr>
          <w:rFonts w:eastAsiaTheme="minorHAnsi"/>
          <w:lang w:val="pt-BR"/>
        </w:rPr>
        <w:t xml:space="preserve"> de discernir</w:t>
      </w:r>
      <w:r w:rsidR="00580713">
        <w:rPr>
          <w:rFonts w:eastAsiaTheme="minorHAnsi"/>
          <w:lang w:val="pt-BR"/>
        </w:rPr>
        <w:t xml:space="preserve">. </w:t>
      </w:r>
      <w:r w:rsidR="002A41F2" w:rsidRPr="003E6F2F">
        <w:rPr>
          <w:rFonts w:eastAsiaTheme="minorHAnsi"/>
          <w:lang w:val="pt-BR"/>
        </w:rPr>
        <w:t xml:space="preserve">A conclusão a que se chega é que a nova figura delitiva traz críticas pertinentes. </w:t>
      </w:r>
      <w:r w:rsidR="003E6F2F" w:rsidRPr="003E6F2F">
        <w:rPr>
          <w:rFonts w:eastAsiaTheme="minorHAnsi"/>
          <w:lang w:val="pt-BR"/>
        </w:rPr>
        <w:t>A despeito de tornar descabido o questionamento sobre a presunção de violência, a nova lei deixa espaço para a possibilidade do erro de tipo</w:t>
      </w:r>
      <w:r w:rsidR="00FA56F9">
        <w:rPr>
          <w:rFonts w:eastAsiaTheme="minorHAnsi"/>
          <w:lang w:val="pt-BR"/>
        </w:rPr>
        <w:t xml:space="preserve">, com a </w:t>
      </w:r>
      <w:r w:rsidR="003E6F2F" w:rsidRPr="003E6F2F">
        <w:rPr>
          <w:rFonts w:eastAsiaTheme="minorHAnsi"/>
          <w:lang w:val="pt-BR"/>
        </w:rPr>
        <w:t>possibilidade de o agente comprovar que, em razão de erro sobre as circunstâncias (a vítima tinha desenvolvimento físico superior ao comum), presumiu não estar cometendo crime.</w:t>
      </w:r>
      <w:r w:rsidR="003E6F2F">
        <w:rPr>
          <w:rFonts w:eastAsiaTheme="minorHAnsi"/>
          <w:lang w:val="pt-BR"/>
        </w:rPr>
        <w:t xml:space="preserve"> </w:t>
      </w:r>
    </w:p>
    <w:p w:rsidR="000C732B" w:rsidRDefault="003E6F2F" w:rsidP="000D7185">
      <w:pPr>
        <w:pStyle w:val="NormalWeb"/>
        <w:spacing w:line="360" w:lineRule="auto"/>
        <w:ind w:firstLine="720"/>
        <w:jc w:val="both"/>
      </w:pPr>
      <w:r w:rsidRPr="003E6F2F">
        <w:rPr>
          <w:rFonts w:eastAsiaTheme="minorHAnsi"/>
          <w:lang w:val="pt-BR"/>
        </w:rPr>
        <w:t>Porém, a mais criticável novidade foi a pena elevadíssima.</w:t>
      </w:r>
      <w:r>
        <w:rPr>
          <w:rFonts w:eastAsiaTheme="minorHAnsi"/>
          <w:lang w:val="pt-BR"/>
        </w:rPr>
        <w:t xml:space="preserve"> </w:t>
      </w:r>
      <w:r w:rsidR="000D7185">
        <w:rPr>
          <w:rFonts w:eastAsiaTheme="minorHAnsi"/>
          <w:lang w:val="pt-BR"/>
        </w:rPr>
        <w:t xml:space="preserve">A </w:t>
      </w:r>
      <w:proofErr w:type="spellStart"/>
      <w:r w:rsidR="000C732B" w:rsidRPr="000C732B">
        <w:t>atribuição</w:t>
      </w:r>
      <w:proofErr w:type="spellEnd"/>
      <w:r w:rsidR="000C732B" w:rsidRPr="000C732B">
        <w:t xml:space="preserve"> da </w:t>
      </w:r>
      <w:proofErr w:type="spellStart"/>
      <w:r w:rsidR="000C732B" w:rsidRPr="000C732B">
        <w:t>penalidade</w:t>
      </w:r>
      <w:proofErr w:type="spellEnd"/>
      <w:r w:rsidR="000C732B" w:rsidRPr="000C732B">
        <w:t xml:space="preserve"> </w:t>
      </w:r>
      <w:proofErr w:type="spellStart"/>
      <w:r w:rsidR="000C732B" w:rsidRPr="000C732B">
        <w:t>para</w:t>
      </w:r>
      <w:proofErr w:type="spellEnd"/>
      <w:r w:rsidR="000C732B" w:rsidRPr="000C732B">
        <w:t xml:space="preserve"> </w:t>
      </w:r>
      <w:proofErr w:type="spellStart"/>
      <w:r w:rsidR="000C732B" w:rsidRPr="000C732B">
        <w:t>cada</w:t>
      </w:r>
      <w:proofErr w:type="spellEnd"/>
      <w:r w:rsidR="000C732B" w:rsidRPr="000C732B">
        <w:t xml:space="preserve"> </w:t>
      </w:r>
      <w:proofErr w:type="spellStart"/>
      <w:r w:rsidR="000C732B" w:rsidRPr="000C732B">
        <w:t>delito</w:t>
      </w:r>
      <w:proofErr w:type="spellEnd"/>
      <w:r w:rsidR="000C732B" w:rsidRPr="000C732B">
        <w:t xml:space="preserve"> </w:t>
      </w:r>
      <w:proofErr w:type="spellStart"/>
      <w:r w:rsidR="005448B7">
        <w:t>deve</w:t>
      </w:r>
      <w:proofErr w:type="spellEnd"/>
      <w:r w:rsidR="005448B7">
        <w:t xml:space="preserve"> </w:t>
      </w:r>
      <w:proofErr w:type="spellStart"/>
      <w:r w:rsidR="000B7ABF">
        <w:t>obedece</w:t>
      </w:r>
      <w:r w:rsidR="005448B7">
        <w:t>r</w:t>
      </w:r>
      <w:proofErr w:type="spellEnd"/>
      <w:r w:rsidR="000C732B" w:rsidRPr="000C732B">
        <w:t xml:space="preserve"> </w:t>
      </w:r>
      <w:proofErr w:type="spellStart"/>
      <w:r w:rsidR="000C732B" w:rsidRPr="000C732B">
        <w:t>ao</w:t>
      </w:r>
      <w:proofErr w:type="spellEnd"/>
      <w:r w:rsidR="000C732B" w:rsidRPr="000C732B">
        <w:t xml:space="preserve"> </w:t>
      </w:r>
      <w:proofErr w:type="spellStart"/>
      <w:r w:rsidR="000C732B" w:rsidRPr="000C732B">
        <w:t>princípio</w:t>
      </w:r>
      <w:proofErr w:type="spellEnd"/>
      <w:r w:rsidR="000C732B" w:rsidRPr="000C732B">
        <w:t xml:space="preserve"> </w:t>
      </w:r>
      <w:r w:rsidR="000C732B">
        <w:t xml:space="preserve">da </w:t>
      </w:r>
      <w:proofErr w:type="spellStart"/>
      <w:r w:rsidR="000C732B">
        <w:t>P</w:t>
      </w:r>
      <w:r w:rsidR="000C732B" w:rsidRPr="000C732B">
        <w:t>roporcionalidade</w:t>
      </w:r>
      <w:proofErr w:type="spellEnd"/>
      <w:r w:rsidR="000C732B" w:rsidRPr="000C732B">
        <w:t xml:space="preserve">, </w:t>
      </w:r>
      <w:proofErr w:type="spellStart"/>
      <w:r w:rsidR="000C732B" w:rsidRPr="000C732B">
        <w:t>que</w:t>
      </w:r>
      <w:proofErr w:type="spellEnd"/>
      <w:r w:rsidR="000C732B" w:rsidRPr="000C732B">
        <w:t xml:space="preserve"> </w:t>
      </w:r>
      <w:proofErr w:type="spellStart"/>
      <w:r w:rsidR="000C732B" w:rsidRPr="000C732B">
        <w:t>objetiva</w:t>
      </w:r>
      <w:proofErr w:type="spellEnd"/>
      <w:r w:rsidR="000C732B" w:rsidRPr="000C732B">
        <w:t xml:space="preserve"> o </w:t>
      </w:r>
      <w:proofErr w:type="spellStart"/>
      <w:r w:rsidR="000C732B" w:rsidRPr="000C732B">
        <w:t>r</w:t>
      </w:r>
      <w:r w:rsidR="00346CD5">
        <w:t>espeito</w:t>
      </w:r>
      <w:proofErr w:type="spellEnd"/>
      <w:r w:rsidR="00346CD5">
        <w:t xml:space="preserve"> à </w:t>
      </w:r>
      <w:proofErr w:type="spellStart"/>
      <w:r w:rsidR="00346CD5">
        <w:t>Dignidade</w:t>
      </w:r>
      <w:proofErr w:type="spellEnd"/>
      <w:r w:rsidR="00346CD5">
        <w:t xml:space="preserve"> H</w:t>
      </w:r>
      <w:r w:rsidR="000C732B" w:rsidRPr="000C732B">
        <w:t>umana</w:t>
      </w:r>
      <w:r w:rsidR="00C40CCB">
        <w:t xml:space="preserve">. Atribuir pena tão </w:t>
      </w:r>
      <w:r w:rsidR="005448B7">
        <w:t>elevada fere tal princípio</w:t>
      </w:r>
      <w:r w:rsidR="00C40CCB">
        <w:t xml:space="preserve"> </w:t>
      </w:r>
      <w:r w:rsidR="00346CD5" w:rsidRPr="000C732B">
        <w:t xml:space="preserve">na medida em que a extensão do dano é considerada menor do </w:t>
      </w:r>
      <w:proofErr w:type="spellStart"/>
      <w:r w:rsidR="00346CD5" w:rsidRPr="000C732B">
        <w:t>que</w:t>
      </w:r>
      <w:proofErr w:type="spellEnd"/>
      <w:r w:rsidR="00346CD5" w:rsidRPr="000C732B">
        <w:t xml:space="preserve"> o </w:t>
      </w:r>
      <w:proofErr w:type="spellStart"/>
      <w:r w:rsidR="000D7185">
        <w:t>de</w:t>
      </w:r>
      <w:r w:rsidR="00346CD5" w:rsidRPr="000C732B">
        <w:t>corrido</w:t>
      </w:r>
      <w:proofErr w:type="spellEnd"/>
      <w:r w:rsidR="00346CD5" w:rsidRPr="000C732B">
        <w:t xml:space="preserve"> de </w:t>
      </w:r>
      <w:proofErr w:type="spellStart"/>
      <w:r w:rsidR="00346CD5" w:rsidRPr="000C732B">
        <w:t>determinados</w:t>
      </w:r>
      <w:proofErr w:type="spellEnd"/>
      <w:r w:rsidR="00346CD5" w:rsidRPr="000C732B">
        <w:t xml:space="preserve"> crimes</w:t>
      </w:r>
      <w:r w:rsidR="00C40CCB">
        <w:t>,</w:t>
      </w:r>
      <w:r w:rsidR="00346CD5" w:rsidRPr="000C732B">
        <w:t xml:space="preserve"> os quais a penalidade é menos elevada, </w:t>
      </w:r>
      <w:r w:rsidR="00C40CCB">
        <w:t xml:space="preserve">como o </w:t>
      </w:r>
      <w:r w:rsidR="00346CD5" w:rsidRPr="000C732B">
        <w:t xml:space="preserve">crime de </w:t>
      </w:r>
      <w:proofErr w:type="spellStart"/>
      <w:r w:rsidR="00346CD5" w:rsidRPr="000C732B">
        <w:t>homicídio</w:t>
      </w:r>
      <w:proofErr w:type="spellEnd"/>
      <w:r w:rsidR="00346CD5" w:rsidRPr="000C732B">
        <w:t xml:space="preserve"> simples</w:t>
      </w:r>
      <w:r w:rsidR="00C40CCB">
        <w:t>,</w:t>
      </w:r>
      <w:r w:rsidR="00346CD5" w:rsidRPr="000C732B">
        <w:t xml:space="preserve"> </w:t>
      </w:r>
      <w:proofErr w:type="spellStart"/>
      <w:r w:rsidR="000D7185">
        <w:t>cuja</w:t>
      </w:r>
      <w:proofErr w:type="spellEnd"/>
      <w:r w:rsidR="00346CD5" w:rsidRPr="000C732B">
        <w:t xml:space="preserve"> </w:t>
      </w:r>
      <w:proofErr w:type="spellStart"/>
      <w:r w:rsidR="00346CD5" w:rsidRPr="000C732B">
        <w:t>pena</w:t>
      </w:r>
      <w:proofErr w:type="spellEnd"/>
      <w:r w:rsidR="005448B7">
        <w:t xml:space="preserve"> </w:t>
      </w:r>
      <w:proofErr w:type="spellStart"/>
      <w:r w:rsidR="005448B7">
        <w:t>mínima</w:t>
      </w:r>
      <w:proofErr w:type="spellEnd"/>
      <w:r w:rsidR="005448B7">
        <w:t xml:space="preserve"> é de 6 anos de reclusão!</w:t>
      </w:r>
      <w:r w:rsidR="000C732B" w:rsidRPr="000C732B">
        <w:t xml:space="preserve"> A </w:t>
      </w:r>
      <w:r w:rsidR="00C40CCB">
        <w:t xml:space="preserve">sanção </w:t>
      </w:r>
      <w:r w:rsidR="000C732B" w:rsidRPr="000C732B">
        <w:t xml:space="preserve">deve guardar </w:t>
      </w:r>
      <w:r w:rsidR="009941C6">
        <w:t>“</w:t>
      </w:r>
      <w:r w:rsidR="000C732B" w:rsidRPr="000C732B">
        <w:t xml:space="preserve">proporção com o mal infligido </w:t>
      </w:r>
      <w:proofErr w:type="spellStart"/>
      <w:r w:rsidR="000C732B" w:rsidRPr="000C732B">
        <w:t>ao</w:t>
      </w:r>
      <w:proofErr w:type="spellEnd"/>
      <w:r w:rsidR="000C732B" w:rsidRPr="000C732B">
        <w:t xml:space="preserve"> </w:t>
      </w:r>
      <w:proofErr w:type="spellStart"/>
      <w:r w:rsidR="000C732B" w:rsidRPr="000C732B">
        <w:t>corpo</w:t>
      </w:r>
      <w:proofErr w:type="spellEnd"/>
      <w:r w:rsidR="000C732B" w:rsidRPr="000C732B">
        <w:t xml:space="preserve"> social</w:t>
      </w:r>
      <w:r w:rsidR="009941C6">
        <w:t>”</w:t>
      </w:r>
      <w:r w:rsidR="009941C6" w:rsidRPr="00934245">
        <w:rPr>
          <w:rStyle w:val="FootnoteReference"/>
          <w:rFonts w:eastAsia="Calibri"/>
          <w:smallCaps/>
        </w:rPr>
        <w:footnoteReference w:id="12"/>
      </w:r>
      <w:r w:rsidR="00741F4C">
        <w:t>, e “</w:t>
      </w:r>
      <w:proofErr w:type="spellStart"/>
      <w:r w:rsidR="00741F4C">
        <w:t>estar</w:t>
      </w:r>
      <w:proofErr w:type="spellEnd"/>
      <w:r w:rsidR="00741F4C">
        <w:t xml:space="preserve"> </w:t>
      </w:r>
      <w:proofErr w:type="spellStart"/>
      <w:r w:rsidR="00741F4C">
        <w:t>proporcionada</w:t>
      </w:r>
      <w:proofErr w:type="spellEnd"/>
      <w:r w:rsidR="00741F4C">
        <w:t xml:space="preserve"> ou adequada à intensidade ou magnitude da lesão ao bem jurídico representada pelo delito e a medida de segurança à periculosidade criminal do </w:t>
      </w:r>
      <w:proofErr w:type="spellStart"/>
      <w:r w:rsidR="00741F4C">
        <w:t>agente</w:t>
      </w:r>
      <w:proofErr w:type="spellEnd"/>
      <w:r w:rsidR="00741F4C">
        <w:t>”</w:t>
      </w:r>
      <w:r w:rsidR="009941C6" w:rsidRPr="009941C6">
        <w:rPr>
          <w:rStyle w:val="FootnoteReference"/>
          <w:rFonts w:eastAsia="Calibri"/>
          <w:smallCaps/>
        </w:rPr>
        <w:t xml:space="preserve"> </w:t>
      </w:r>
      <w:r w:rsidR="009941C6" w:rsidRPr="00934245">
        <w:rPr>
          <w:rStyle w:val="FootnoteReference"/>
          <w:rFonts w:eastAsia="Calibri"/>
          <w:smallCaps/>
        </w:rPr>
        <w:footnoteReference w:id="13"/>
      </w:r>
      <w:r w:rsidR="00446500">
        <w:rPr>
          <w:rStyle w:val="FootnoteReference"/>
          <w:rFonts w:eastAsia="Calibri"/>
          <w:smallCaps/>
        </w:rPr>
        <w:t>.</w:t>
      </w:r>
    </w:p>
    <w:p w:rsidR="008167D6" w:rsidRPr="0020034A" w:rsidRDefault="0020034A" w:rsidP="002003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20034A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Tal </w:t>
      </w:r>
      <w:proofErr w:type="spellStart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>princí</w:t>
      </w:r>
      <w:r w:rsidRPr="0020034A">
        <w:rPr>
          <w:rFonts w:ascii="Times New Roman" w:eastAsia="ArialMT" w:hAnsi="Times New Roman" w:cs="Times New Roman"/>
          <w:sz w:val="24"/>
          <w:szCs w:val="24"/>
          <w:lang w:val="en-US"/>
        </w:rPr>
        <w:t>pio</w:t>
      </w:r>
      <w:proofErr w:type="spellEnd"/>
      <w:r w:rsidRPr="0020034A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034A">
        <w:rPr>
          <w:rFonts w:ascii="Times New Roman" w:eastAsia="ArialMT" w:hAnsi="Times New Roman" w:cs="Times New Roman"/>
          <w:sz w:val="24"/>
          <w:szCs w:val="24"/>
          <w:lang w:val="en-US"/>
        </w:rPr>
        <w:t>deve</w:t>
      </w:r>
      <w:proofErr w:type="spellEnd"/>
      <w:r w:rsidRPr="0020034A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034A">
        <w:rPr>
          <w:rFonts w:ascii="Times New Roman" w:eastAsia="ArialMT" w:hAnsi="Times New Roman" w:cs="Times New Roman"/>
          <w:sz w:val="24"/>
          <w:szCs w:val="24"/>
          <w:lang w:val="en-US"/>
        </w:rPr>
        <w:t>funciona</w:t>
      </w:r>
      <w:r w:rsidR="000D7185">
        <w:rPr>
          <w:rFonts w:ascii="Times New Roman" w:eastAsia="ArialMT" w:hAnsi="Times New Roman" w:cs="Times New Roman"/>
          <w:sz w:val="24"/>
          <w:szCs w:val="24"/>
          <w:lang w:val="en-US"/>
        </w:rPr>
        <w:t>r</w:t>
      </w:r>
      <w:proofErr w:type="spellEnd"/>
      <w:r w:rsidRPr="0020034A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0034A">
        <w:rPr>
          <w:rFonts w:ascii="Times New Roman" w:eastAsia="ArialMT" w:hAnsi="Times New Roman" w:cs="Times New Roman"/>
          <w:sz w:val="24"/>
          <w:szCs w:val="24"/>
          <w:lang w:val="en-US"/>
        </w:rPr>
        <w:t>como</w:t>
      </w:r>
      <w:proofErr w:type="spellEnd"/>
      <w:proofErr w:type="gramEnd"/>
      <w:r w:rsidRPr="0020034A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67D6" w:rsidRPr="0020034A">
        <w:rPr>
          <w:rFonts w:ascii="Times New Roman" w:eastAsia="ArialMT" w:hAnsi="Times New Roman" w:cs="Times New Roman"/>
          <w:sz w:val="24"/>
          <w:szCs w:val="24"/>
          <w:lang w:val="en-US"/>
        </w:rPr>
        <w:t>uma</w:t>
      </w:r>
      <w:proofErr w:type="spellEnd"/>
      <w:r w:rsidR="008167D6" w:rsidRPr="0020034A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67D6" w:rsidRPr="0020034A">
        <w:rPr>
          <w:rFonts w:ascii="Times New Roman" w:eastAsia="ArialMT" w:hAnsi="Times New Roman" w:cs="Times New Roman"/>
          <w:sz w:val="24"/>
          <w:szCs w:val="24"/>
          <w:lang w:val="en-US"/>
        </w:rPr>
        <w:t>ferramenta</w:t>
      </w:r>
      <w:proofErr w:type="spellEnd"/>
      <w:r w:rsidR="008167D6" w:rsidRPr="0020034A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Pr="0020034A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juridical: </w:t>
      </w:r>
    </w:p>
    <w:p w:rsidR="0020034A" w:rsidRPr="0020034A" w:rsidRDefault="008167D6" w:rsidP="0020034A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ArialMT" w:hAnsi="Times New Roman" w:cs="Times New Roman"/>
          <w:sz w:val="20"/>
          <w:szCs w:val="20"/>
          <w:lang w:val="en-US"/>
        </w:rPr>
      </w:pPr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lastRenderedPageBreak/>
        <w:t>(...)</w:t>
      </w:r>
      <w:r w:rsidR="005448B7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5448B7">
        <w:rPr>
          <w:rFonts w:ascii="Times New Roman" w:eastAsia="ArialMT" w:hAnsi="Times New Roman" w:cs="Times New Roman"/>
          <w:sz w:val="20"/>
          <w:szCs w:val="20"/>
          <w:lang w:val="en-US"/>
        </w:rPr>
        <w:t>é</w:t>
      </w:r>
      <w:proofErr w:type="gramEnd"/>
      <w:r w:rsidR="005448B7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o </w:t>
      </w:r>
      <w:proofErr w:type="spellStart"/>
      <w:r w:rsidR="005448B7">
        <w:rPr>
          <w:rFonts w:ascii="Times New Roman" w:eastAsia="ArialMT" w:hAnsi="Times New Roman" w:cs="Times New Roman"/>
          <w:sz w:val="20"/>
          <w:szCs w:val="20"/>
          <w:lang w:val="en-US"/>
        </w:rPr>
        <w:t>princípio</w:t>
      </w:r>
      <w:proofErr w:type="spellEnd"/>
      <w:r w:rsidR="005448B7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dos </w:t>
      </w:r>
      <w:proofErr w:type="spellStart"/>
      <w:r w:rsidR="005448B7">
        <w:rPr>
          <w:rFonts w:ascii="Times New Roman" w:eastAsia="ArialMT" w:hAnsi="Times New Roman" w:cs="Times New Roman"/>
          <w:sz w:val="20"/>
          <w:szCs w:val="20"/>
          <w:lang w:val="en-US"/>
        </w:rPr>
        <w:t>princípios</w:t>
      </w:r>
      <w:proofErr w:type="spellEnd"/>
      <w:r w:rsidR="005448B7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5448B7">
        <w:rPr>
          <w:rFonts w:ascii="Times New Roman" w:eastAsia="ArialMT" w:hAnsi="Times New Roman" w:cs="Times New Roman"/>
          <w:sz w:val="20"/>
          <w:szCs w:val="20"/>
          <w:lang w:val="en-US"/>
        </w:rPr>
        <w:t>pois</w:t>
      </w:r>
      <w:proofErr w:type="spellEnd"/>
      <w:r w:rsidR="005448B7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448B7">
        <w:rPr>
          <w:rFonts w:ascii="Times New Roman" w:eastAsia="ArialMT" w:hAnsi="Times New Roman" w:cs="Times New Roman"/>
          <w:sz w:val="20"/>
          <w:szCs w:val="20"/>
          <w:lang w:val="en-US"/>
        </w:rPr>
        <w:t>somente</w:t>
      </w:r>
      <w:proofErr w:type="spellEnd"/>
      <w:r w:rsidR="005448B7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448B7">
        <w:rPr>
          <w:rFonts w:ascii="Times New Roman" w:eastAsia="ArialMT" w:hAnsi="Times New Roman" w:cs="Times New Roman"/>
          <w:sz w:val="20"/>
          <w:szCs w:val="20"/>
          <w:lang w:val="en-US"/>
        </w:rPr>
        <w:t>atravé</w:t>
      </w:r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s</w:t>
      </w:r>
      <w:proofErr w:type="spellEnd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dele </w:t>
      </w:r>
      <w:proofErr w:type="spellStart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os</w:t>
      </w:r>
      <w:proofErr w:type="spellEnd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outros </w:t>
      </w:r>
      <w:proofErr w:type="spellStart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encontram</w:t>
      </w:r>
      <w:proofErr w:type="spellEnd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a</w:t>
      </w:r>
      <w:r w:rsidR="0020034A"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448B7">
        <w:rPr>
          <w:rFonts w:ascii="Times New Roman" w:eastAsia="ArialMT" w:hAnsi="Times New Roman" w:cs="Times New Roman"/>
          <w:sz w:val="20"/>
          <w:szCs w:val="20"/>
          <w:lang w:val="en-US"/>
        </w:rPr>
        <w:t>sua</w:t>
      </w:r>
      <w:proofErr w:type="spellEnd"/>
      <w:r w:rsidR="005448B7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448B7">
        <w:rPr>
          <w:rFonts w:ascii="Times New Roman" w:eastAsia="ArialMT" w:hAnsi="Times New Roman" w:cs="Times New Roman"/>
          <w:sz w:val="20"/>
          <w:szCs w:val="20"/>
          <w:lang w:val="en-US"/>
        </w:rPr>
        <w:t>condição</w:t>
      </w:r>
      <w:proofErr w:type="spellEnd"/>
      <w:r w:rsidR="005448B7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="005448B7">
        <w:rPr>
          <w:rFonts w:ascii="Times New Roman" w:eastAsia="ArialMT" w:hAnsi="Times New Roman" w:cs="Times New Roman"/>
          <w:sz w:val="20"/>
          <w:szCs w:val="20"/>
          <w:lang w:val="en-US"/>
        </w:rPr>
        <w:t>aplicabilidade</w:t>
      </w:r>
      <w:proofErr w:type="spellEnd"/>
      <w:r w:rsidR="005448B7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e </w:t>
      </w:r>
      <w:proofErr w:type="spellStart"/>
      <w:r w:rsidR="005448B7">
        <w:rPr>
          <w:rFonts w:ascii="Times New Roman" w:eastAsia="ArialMT" w:hAnsi="Times New Roman" w:cs="Times New Roman"/>
          <w:sz w:val="20"/>
          <w:szCs w:val="20"/>
          <w:lang w:val="en-US"/>
        </w:rPr>
        <w:t>eficá</w:t>
      </w:r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cia</w:t>
      </w:r>
      <w:proofErr w:type="spellEnd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na</w:t>
      </w:r>
      <w:proofErr w:type="spellEnd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medida</w:t>
      </w:r>
      <w:proofErr w:type="spellEnd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em</w:t>
      </w:r>
      <w:proofErr w:type="spellEnd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que</w:t>
      </w:r>
      <w:proofErr w:type="spellEnd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constitui</w:t>
      </w:r>
      <w:proofErr w:type="spellEnd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unidade</w:t>
      </w:r>
      <w:proofErr w:type="spellEnd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e</w:t>
      </w:r>
      <w:r w:rsidR="0020034A"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a </w:t>
      </w:r>
      <w:proofErr w:type="spellStart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coerencia</w:t>
      </w:r>
      <w:proofErr w:type="spellEnd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da </w:t>
      </w:r>
      <w:proofErr w:type="spellStart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constituicao</w:t>
      </w:r>
      <w:proofErr w:type="spellEnd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mediante</w:t>
      </w:r>
      <w:proofErr w:type="spellEnd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exigencia</w:t>
      </w:r>
      <w:proofErr w:type="spellEnd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ponderacao</w:t>
      </w:r>
      <w:proofErr w:type="spellEnd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axiologica</w:t>
      </w:r>
      <w:proofErr w:type="spellEnd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em</w:t>
      </w:r>
      <w:proofErr w:type="spellEnd"/>
      <w:r w:rsidR="0020034A"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cada</w:t>
      </w:r>
      <w:proofErr w:type="spellEnd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caso</w:t>
      </w:r>
      <w:proofErr w:type="spellEnd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concreto</w:t>
      </w:r>
      <w:proofErr w:type="spellEnd"/>
      <w:r w:rsidR="009941C6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14"/>
      </w:r>
      <w:r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>.</w:t>
      </w:r>
      <w:r w:rsidR="0020034A" w:rsidRPr="0020034A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</w:p>
    <w:p w:rsidR="000C732B" w:rsidRPr="0020034A" w:rsidRDefault="000C732B" w:rsidP="0020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7A3" w:rsidRDefault="005448B7" w:rsidP="00B648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ArialMT" w:hAnsi="Times New Roman" w:cs="Times New Roman"/>
          <w:sz w:val="24"/>
          <w:szCs w:val="24"/>
          <w:lang w:val="en-US"/>
        </w:rPr>
        <w:t>Por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fim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, o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referido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  <w:lang w:val="en-US"/>
        </w:rPr>
        <w:t>artigo</w:t>
      </w:r>
      <w:proofErr w:type="spellEnd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>ofende</w:t>
      </w:r>
      <w:proofErr w:type="spellEnd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>princípio</w:t>
      </w:r>
      <w:proofErr w:type="spellEnd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>Presunção</w:t>
      </w:r>
      <w:proofErr w:type="spellEnd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>Inocê</w:t>
      </w:r>
      <w:r w:rsidR="00B6485C" w:rsidRPr="00B6485C">
        <w:rPr>
          <w:rFonts w:ascii="Times New Roman" w:eastAsia="ArialMT" w:hAnsi="Times New Roman" w:cs="Times New Roman"/>
          <w:sz w:val="24"/>
          <w:szCs w:val="24"/>
          <w:lang w:val="en-US"/>
        </w:rPr>
        <w:t>ncia</w:t>
      </w:r>
      <w:proofErr w:type="spellEnd"/>
      <w:r w:rsidR="00B6485C" w:rsidRPr="00B6485C">
        <w:rPr>
          <w:rFonts w:ascii="Times New Roman" w:eastAsia="ArialMT" w:hAnsi="Times New Roman" w:cs="Times New Roman"/>
          <w:sz w:val="24"/>
          <w:szCs w:val="24"/>
          <w:lang w:val="en-US"/>
        </w:rPr>
        <w:t>,</w:t>
      </w:r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>ao</w:t>
      </w:r>
      <w:proofErr w:type="spellEnd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>não</w:t>
      </w:r>
      <w:proofErr w:type="spellEnd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>permitir</w:t>
      </w:r>
      <w:proofErr w:type="spellEnd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>que</w:t>
      </w:r>
      <w:proofErr w:type="spellEnd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>ré</w:t>
      </w:r>
      <w:r w:rsidR="00B6485C" w:rsidRPr="00B6485C">
        <w:rPr>
          <w:rFonts w:ascii="Times New Roman" w:eastAsia="ArialMT" w:hAnsi="Times New Roman" w:cs="Times New Roman"/>
          <w:sz w:val="24"/>
          <w:szCs w:val="24"/>
          <w:lang w:val="en-US"/>
        </w:rPr>
        <w:t>u</w:t>
      </w:r>
      <w:proofErr w:type="spellEnd"/>
      <w:r w:rsidR="00B6485C" w:rsidRPr="00B6485C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B6485C" w:rsidRPr="00B6485C">
        <w:rPr>
          <w:rFonts w:ascii="Times New Roman" w:eastAsia="ArialMT" w:hAnsi="Times New Roman" w:cs="Times New Roman"/>
          <w:sz w:val="24"/>
          <w:szCs w:val="24"/>
          <w:lang w:val="en-US"/>
        </w:rPr>
        <w:t>defenda</w:t>
      </w:r>
      <w:proofErr w:type="spellEnd"/>
      <w:r w:rsidR="00B6485C" w:rsidRPr="00B6485C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>tornando</w:t>
      </w:r>
      <w:proofErr w:type="spellEnd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-se </w:t>
      </w:r>
      <w:proofErr w:type="spellStart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>impossível</w:t>
      </w:r>
      <w:proofErr w:type="spellEnd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>provar</w:t>
      </w:r>
      <w:proofErr w:type="spellEnd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>sua</w:t>
      </w:r>
      <w:proofErr w:type="spellEnd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485C">
        <w:rPr>
          <w:rFonts w:ascii="Times New Roman" w:eastAsia="ArialMT" w:hAnsi="Times New Roman" w:cs="Times New Roman"/>
          <w:sz w:val="24"/>
          <w:szCs w:val="24"/>
          <w:lang w:val="en-US"/>
        </w:rPr>
        <w:t>inocê</w:t>
      </w:r>
      <w:r w:rsidR="00B6485C" w:rsidRPr="00B6485C">
        <w:rPr>
          <w:rFonts w:ascii="Times New Roman" w:eastAsia="ArialMT" w:hAnsi="Times New Roman" w:cs="Times New Roman"/>
          <w:sz w:val="24"/>
          <w:szCs w:val="24"/>
          <w:lang w:val="en-US"/>
        </w:rPr>
        <w:t>ncia</w:t>
      </w:r>
      <w:proofErr w:type="spellEnd"/>
      <w:r w:rsidR="00B6485C" w:rsidRPr="00B6485C">
        <w:rPr>
          <w:rFonts w:ascii="Times New Roman" w:eastAsia="ArialMT" w:hAnsi="Times New Roman" w:cs="Times New Roman"/>
          <w:sz w:val="24"/>
          <w:szCs w:val="24"/>
          <w:lang w:val="en-US"/>
        </w:rPr>
        <w:t>.</w:t>
      </w:r>
      <w:proofErr w:type="gramEnd"/>
    </w:p>
    <w:p w:rsidR="00103D3E" w:rsidRDefault="000D7185" w:rsidP="00103D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caso em questão, é</w:t>
      </w:r>
      <w:r w:rsidR="00F36A4D">
        <w:rPr>
          <w:rFonts w:ascii="Times New Roman" w:hAnsi="Times New Roman" w:cs="Times New Roman"/>
          <w:sz w:val="24"/>
          <w:szCs w:val="24"/>
        </w:rPr>
        <w:t xml:space="preserve"> evidente </w:t>
      </w:r>
      <w:r w:rsidR="004E54EE">
        <w:rPr>
          <w:rFonts w:ascii="Times New Roman" w:hAnsi="Times New Roman" w:cs="Times New Roman"/>
          <w:sz w:val="24"/>
          <w:szCs w:val="24"/>
        </w:rPr>
        <w:t>que a sanção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4E54EE">
        <w:rPr>
          <w:rFonts w:ascii="Times New Roman" w:hAnsi="Times New Roman" w:cs="Times New Roman"/>
          <w:sz w:val="24"/>
          <w:szCs w:val="24"/>
        </w:rPr>
        <w:t xml:space="preserve"> estupro de vulnerável, de u</w:t>
      </w:r>
      <w:r>
        <w:rPr>
          <w:rFonts w:ascii="Times New Roman" w:hAnsi="Times New Roman" w:cs="Times New Roman"/>
          <w:sz w:val="24"/>
          <w:szCs w:val="24"/>
        </w:rPr>
        <w:t>ma pena muito maior se comparada</w:t>
      </w:r>
      <w:r w:rsidR="004E54EE">
        <w:rPr>
          <w:rFonts w:ascii="Times New Roman" w:hAnsi="Times New Roman" w:cs="Times New Roman"/>
          <w:sz w:val="24"/>
          <w:szCs w:val="24"/>
        </w:rPr>
        <w:t xml:space="preserve"> com a do crime de estupro</w:t>
      </w:r>
      <w:r w:rsidR="00A301C1">
        <w:rPr>
          <w:rFonts w:ascii="Times New Roman" w:hAnsi="Times New Roman" w:cs="Times New Roman"/>
          <w:sz w:val="24"/>
          <w:szCs w:val="24"/>
        </w:rPr>
        <w:t xml:space="preserve"> (entre 6 e 10 anos de reclusão)</w:t>
      </w:r>
      <w:r w:rsidR="004E54EE">
        <w:rPr>
          <w:rFonts w:ascii="Times New Roman" w:hAnsi="Times New Roman" w:cs="Times New Roman"/>
          <w:sz w:val="24"/>
          <w:szCs w:val="24"/>
        </w:rPr>
        <w:t xml:space="preserve">, é uma verdadeira incoerência. </w:t>
      </w:r>
      <w:r w:rsidR="00A301C1">
        <w:rPr>
          <w:rFonts w:ascii="Times New Roman" w:hAnsi="Times New Roman" w:cs="Times New Roman"/>
          <w:sz w:val="24"/>
          <w:szCs w:val="24"/>
        </w:rPr>
        <w:t xml:space="preserve">Enquanto Guto foi condenado a 10 anos, tendo obrigado a namorada e agido com violência,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A301C1">
        <w:rPr>
          <w:rFonts w:ascii="Times New Roman" w:hAnsi="Times New Roman" w:cs="Times New Roman"/>
          <w:sz w:val="24"/>
          <w:szCs w:val="24"/>
        </w:rPr>
        <w:t xml:space="preserve"> Dino foi aplicada pena de 15 anos. </w:t>
      </w:r>
      <w:r w:rsidR="00DB1667">
        <w:rPr>
          <w:rFonts w:ascii="Times New Roman" w:hAnsi="Times New Roman" w:cs="Times New Roman"/>
          <w:sz w:val="24"/>
          <w:szCs w:val="24"/>
        </w:rPr>
        <w:t xml:space="preserve">Além de a pena ser superior a crimes que ofendem bens jurídicos que merecem mais proteção, agrava o fato de Dino ser namorado da garota, e ter praticado tal ato com o seu total consentimento. </w:t>
      </w:r>
    </w:p>
    <w:p w:rsidR="00DD79BB" w:rsidRDefault="00103D3E" w:rsidP="00103D3E">
      <w:pPr>
        <w:spacing w:line="360" w:lineRule="auto"/>
        <w:ind w:firstLine="72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03D3E">
        <w:rPr>
          <w:rFonts w:ascii="Times New Roman" w:hAnsi="Times New Roman" w:cs="Times New Roman"/>
          <w:sz w:val="24"/>
          <w:szCs w:val="24"/>
        </w:rPr>
        <w:t xml:space="preserve">A corrente que rechaça a </w:t>
      </w:r>
      <w:r w:rsidR="00DD79BB" w:rsidRPr="00103D3E">
        <w:rPr>
          <w:rFonts w:ascii="Times New Roman" w:hAnsi="Times New Roman" w:cs="Times New Roman"/>
          <w:sz w:val="24"/>
          <w:szCs w:val="24"/>
        </w:rPr>
        <w:t xml:space="preserve">relativização da vulnerabilidade </w:t>
      </w:r>
      <w:r w:rsidRPr="00103D3E">
        <w:rPr>
          <w:rFonts w:ascii="Times New Roman" w:hAnsi="Times New Roman" w:cs="Times New Roman"/>
          <w:sz w:val="24"/>
          <w:szCs w:val="24"/>
        </w:rPr>
        <w:t xml:space="preserve">defende a </w:t>
      </w:r>
      <w:r w:rsidR="007A2677" w:rsidRPr="00103D3E">
        <w:rPr>
          <w:rStyle w:val="apple-style-span"/>
          <w:rFonts w:ascii="Times New Roman" w:hAnsi="Times New Roman" w:cs="Times New Roman"/>
          <w:sz w:val="24"/>
          <w:szCs w:val="24"/>
        </w:rPr>
        <w:t>redação do artigo</w:t>
      </w:r>
      <w:r w:rsidR="007A2677" w:rsidRPr="007A2677">
        <w:rPr>
          <w:rStyle w:val="apple-style-span"/>
          <w:rFonts w:ascii="Times New Roman" w:hAnsi="Times New Roman" w:cs="Times New Roman"/>
          <w:sz w:val="24"/>
          <w:szCs w:val="24"/>
        </w:rPr>
        <w:t xml:space="preserve"> 217-A</w:t>
      </w:r>
      <w:r w:rsidR="007A2677">
        <w:rPr>
          <w:rStyle w:val="apple-style-span"/>
          <w:rFonts w:ascii="Times New Roman" w:hAnsi="Times New Roman" w:cs="Times New Roman"/>
          <w:sz w:val="24"/>
          <w:szCs w:val="24"/>
        </w:rPr>
        <w:t>,</w:t>
      </w:r>
      <w:r w:rsidR="007A2677" w:rsidRPr="007A2677">
        <w:rPr>
          <w:rStyle w:val="apple-style-span"/>
          <w:rFonts w:ascii="Times New Roman" w:hAnsi="Times New Roman" w:cs="Times New Roman"/>
          <w:sz w:val="24"/>
          <w:szCs w:val="24"/>
        </w:rPr>
        <w:t xml:space="preserve"> caput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:</w:t>
      </w:r>
      <w:r w:rsidR="007A2677" w:rsidRPr="007A2677">
        <w:rPr>
          <w:rStyle w:val="apple-style-span"/>
          <w:rFonts w:ascii="Times New Roman" w:hAnsi="Times New Roman" w:cs="Times New Roman"/>
          <w:sz w:val="24"/>
          <w:szCs w:val="24"/>
        </w:rPr>
        <w:t xml:space="preserve"> é clara ao estabelecer como sujeito passivo qualquer pessoa menor de 14 anos, independentemente do </w:t>
      </w:r>
      <w:r w:rsidR="00C05778">
        <w:rPr>
          <w:rStyle w:val="apple-style-span"/>
          <w:rFonts w:ascii="Times New Roman" w:hAnsi="Times New Roman" w:cs="Times New Roman"/>
          <w:sz w:val="24"/>
          <w:szCs w:val="24"/>
        </w:rPr>
        <w:t xml:space="preserve">seu </w:t>
      </w:r>
      <w:r w:rsidR="007A2677" w:rsidRPr="007A2677">
        <w:rPr>
          <w:rStyle w:val="apple-style-span"/>
          <w:rFonts w:ascii="Times New Roman" w:hAnsi="Times New Roman" w:cs="Times New Roman"/>
          <w:sz w:val="24"/>
          <w:szCs w:val="24"/>
        </w:rPr>
        <w:t>consentimento ou seu “histórico de vida”.</w:t>
      </w:r>
      <w:r w:rsidR="007A2677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7A2677" w:rsidRPr="007A2677">
        <w:rPr>
          <w:rStyle w:val="apple-style-span"/>
          <w:rFonts w:ascii="Times New Roman" w:hAnsi="Times New Roman" w:cs="Times New Roman"/>
          <w:sz w:val="24"/>
          <w:szCs w:val="24"/>
        </w:rPr>
        <w:t>A</w:t>
      </w:r>
      <w:r w:rsidR="007A2677">
        <w:rPr>
          <w:rStyle w:val="apple-style-span"/>
          <w:rFonts w:ascii="Times New Roman" w:hAnsi="Times New Roman" w:cs="Times New Roman"/>
          <w:sz w:val="24"/>
          <w:szCs w:val="24"/>
        </w:rPr>
        <w:t>crescente-se que o referido tipo foi introduzido na L</w:t>
      </w:r>
      <w:r w:rsidR="007A2677" w:rsidRPr="007A2677">
        <w:rPr>
          <w:rStyle w:val="apple-style-span"/>
          <w:rFonts w:ascii="Times New Roman" w:hAnsi="Times New Roman" w:cs="Times New Roman"/>
          <w:sz w:val="24"/>
          <w:szCs w:val="24"/>
        </w:rPr>
        <w:t>ei dos Cri</w:t>
      </w:r>
      <w:bookmarkStart w:id="0" w:name="_GoBack"/>
      <w:bookmarkEnd w:id="0"/>
      <w:r w:rsidR="007A2677" w:rsidRPr="007A2677">
        <w:rPr>
          <w:rStyle w:val="apple-style-span"/>
          <w:rFonts w:ascii="Times New Roman" w:hAnsi="Times New Roman" w:cs="Times New Roman"/>
          <w:sz w:val="24"/>
          <w:szCs w:val="24"/>
        </w:rPr>
        <w:t>mes Hediondos (8.072/90), demonstra</w:t>
      </w:r>
      <w:r w:rsidR="000D7185">
        <w:rPr>
          <w:rStyle w:val="apple-style-span"/>
          <w:rFonts w:ascii="Times New Roman" w:hAnsi="Times New Roman" w:cs="Times New Roman"/>
          <w:sz w:val="24"/>
          <w:szCs w:val="24"/>
        </w:rPr>
        <w:t>ndo</w:t>
      </w:r>
      <w:r w:rsidR="007A2677" w:rsidRPr="007A2677">
        <w:rPr>
          <w:rStyle w:val="apple-style-span"/>
          <w:rFonts w:ascii="Times New Roman" w:hAnsi="Times New Roman" w:cs="Times New Roman"/>
          <w:sz w:val="24"/>
          <w:szCs w:val="24"/>
        </w:rPr>
        <w:t xml:space="preserve"> a preocupação do legislador com a gravidade da questão, uma vez que envolve adolescentes e crianças ainda em formação, e a prática de qualquer ato de natureza sexual com estes, independen</w:t>
      </w:r>
      <w:r w:rsidR="00C05778">
        <w:rPr>
          <w:rStyle w:val="apple-style-span"/>
          <w:rFonts w:ascii="Times New Roman" w:hAnsi="Times New Roman" w:cs="Times New Roman"/>
          <w:sz w:val="24"/>
          <w:szCs w:val="24"/>
        </w:rPr>
        <w:t>te de um consentimento</w:t>
      </w:r>
      <w:r w:rsidR="007A2677" w:rsidRPr="007A2677">
        <w:rPr>
          <w:rStyle w:val="apple-style-span"/>
          <w:rFonts w:ascii="Times New Roman" w:hAnsi="Times New Roman" w:cs="Times New Roman"/>
          <w:sz w:val="24"/>
          <w:szCs w:val="24"/>
        </w:rPr>
        <w:t>, causa repulsa e indignação</w:t>
      </w:r>
      <w:r w:rsidR="0076551E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</w:p>
    <w:p w:rsidR="0043572D" w:rsidRDefault="000D7185" w:rsidP="0043572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ArialMT" w:hAnsi="Times New Roman" w:cs="Times New Roman"/>
          <w:sz w:val="24"/>
          <w:szCs w:val="24"/>
          <w:lang w:val="en-US"/>
        </w:rPr>
        <w:t>Invocamos</w:t>
      </w:r>
      <w:proofErr w:type="spell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o art.</w:t>
      </w:r>
      <w:proofErr w:type="gramEnd"/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227</w:t>
      </w:r>
      <w:r w:rsidR="0043572D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da </w:t>
      </w:r>
      <w:r w:rsidR="0043572D">
        <w:rPr>
          <w:rFonts w:ascii="Times New Roman" w:eastAsia="ArialMT" w:hAnsi="Times New Roman" w:cs="Times New Roman"/>
          <w:sz w:val="24"/>
          <w:szCs w:val="24"/>
          <w:lang w:val="en-US"/>
        </w:rPr>
        <w:t>CF</w:t>
      </w:r>
      <w:r w:rsidR="0043572D" w:rsidRPr="00C33407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ArialMT" w:hAnsi="Times New Roman" w:cs="Times New Roman"/>
          <w:sz w:val="24"/>
          <w:szCs w:val="24"/>
          <w:lang w:val="en-US"/>
        </w:rPr>
        <w:t>e</w:t>
      </w:r>
      <w:r w:rsidR="0043572D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43572D">
        <w:rPr>
          <w:rFonts w:ascii="Times New Roman" w:eastAsia="ArialMT" w:hAnsi="Times New Roman" w:cs="Times New Roman"/>
          <w:sz w:val="24"/>
          <w:szCs w:val="24"/>
          <w:lang w:val="en-US"/>
        </w:rPr>
        <w:t>princípio</w:t>
      </w:r>
      <w:proofErr w:type="spellEnd"/>
      <w:r w:rsidR="0043572D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43572D">
        <w:rPr>
          <w:rFonts w:ascii="Times New Roman" w:eastAsia="ArialMT" w:hAnsi="Times New Roman" w:cs="Times New Roman"/>
          <w:sz w:val="24"/>
          <w:szCs w:val="24"/>
          <w:lang w:val="en-US"/>
        </w:rPr>
        <w:t>S</w:t>
      </w:r>
      <w:r w:rsidR="0043572D" w:rsidRPr="00C33407">
        <w:rPr>
          <w:rFonts w:ascii="Times New Roman" w:eastAsia="ArialMT" w:hAnsi="Times New Roman" w:cs="Times New Roman"/>
          <w:sz w:val="24"/>
          <w:szCs w:val="24"/>
          <w:lang w:val="en-US"/>
        </w:rPr>
        <w:t>upremacia</w:t>
      </w:r>
      <w:proofErr w:type="spellEnd"/>
      <w:r w:rsidR="0043572D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572D">
        <w:rPr>
          <w:rFonts w:ascii="Times New Roman" w:eastAsia="ArialMT" w:hAnsi="Times New Roman" w:cs="Times New Roman"/>
          <w:sz w:val="24"/>
          <w:szCs w:val="24"/>
          <w:lang w:val="en-US"/>
        </w:rPr>
        <w:t>C</w:t>
      </w:r>
      <w:r w:rsidR="0043572D" w:rsidRPr="00C33407">
        <w:rPr>
          <w:rFonts w:ascii="Times New Roman" w:eastAsia="ArialMT" w:hAnsi="Times New Roman" w:cs="Times New Roman"/>
          <w:sz w:val="24"/>
          <w:szCs w:val="24"/>
          <w:lang w:val="en-US"/>
        </w:rPr>
        <w:t>onstitu</w:t>
      </w:r>
      <w:r w:rsidR="0043572D">
        <w:rPr>
          <w:rFonts w:ascii="Times New Roman" w:eastAsia="ArialMT" w:hAnsi="Times New Roman" w:cs="Times New Roman"/>
          <w:sz w:val="24"/>
          <w:szCs w:val="24"/>
          <w:lang w:val="en-US"/>
        </w:rPr>
        <w:t>cional</w:t>
      </w:r>
      <w:proofErr w:type="spellEnd"/>
      <w:r w:rsidR="0043572D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: </w:t>
      </w:r>
    </w:p>
    <w:p w:rsidR="0043572D" w:rsidRDefault="0043572D" w:rsidP="0043572D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 w:cs="Times New Roman"/>
        </w:rPr>
      </w:pPr>
      <w:r>
        <w:rPr>
          <w:rFonts w:ascii="Times New Roman" w:eastAsia="ArialMT" w:hAnsi="Times New Roman" w:cs="Times New Roman"/>
          <w:sz w:val="20"/>
          <w:szCs w:val="20"/>
          <w:lang w:val="en-US"/>
        </w:rPr>
        <w:t>É</w:t>
      </w:r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dever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da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familia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, da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sociedade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e do Estado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assegurar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crianca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ao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adolescente</w:t>
      </w:r>
      <w:proofErr w:type="spellEnd"/>
      <w:r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e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ao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jovem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, com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absoluta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prioridade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, o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direito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vida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, a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saude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, a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alimentacao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, a</w:t>
      </w:r>
      <w:r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educacao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ao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lazer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, </w:t>
      </w:r>
      <w:r w:rsidR="00575FFD">
        <w:rPr>
          <w:rFonts w:ascii="Times New Roman" w:eastAsia="ArialMT" w:hAnsi="Times New Roman" w:cs="Times New Roman"/>
          <w:sz w:val="20"/>
          <w:szCs w:val="20"/>
          <w:lang w:val="en-US"/>
        </w:rPr>
        <w:t>(…)</w:t>
      </w:r>
      <w:proofErr w:type="spellStart"/>
      <w:r w:rsidR="00575FFD">
        <w:rPr>
          <w:rFonts w:ascii="Times New Roman" w:eastAsia="ArialMT" w:hAnsi="Times New Roman" w:cs="Times New Roman"/>
          <w:sz w:val="20"/>
          <w:szCs w:val="20"/>
          <w:lang w:val="en-US"/>
        </w:rPr>
        <w:t>além</w:t>
      </w:r>
      <w:proofErr w:type="spellEnd"/>
      <w:r w:rsidR="00575FFD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="00575FFD">
        <w:rPr>
          <w:rFonts w:ascii="Times New Roman" w:eastAsia="ArialMT" w:hAnsi="Times New Roman" w:cs="Times New Roman"/>
          <w:sz w:val="20"/>
          <w:szCs w:val="20"/>
          <w:lang w:val="en-US"/>
        </w:rPr>
        <w:t>colocá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-los a salvo de</w:t>
      </w:r>
      <w:r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75FFD">
        <w:rPr>
          <w:rFonts w:ascii="Times New Roman" w:eastAsia="ArialMT" w:hAnsi="Times New Roman" w:cs="Times New Roman"/>
          <w:sz w:val="20"/>
          <w:szCs w:val="20"/>
          <w:lang w:val="en-US"/>
        </w:rPr>
        <w:t>toda</w:t>
      </w:r>
      <w:proofErr w:type="spellEnd"/>
      <w:r w:rsidR="00575FFD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forma de </w:t>
      </w:r>
      <w:proofErr w:type="spellStart"/>
      <w:r w:rsidR="00575FFD">
        <w:rPr>
          <w:rFonts w:ascii="Times New Roman" w:eastAsia="ArialMT" w:hAnsi="Times New Roman" w:cs="Times New Roman"/>
          <w:sz w:val="20"/>
          <w:szCs w:val="20"/>
          <w:lang w:val="en-US"/>
        </w:rPr>
        <w:t>negligê</w:t>
      </w:r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ncia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discrimina</w:t>
      </w:r>
      <w:r w:rsidR="00575FFD">
        <w:rPr>
          <w:rFonts w:ascii="Times New Roman" w:eastAsia="ArialMT" w:hAnsi="Times New Roman" w:cs="Times New Roman"/>
          <w:sz w:val="20"/>
          <w:szCs w:val="20"/>
          <w:lang w:val="en-US"/>
        </w:rPr>
        <w:t>ção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explora</w:t>
      </w:r>
      <w:r w:rsidR="00575FFD">
        <w:rPr>
          <w:rFonts w:ascii="Times New Roman" w:eastAsia="ArialMT" w:hAnsi="Times New Roman" w:cs="Times New Roman"/>
          <w:sz w:val="20"/>
          <w:szCs w:val="20"/>
          <w:lang w:val="en-US"/>
        </w:rPr>
        <w:t>ção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viol</w:t>
      </w:r>
      <w:r w:rsidR="00575FFD">
        <w:rPr>
          <w:rFonts w:ascii="Times New Roman" w:eastAsia="ArialMT" w:hAnsi="Times New Roman" w:cs="Times New Roman"/>
          <w:sz w:val="20"/>
          <w:szCs w:val="20"/>
          <w:lang w:val="en-US"/>
        </w:rPr>
        <w:t>ê</w:t>
      </w:r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ncia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crueldade</w:t>
      </w:r>
      <w:proofErr w:type="spellEnd"/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e</w:t>
      </w:r>
      <w:r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75FFD">
        <w:rPr>
          <w:rFonts w:ascii="Times New Roman" w:eastAsia="ArialMT" w:hAnsi="Times New Roman" w:cs="Times New Roman"/>
          <w:sz w:val="20"/>
          <w:szCs w:val="20"/>
          <w:lang w:val="en-US"/>
        </w:rPr>
        <w:t>opressã</w:t>
      </w:r>
      <w:r w:rsidRPr="005214F5">
        <w:rPr>
          <w:rFonts w:ascii="Times New Roman" w:eastAsia="ArialMT" w:hAnsi="Times New Roman" w:cs="Times New Roman"/>
          <w:sz w:val="20"/>
          <w:szCs w:val="20"/>
          <w:lang w:val="en-US"/>
        </w:rPr>
        <w:t>o</w:t>
      </w:r>
      <w:proofErr w:type="spellEnd"/>
      <w:r w:rsidR="00446500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15"/>
      </w:r>
      <w:r>
        <w:rPr>
          <w:rFonts w:ascii="ArialMT" w:eastAsia="ArialMT" w:cs="ArialMT"/>
          <w:sz w:val="20"/>
          <w:szCs w:val="20"/>
          <w:lang w:val="en-US"/>
        </w:rPr>
        <w:t>.</w:t>
      </w:r>
    </w:p>
    <w:p w:rsidR="0043572D" w:rsidRDefault="0043572D" w:rsidP="0043572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</w:p>
    <w:p w:rsidR="00D85A7E" w:rsidRDefault="00983860" w:rsidP="000D7185">
      <w:pPr>
        <w:spacing w:line="360" w:lineRule="auto"/>
        <w:ind w:firstLine="72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No que tange à discussão </w:t>
      </w:r>
      <w:r w:rsidR="00D85A7E">
        <w:rPr>
          <w:rStyle w:val="apple-style-span"/>
          <w:rFonts w:ascii="Times New Roman" w:hAnsi="Times New Roman" w:cs="Times New Roman"/>
          <w:sz w:val="24"/>
          <w:szCs w:val="24"/>
        </w:rPr>
        <w:t xml:space="preserve">sobre a presunção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absoluta</w:t>
      </w:r>
      <w:r w:rsidR="00D85A7E">
        <w:rPr>
          <w:rStyle w:val="apple-style-span"/>
          <w:rFonts w:ascii="Times New Roman" w:hAnsi="Times New Roman" w:cs="Times New Roman"/>
          <w:sz w:val="24"/>
          <w:szCs w:val="24"/>
        </w:rPr>
        <w:t xml:space="preserve"> (</w:t>
      </w:r>
      <w:r w:rsidR="00D85A7E">
        <w:rPr>
          <w:rStyle w:val="apple-style-span"/>
          <w:rFonts w:ascii="Times New Roman" w:hAnsi="Times New Roman" w:cs="Times New Roman"/>
          <w:i/>
          <w:sz w:val="24"/>
          <w:szCs w:val="24"/>
        </w:rPr>
        <w:t xml:space="preserve">iuris et de </w:t>
      </w:r>
      <w:proofErr w:type="spellStart"/>
      <w:r w:rsidR="00D85A7E">
        <w:rPr>
          <w:rStyle w:val="apple-style-span"/>
          <w:rFonts w:ascii="Times New Roman" w:hAnsi="Times New Roman" w:cs="Times New Roman"/>
          <w:i/>
          <w:sz w:val="24"/>
          <w:szCs w:val="24"/>
        </w:rPr>
        <w:t>iure</w:t>
      </w:r>
      <w:proofErr w:type="spellEnd"/>
      <w:r w:rsidR="00D85A7E" w:rsidRPr="00D85A7E">
        <w:rPr>
          <w:rStyle w:val="apple-style-span"/>
          <w:rFonts w:ascii="Times New Roman" w:hAnsi="Times New Roman" w:cs="Times New Roman"/>
          <w:sz w:val="24"/>
          <w:szCs w:val="24"/>
        </w:rPr>
        <w:t>)</w:t>
      </w:r>
      <w:r w:rsidR="00E9380D">
        <w:rPr>
          <w:rStyle w:val="apple-style-span"/>
          <w:rFonts w:ascii="Times New Roman" w:hAnsi="Times New Roman" w:cs="Times New Roman"/>
          <w:sz w:val="24"/>
          <w:szCs w:val="24"/>
        </w:rPr>
        <w:t>, é indiscutível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que </w:t>
      </w:r>
      <w:r w:rsidRPr="00983860">
        <w:rPr>
          <w:rStyle w:val="apple-style-span"/>
          <w:rFonts w:ascii="Times New Roman" w:hAnsi="Times New Roman" w:cs="Times New Roman"/>
          <w:sz w:val="24"/>
          <w:szCs w:val="24"/>
        </w:rPr>
        <w:t>o simples fato de o indivíduo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ser menor de 14</w:t>
      </w:r>
      <w:r w:rsidRPr="00983860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fazendo referência ao caso em discussão, se constitui</w:t>
      </w:r>
      <w:r w:rsidRPr="00983860">
        <w:rPr>
          <w:rStyle w:val="apple-style-span"/>
          <w:rFonts w:ascii="Times New Roman" w:hAnsi="Times New Roman" w:cs="Times New Roman"/>
          <w:sz w:val="24"/>
          <w:szCs w:val="24"/>
        </w:rPr>
        <w:t xml:space="preserve"> fator suficiente para caracterizá-lo como sujeito passivo do crime.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N</w:t>
      </w:r>
      <w:r w:rsidRPr="00983860">
        <w:rPr>
          <w:rStyle w:val="apple-style-span"/>
          <w:rFonts w:ascii="Times New Roman" w:hAnsi="Times New Roman" w:cs="Times New Roman"/>
          <w:sz w:val="24"/>
          <w:szCs w:val="24"/>
        </w:rPr>
        <w:t>ão se abre espaço</w:t>
      </w:r>
      <w:r w:rsidR="00E9380D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r w:rsidR="00E9380D">
        <w:rPr>
          <w:rStyle w:val="apple-style-span"/>
          <w:rFonts w:ascii="Times New Roman" w:hAnsi="Times New Roman" w:cs="Times New Roman"/>
          <w:sz w:val="24"/>
          <w:szCs w:val="24"/>
        </w:rPr>
        <w:lastRenderedPageBreak/>
        <w:t>assim,</w:t>
      </w:r>
      <w:r w:rsidRPr="00983860">
        <w:rPr>
          <w:rStyle w:val="apple-style-span"/>
          <w:rFonts w:ascii="Times New Roman" w:hAnsi="Times New Roman" w:cs="Times New Roman"/>
          <w:sz w:val="24"/>
          <w:szCs w:val="24"/>
        </w:rPr>
        <w:t xml:space="preserve"> para a subjetividade da análise do caso concreto, respeitando</w:t>
      </w:r>
      <w:r w:rsidR="00E9380D">
        <w:rPr>
          <w:rStyle w:val="apple-style-span"/>
          <w:rFonts w:ascii="Times New Roman" w:hAnsi="Times New Roman" w:cs="Times New Roman"/>
          <w:sz w:val="24"/>
          <w:szCs w:val="24"/>
        </w:rPr>
        <w:t>-se</w:t>
      </w:r>
      <w:r w:rsidRPr="00983860">
        <w:rPr>
          <w:rStyle w:val="apple-style-span"/>
          <w:rFonts w:ascii="Times New Roman" w:hAnsi="Times New Roman" w:cs="Times New Roman"/>
          <w:sz w:val="24"/>
          <w:szCs w:val="24"/>
        </w:rPr>
        <w:t xml:space="preserve"> a objetividade da lei.</w:t>
      </w:r>
      <w:r w:rsidR="000D7185">
        <w:rPr>
          <w:rStyle w:val="apple-style-span"/>
          <w:rFonts w:ascii="Times New Roman" w:hAnsi="Times New Roman" w:cs="Times New Roman"/>
          <w:sz w:val="24"/>
          <w:szCs w:val="24"/>
        </w:rPr>
        <w:t xml:space="preserve"> A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m</w:t>
      </w:r>
      <w:r w:rsidRPr="00983860">
        <w:rPr>
          <w:rStyle w:val="apple-style-span"/>
          <w:rFonts w:ascii="Times New Roman" w:hAnsi="Times New Roman" w:cs="Times New Roman"/>
          <w:sz w:val="24"/>
          <w:szCs w:val="24"/>
        </w:rPr>
        <w:t xml:space="preserve">odificação trazida pela Lei 12.015/09 não faz referência ao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tipo de vida</w:t>
      </w:r>
      <w:r w:rsidRPr="0098386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575FFD">
        <w:rPr>
          <w:rStyle w:val="apple-style-span"/>
          <w:rFonts w:ascii="Times New Roman" w:hAnsi="Times New Roman" w:cs="Times New Roman"/>
          <w:sz w:val="24"/>
          <w:szCs w:val="24"/>
        </w:rPr>
        <w:t>da vítima</w:t>
      </w:r>
      <w:r w:rsidR="00843639">
        <w:rPr>
          <w:rStyle w:val="apple-style-span"/>
          <w:rFonts w:ascii="Times New Roman" w:hAnsi="Times New Roman" w:cs="Times New Roman"/>
          <w:sz w:val="24"/>
          <w:szCs w:val="24"/>
        </w:rPr>
        <w:t xml:space="preserve">: </w:t>
      </w:r>
    </w:p>
    <w:p w:rsidR="008962FA" w:rsidRDefault="00843639" w:rsidP="00FF5A19">
      <w:pPr>
        <w:spacing w:line="240" w:lineRule="auto"/>
        <w:ind w:left="4320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D85A7E">
        <w:rPr>
          <w:rStyle w:val="apple-style-span"/>
          <w:rFonts w:ascii="Times New Roman" w:hAnsi="Times New Roman" w:cs="Times New Roman"/>
          <w:sz w:val="20"/>
          <w:szCs w:val="20"/>
        </w:rPr>
        <w:t xml:space="preserve">configura o delito </w:t>
      </w:r>
      <w:r w:rsidR="00C05778">
        <w:rPr>
          <w:rStyle w:val="apple-style-span"/>
          <w:rFonts w:ascii="Times New Roman" w:hAnsi="Times New Roman" w:cs="Times New Roman"/>
          <w:sz w:val="20"/>
          <w:szCs w:val="20"/>
        </w:rPr>
        <w:t xml:space="preserve">(...) </w:t>
      </w:r>
      <w:r w:rsidRPr="00D85A7E">
        <w:rPr>
          <w:rStyle w:val="apple-style-span"/>
          <w:rFonts w:ascii="Times New Roman" w:hAnsi="Times New Roman" w:cs="Times New Roman"/>
          <w:sz w:val="20"/>
          <w:szCs w:val="20"/>
        </w:rPr>
        <w:t xml:space="preserve">ainda que </w:t>
      </w:r>
      <w:r w:rsidR="000B2E64" w:rsidRPr="00D85A7E">
        <w:rPr>
          <w:rStyle w:val="apple-style-span"/>
          <w:rFonts w:ascii="Times New Roman" w:hAnsi="Times New Roman" w:cs="Times New Roman"/>
          <w:sz w:val="20"/>
          <w:szCs w:val="20"/>
        </w:rPr>
        <w:t xml:space="preserve">a vítima não tenha consentido no ato, pois a lei ao adotar o critério cronológico acaba por presumir </w:t>
      </w:r>
      <w:r w:rsidR="000B2E64" w:rsidRPr="00D85A7E">
        <w:rPr>
          <w:rStyle w:val="apple-style-span"/>
          <w:rFonts w:ascii="Times New Roman" w:hAnsi="Times New Roman" w:cs="Times New Roman"/>
          <w:i/>
          <w:sz w:val="20"/>
          <w:szCs w:val="20"/>
        </w:rPr>
        <w:t xml:space="preserve">iuris et de </w:t>
      </w:r>
      <w:proofErr w:type="spellStart"/>
      <w:r w:rsidR="000B2E64" w:rsidRPr="00D85A7E">
        <w:rPr>
          <w:rStyle w:val="apple-style-span"/>
          <w:rFonts w:ascii="Times New Roman" w:hAnsi="Times New Roman" w:cs="Times New Roman"/>
          <w:i/>
          <w:sz w:val="20"/>
          <w:szCs w:val="20"/>
        </w:rPr>
        <w:t>iure</w:t>
      </w:r>
      <w:proofErr w:type="spellEnd"/>
      <w:r w:rsidR="00D85A7E" w:rsidRPr="00D85A7E">
        <w:rPr>
          <w:rStyle w:val="apple-style-span"/>
          <w:rFonts w:ascii="Times New Roman" w:hAnsi="Times New Roman" w:cs="Times New Roman"/>
          <w:i/>
          <w:sz w:val="20"/>
          <w:szCs w:val="20"/>
        </w:rPr>
        <w:t>,</w:t>
      </w:r>
      <w:r w:rsidR="00D85A7E" w:rsidRPr="00D85A7E">
        <w:rPr>
          <w:rStyle w:val="apple-style-span"/>
          <w:rFonts w:ascii="Times New Roman" w:hAnsi="Times New Roman" w:cs="Times New Roman"/>
          <w:sz w:val="20"/>
          <w:szCs w:val="20"/>
        </w:rPr>
        <w:t xml:space="preserve"> pela razão biológica da idade, que o menor carece de capacidade de discernimento para compreender o significado do ato sexual</w:t>
      </w:r>
      <w:r w:rsidR="00446500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16"/>
      </w:r>
      <w:r w:rsidR="00D85A7E" w:rsidRPr="00D85A7E">
        <w:rPr>
          <w:rStyle w:val="apple-style-span"/>
          <w:rFonts w:ascii="Times New Roman" w:hAnsi="Times New Roman" w:cs="Times New Roman"/>
          <w:sz w:val="20"/>
          <w:szCs w:val="20"/>
        </w:rPr>
        <w:t xml:space="preserve">. </w:t>
      </w:r>
    </w:p>
    <w:p w:rsidR="00A14FE1" w:rsidRDefault="00B4786F" w:rsidP="00B478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Busca-se</w:t>
      </w:r>
      <w:r w:rsidR="004465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segurança jurídica, respeitando-se o princípio da </w:t>
      </w:r>
      <w:r w:rsidR="00B17140">
        <w:rPr>
          <w:rFonts w:ascii="Times New Roman" w:hAnsi="Times New Roman" w:cs="Times New Roman"/>
          <w:sz w:val="24"/>
          <w:szCs w:val="24"/>
        </w:rPr>
        <w:t>Taxatividade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140">
        <w:rPr>
          <w:rFonts w:ascii="Times New Roman" w:hAnsi="Times New Roman" w:cs="Times New Roman"/>
          <w:sz w:val="24"/>
          <w:szCs w:val="24"/>
        </w:rPr>
        <w:t xml:space="preserve">Legalidade - </w:t>
      </w:r>
      <w:r>
        <w:rPr>
          <w:rFonts w:ascii="Times New Roman" w:hAnsi="Times New Roman" w:cs="Times New Roman"/>
          <w:sz w:val="24"/>
          <w:szCs w:val="24"/>
        </w:rPr>
        <w:t>que estabelece as margens penais às quais está vinculado o julgador. “Deve ele interpretar e aplicar a norma penal incriminadora nos limites estritos em que foi formulada, para satisfazer a exigência da garantia, evitando-se eventual abuso judicial</w:t>
      </w:r>
      <w:r w:rsidR="00FE504C">
        <w:rPr>
          <w:rFonts w:ascii="Times New Roman" w:hAnsi="Times New Roman" w:cs="Times New Roman"/>
          <w:sz w:val="24"/>
          <w:szCs w:val="24"/>
        </w:rPr>
        <w:t>”</w:t>
      </w:r>
      <w:r w:rsidR="00446500" w:rsidRPr="00446500">
        <w:rPr>
          <w:rStyle w:val="FootnoteReference"/>
          <w:rFonts w:ascii="Times New Roman" w:eastAsia="Calibri" w:hAnsi="Times New Roman" w:cs="Times New Roman"/>
          <w:smallCaps/>
        </w:rPr>
        <w:t xml:space="preserve"> </w:t>
      </w:r>
      <w:r w:rsidR="00446500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17"/>
      </w:r>
      <w:r w:rsidR="00C05778">
        <w:rPr>
          <w:rFonts w:ascii="Times New Roman" w:hAnsi="Times New Roman" w:cs="Times New Roman"/>
          <w:sz w:val="24"/>
          <w:szCs w:val="24"/>
        </w:rPr>
        <w:t>.</w:t>
      </w:r>
      <w:r w:rsidR="00446500">
        <w:rPr>
          <w:rFonts w:ascii="Times New Roman" w:hAnsi="Times New Roman" w:cs="Times New Roman"/>
          <w:sz w:val="24"/>
          <w:szCs w:val="24"/>
        </w:rPr>
        <w:t xml:space="preserve"> </w:t>
      </w:r>
      <w:r w:rsidR="00575FFD">
        <w:rPr>
          <w:rFonts w:ascii="Times New Roman" w:hAnsi="Times New Roman" w:cs="Times New Roman"/>
          <w:sz w:val="24"/>
          <w:szCs w:val="24"/>
        </w:rPr>
        <w:t>A</w:t>
      </w:r>
      <w:r w:rsidR="00A301C1">
        <w:rPr>
          <w:rFonts w:ascii="Times New Roman" w:hAnsi="Times New Roman" w:cs="Times New Roman"/>
          <w:sz w:val="24"/>
          <w:szCs w:val="24"/>
        </w:rPr>
        <w:t xml:space="preserve">inda que a pena cominada ao art. 217 seja </w:t>
      </w:r>
      <w:r w:rsidR="0003458B">
        <w:rPr>
          <w:rFonts w:ascii="Times New Roman" w:hAnsi="Times New Roman" w:cs="Times New Roman"/>
          <w:sz w:val="24"/>
          <w:szCs w:val="24"/>
        </w:rPr>
        <w:t>maior que a do art. 213, resta ao julgador respeitar a legislação prevista no Direito Penal. Guto obrigou a namorada a manter relação sexual</w:t>
      </w:r>
      <w:r w:rsidR="00A14FE1">
        <w:rPr>
          <w:rFonts w:ascii="Times New Roman" w:hAnsi="Times New Roman" w:cs="Times New Roman"/>
          <w:sz w:val="24"/>
          <w:szCs w:val="24"/>
        </w:rPr>
        <w:t xml:space="preserve"> e agiu com violência, mas se trata de uma mulher de 22 anos. Por outro lado, no caso de Dino, não se pode fechar os olhos para o fato de sua namorada ser menor de 14 anos, sujeito cujos direitos devem ser invariavelmente gara</w:t>
      </w:r>
      <w:r w:rsidR="00575FFD">
        <w:rPr>
          <w:rFonts w:ascii="Times New Roman" w:hAnsi="Times New Roman" w:cs="Times New Roman"/>
          <w:sz w:val="24"/>
          <w:szCs w:val="24"/>
        </w:rPr>
        <w:t>ntidos pelo ordenamento jurídico.</w:t>
      </w:r>
    </w:p>
    <w:p w:rsidR="00BB70D9" w:rsidRDefault="00BB70D9" w:rsidP="00B4786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FE1" w:rsidRPr="00A14FE1" w:rsidRDefault="00A14FE1" w:rsidP="00B022B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FE1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312727" w:rsidRPr="00B022BA" w:rsidRDefault="00312727" w:rsidP="00B022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22BA">
        <w:rPr>
          <w:rFonts w:ascii="Times New Roman" w:eastAsia="Times New Roman" w:hAnsi="Times New Roman" w:cs="Times New Roman"/>
          <w:sz w:val="24"/>
          <w:szCs w:val="24"/>
          <w:lang w:val="en-US"/>
        </w:rPr>
        <w:t>BARROS</w:t>
      </w:r>
      <w:r w:rsidRPr="00B022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Francisco </w:t>
      </w:r>
      <w:proofErr w:type="spellStart"/>
      <w:r w:rsidRPr="00B022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Dirceu</w:t>
      </w:r>
      <w:proofErr w:type="spellEnd"/>
      <w:r w:rsidRPr="00B022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B022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Vulnerabilidade</w:t>
      </w:r>
      <w:proofErr w:type="spellEnd"/>
      <w:r w:rsidRPr="00B022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022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nos</w:t>
      </w:r>
      <w:proofErr w:type="spellEnd"/>
      <w:r w:rsidRPr="00B022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022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Novos</w:t>
      </w:r>
      <w:proofErr w:type="spellEnd"/>
      <w:r w:rsidRPr="00B022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022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Delitos</w:t>
      </w:r>
      <w:proofErr w:type="spellEnd"/>
      <w:r w:rsidRPr="00B022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022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Sexuais</w:t>
      </w:r>
      <w:proofErr w:type="spellEnd"/>
      <w:r w:rsidRPr="00B022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3E0955" w:rsidRPr="00B022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Jornal</w:t>
      </w:r>
      <w:proofErr w:type="spellEnd"/>
      <w:r w:rsidR="003E0955" w:rsidRPr="00B022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022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Carta</w:t>
      </w:r>
      <w:proofErr w:type="spellEnd"/>
      <w:r w:rsidRPr="00B022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022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Forense</w:t>
      </w:r>
      <w:proofErr w:type="spellEnd"/>
      <w:r w:rsidRPr="00B022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="003E0955" w:rsidRPr="00B022BA">
        <w:rPr>
          <w:rFonts w:ascii="Times New Roman" w:hAnsi="Times New Roman" w:cs="Times New Roman"/>
          <w:sz w:val="24"/>
          <w:szCs w:val="24"/>
        </w:rPr>
        <w:t xml:space="preserve"> Disponível em: </w:t>
      </w:r>
      <w:r w:rsidR="003E0955" w:rsidRPr="00B022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˂http://www.cartaforense.com.br/Materia.aspx?id=5314˃. </w:t>
      </w:r>
      <w:proofErr w:type="spellStart"/>
      <w:r w:rsidR="003E0955" w:rsidRPr="00B022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Acesso</w:t>
      </w:r>
      <w:proofErr w:type="spellEnd"/>
      <w:r w:rsidR="003E0955" w:rsidRPr="00B022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E0955" w:rsidRPr="00B022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em</w:t>
      </w:r>
      <w:proofErr w:type="spellEnd"/>
      <w:r w:rsidR="003E0955" w:rsidRPr="00B022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25 set. 2011.</w:t>
      </w:r>
    </w:p>
    <w:p w:rsidR="00312727" w:rsidRDefault="00312727" w:rsidP="004666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CD5" w:rsidRPr="0046661A" w:rsidRDefault="00346CD5" w:rsidP="0046661A">
      <w:pPr>
        <w:spacing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46661A">
        <w:rPr>
          <w:rStyle w:val="apple-style-span"/>
          <w:rFonts w:ascii="Times New Roman" w:hAnsi="Times New Roman" w:cs="Times New Roman"/>
          <w:sz w:val="24"/>
          <w:szCs w:val="24"/>
        </w:rPr>
        <w:t xml:space="preserve">CAPEZ, Fernando. </w:t>
      </w:r>
      <w:r w:rsidR="00575FFD" w:rsidRPr="0046661A">
        <w:rPr>
          <w:rStyle w:val="apple-style-span"/>
          <w:rFonts w:ascii="Times New Roman" w:hAnsi="Times New Roman" w:cs="Times New Roman"/>
          <w:b/>
          <w:sz w:val="24"/>
          <w:szCs w:val="24"/>
        </w:rPr>
        <w:t>Curso de Direito Penal -</w:t>
      </w:r>
      <w:r w:rsidRPr="0046661A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 Parte especial</w:t>
      </w:r>
      <w:r w:rsidRPr="0046661A">
        <w:rPr>
          <w:rStyle w:val="apple-style-span"/>
          <w:rFonts w:ascii="Times New Roman" w:hAnsi="Times New Roman" w:cs="Times New Roman"/>
          <w:sz w:val="24"/>
          <w:szCs w:val="24"/>
        </w:rPr>
        <w:t>. Vol. 3. São Paulo: Saraiva, 2008.</w:t>
      </w:r>
    </w:p>
    <w:p w:rsidR="008167D6" w:rsidRDefault="008167D6" w:rsidP="0046661A">
      <w:pPr>
        <w:spacing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46661A" w:rsidRPr="0046661A" w:rsidRDefault="0046661A" w:rsidP="004666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661A">
        <w:rPr>
          <w:rFonts w:ascii="Times New Roman" w:hAnsi="Times New Roman" w:cs="Times New Roman"/>
          <w:sz w:val="24"/>
          <w:szCs w:val="24"/>
        </w:rPr>
        <w:t xml:space="preserve">GRECO, Rogério. </w:t>
      </w:r>
      <w:r w:rsidRPr="0046661A">
        <w:rPr>
          <w:rFonts w:ascii="Times New Roman" w:hAnsi="Times New Roman" w:cs="Times New Roman"/>
          <w:b/>
          <w:sz w:val="24"/>
          <w:szCs w:val="24"/>
        </w:rPr>
        <w:t>Curs</w:t>
      </w:r>
      <w:r w:rsidR="000E7435">
        <w:rPr>
          <w:rFonts w:ascii="Times New Roman" w:hAnsi="Times New Roman" w:cs="Times New Roman"/>
          <w:b/>
          <w:sz w:val="24"/>
          <w:szCs w:val="24"/>
        </w:rPr>
        <w:t>o de Direito Penal – Parte Especial</w:t>
      </w:r>
      <w:r w:rsidRPr="0046661A">
        <w:rPr>
          <w:rFonts w:ascii="Times New Roman" w:hAnsi="Times New Roman" w:cs="Times New Roman"/>
          <w:b/>
          <w:sz w:val="24"/>
          <w:szCs w:val="24"/>
        </w:rPr>
        <w:t>.</w:t>
      </w:r>
      <w:r w:rsidR="000E7435">
        <w:rPr>
          <w:rFonts w:ascii="Times New Roman" w:hAnsi="Times New Roman" w:cs="Times New Roman"/>
          <w:sz w:val="24"/>
          <w:szCs w:val="24"/>
        </w:rPr>
        <w:t xml:space="preserve"> Vol. 3</w:t>
      </w:r>
      <w:r w:rsidRPr="0046661A">
        <w:rPr>
          <w:rFonts w:ascii="Times New Roman" w:hAnsi="Times New Roman" w:cs="Times New Roman"/>
          <w:sz w:val="24"/>
          <w:szCs w:val="24"/>
        </w:rPr>
        <w:t xml:space="preserve">. 3 ed. Editora </w:t>
      </w:r>
      <w:proofErr w:type="spellStart"/>
      <w:r w:rsidRPr="0046661A">
        <w:rPr>
          <w:rFonts w:ascii="Times New Roman" w:hAnsi="Times New Roman" w:cs="Times New Roman"/>
          <w:sz w:val="24"/>
          <w:szCs w:val="24"/>
        </w:rPr>
        <w:t>Impetus</w:t>
      </w:r>
      <w:proofErr w:type="spellEnd"/>
      <w:r w:rsidRPr="0046661A">
        <w:rPr>
          <w:rFonts w:ascii="Times New Roman" w:hAnsi="Times New Roman" w:cs="Times New Roman"/>
          <w:sz w:val="24"/>
          <w:szCs w:val="24"/>
        </w:rPr>
        <w:t>. Rio de Jan</w:t>
      </w:r>
      <w:r w:rsidR="000E7435">
        <w:rPr>
          <w:rFonts w:ascii="Times New Roman" w:hAnsi="Times New Roman" w:cs="Times New Roman"/>
          <w:sz w:val="24"/>
          <w:szCs w:val="24"/>
        </w:rPr>
        <w:t>eiro, 2011</w:t>
      </w:r>
      <w:r w:rsidRPr="004666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661A" w:rsidRDefault="0046661A" w:rsidP="0046661A">
      <w:pPr>
        <w:spacing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B961F7" w:rsidRPr="0046661A" w:rsidRDefault="00B961F7" w:rsidP="00B961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661A">
        <w:rPr>
          <w:rFonts w:ascii="Times New Roman" w:hAnsi="Times New Roman" w:cs="Times New Roman"/>
          <w:sz w:val="24"/>
          <w:szCs w:val="24"/>
        </w:rPr>
        <w:t xml:space="preserve">GRECO, Rogério. </w:t>
      </w:r>
      <w:r w:rsidRPr="0046661A">
        <w:rPr>
          <w:rFonts w:ascii="Times New Roman" w:hAnsi="Times New Roman" w:cs="Times New Roman"/>
          <w:b/>
          <w:sz w:val="24"/>
          <w:szCs w:val="24"/>
        </w:rPr>
        <w:t>Curs</w:t>
      </w:r>
      <w:r>
        <w:rPr>
          <w:rFonts w:ascii="Times New Roman" w:hAnsi="Times New Roman" w:cs="Times New Roman"/>
          <w:b/>
          <w:sz w:val="24"/>
          <w:szCs w:val="24"/>
        </w:rPr>
        <w:t>o de Direito Penal – Parte Geral</w:t>
      </w:r>
      <w:r w:rsidRPr="004666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Vol. 1</w:t>
      </w:r>
      <w:r w:rsidRPr="0046661A">
        <w:rPr>
          <w:rFonts w:ascii="Times New Roman" w:hAnsi="Times New Roman" w:cs="Times New Roman"/>
          <w:sz w:val="24"/>
          <w:szCs w:val="24"/>
        </w:rPr>
        <w:t xml:space="preserve">. 3 ed. Editora </w:t>
      </w:r>
      <w:proofErr w:type="spellStart"/>
      <w:r w:rsidRPr="0046661A">
        <w:rPr>
          <w:rFonts w:ascii="Times New Roman" w:hAnsi="Times New Roman" w:cs="Times New Roman"/>
          <w:sz w:val="24"/>
          <w:szCs w:val="24"/>
        </w:rPr>
        <w:t>Impetus</w:t>
      </w:r>
      <w:proofErr w:type="spellEnd"/>
      <w:r w:rsidRPr="0046661A">
        <w:rPr>
          <w:rFonts w:ascii="Times New Roman" w:hAnsi="Times New Roman" w:cs="Times New Roman"/>
          <w:sz w:val="24"/>
          <w:szCs w:val="24"/>
        </w:rPr>
        <w:t>. Rio de Jan</w:t>
      </w:r>
      <w:r>
        <w:rPr>
          <w:rFonts w:ascii="Times New Roman" w:hAnsi="Times New Roman" w:cs="Times New Roman"/>
          <w:sz w:val="24"/>
          <w:szCs w:val="24"/>
        </w:rPr>
        <w:t>eiro, 2009</w:t>
      </w:r>
      <w:r w:rsidRPr="004666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61F7" w:rsidRDefault="00B961F7" w:rsidP="00466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</w:p>
    <w:p w:rsidR="008167D6" w:rsidRPr="0046661A" w:rsidRDefault="008A078A" w:rsidP="00466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  <w:r w:rsidRPr="0046661A">
        <w:rPr>
          <w:rFonts w:ascii="Times New Roman" w:eastAsia="ArialMT" w:hAnsi="Times New Roman" w:cs="Times New Roman"/>
          <w:sz w:val="24"/>
          <w:szCs w:val="24"/>
          <w:lang w:val="en-US"/>
        </w:rPr>
        <w:t>MAGALHÃ</w:t>
      </w:r>
      <w:r w:rsidR="008167D6" w:rsidRPr="0046661A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ES FILHO, </w:t>
      </w:r>
      <w:proofErr w:type="spellStart"/>
      <w:r w:rsidR="008167D6" w:rsidRPr="0046661A">
        <w:rPr>
          <w:rFonts w:ascii="Times New Roman" w:eastAsia="ArialMT" w:hAnsi="Times New Roman" w:cs="Times New Roman"/>
          <w:sz w:val="24"/>
          <w:szCs w:val="24"/>
          <w:lang w:val="en-US"/>
        </w:rPr>
        <w:t>Glauco</w:t>
      </w:r>
      <w:proofErr w:type="spellEnd"/>
      <w:r w:rsidR="008167D6" w:rsidRPr="0046661A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67D6" w:rsidRPr="0046661A">
        <w:rPr>
          <w:rFonts w:ascii="Times New Roman" w:eastAsia="ArialMT" w:hAnsi="Times New Roman" w:cs="Times New Roman"/>
          <w:sz w:val="24"/>
          <w:szCs w:val="24"/>
          <w:lang w:val="en-US"/>
        </w:rPr>
        <w:t>Barreira</w:t>
      </w:r>
      <w:proofErr w:type="spellEnd"/>
      <w:r w:rsidR="008167D6" w:rsidRPr="0046661A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8167D6" w:rsidRPr="0046661A">
        <w:rPr>
          <w:rFonts w:ascii="Times New Roman" w:eastAsia="ArialMT" w:hAnsi="Times New Roman" w:cs="Times New Roman"/>
          <w:b/>
          <w:bCs/>
          <w:sz w:val="24"/>
          <w:szCs w:val="24"/>
          <w:lang w:val="en-US"/>
        </w:rPr>
        <w:t>Hermenêutica</w:t>
      </w:r>
      <w:proofErr w:type="spellEnd"/>
      <w:r w:rsidR="008167D6" w:rsidRPr="0046661A">
        <w:rPr>
          <w:rFonts w:ascii="Times New Roman" w:eastAsia="ArialMT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="008167D6" w:rsidRPr="0046661A">
        <w:rPr>
          <w:rFonts w:ascii="Times New Roman" w:eastAsia="ArialMT" w:hAnsi="Times New Roman" w:cs="Times New Roman"/>
          <w:b/>
          <w:bCs/>
          <w:sz w:val="24"/>
          <w:szCs w:val="24"/>
          <w:lang w:val="en-US"/>
        </w:rPr>
        <w:t>Unidade</w:t>
      </w:r>
      <w:proofErr w:type="spellEnd"/>
      <w:r w:rsidR="008167D6" w:rsidRPr="0046661A">
        <w:rPr>
          <w:rFonts w:ascii="Times New Roman" w:eastAsia="ArialMT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167D6" w:rsidRPr="0046661A">
        <w:rPr>
          <w:rFonts w:ascii="Times New Roman" w:eastAsia="ArialMT" w:hAnsi="Times New Roman" w:cs="Times New Roman"/>
          <w:b/>
          <w:bCs/>
          <w:sz w:val="24"/>
          <w:szCs w:val="24"/>
          <w:lang w:val="en-US"/>
        </w:rPr>
        <w:t>Axiológica</w:t>
      </w:r>
      <w:proofErr w:type="spellEnd"/>
      <w:r w:rsidRPr="0046661A">
        <w:rPr>
          <w:rFonts w:ascii="Times New Roman" w:eastAsia="ArialMT" w:hAnsi="Times New Roman" w:cs="Times New Roman"/>
          <w:b/>
          <w:bCs/>
          <w:sz w:val="24"/>
          <w:szCs w:val="24"/>
          <w:lang w:val="en-US"/>
        </w:rPr>
        <w:t xml:space="preserve"> </w:t>
      </w:r>
      <w:r w:rsidR="008167D6" w:rsidRPr="0046661A">
        <w:rPr>
          <w:rFonts w:ascii="Times New Roman" w:eastAsia="ArialMT" w:hAnsi="Times New Roman" w:cs="Times New Roman"/>
          <w:b/>
          <w:bCs/>
          <w:sz w:val="24"/>
          <w:szCs w:val="24"/>
          <w:lang w:val="en-US"/>
        </w:rPr>
        <w:t xml:space="preserve">da </w:t>
      </w:r>
      <w:proofErr w:type="spellStart"/>
      <w:r w:rsidR="008167D6" w:rsidRPr="0046661A">
        <w:rPr>
          <w:rFonts w:ascii="Times New Roman" w:eastAsia="ArialMT" w:hAnsi="Times New Roman" w:cs="Times New Roman"/>
          <w:b/>
          <w:bCs/>
          <w:sz w:val="24"/>
          <w:szCs w:val="24"/>
          <w:lang w:val="en-US"/>
        </w:rPr>
        <w:t>Constituição</w:t>
      </w:r>
      <w:proofErr w:type="spellEnd"/>
      <w:r w:rsidRPr="0046661A">
        <w:rPr>
          <w:rFonts w:ascii="Times New Roman" w:eastAsia="ArialMT" w:hAnsi="Times New Roman" w:cs="Times New Roman"/>
          <w:b/>
          <w:bCs/>
          <w:sz w:val="24"/>
          <w:szCs w:val="24"/>
          <w:lang w:val="en-US"/>
        </w:rPr>
        <w:t>.</w:t>
      </w:r>
      <w:proofErr w:type="gramEnd"/>
      <w:r w:rsidRPr="0046661A">
        <w:rPr>
          <w:rFonts w:ascii="Times New Roman" w:eastAsia="ArialMT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46661A">
        <w:rPr>
          <w:rFonts w:ascii="Times New Roman" w:eastAsia="ArialMT" w:hAnsi="Times New Roman" w:cs="Times New Roman"/>
          <w:bCs/>
          <w:sz w:val="24"/>
          <w:szCs w:val="24"/>
          <w:lang w:val="en-US"/>
        </w:rPr>
        <w:t>3 ed.</w:t>
      </w:r>
      <w:r w:rsidR="008167D6" w:rsidRPr="0046661A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661A">
        <w:rPr>
          <w:rFonts w:ascii="Times New Roman" w:eastAsia="ArialMT" w:hAnsi="Times New Roman" w:cs="Times New Roman"/>
          <w:sz w:val="24"/>
          <w:szCs w:val="24"/>
          <w:lang w:val="en-US"/>
        </w:rPr>
        <w:t>Editora</w:t>
      </w:r>
      <w:proofErr w:type="spellEnd"/>
      <w:r w:rsidRPr="0046661A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661A">
        <w:rPr>
          <w:rFonts w:ascii="Times New Roman" w:eastAsia="ArialMT" w:hAnsi="Times New Roman" w:cs="Times New Roman"/>
          <w:sz w:val="24"/>
          <w:szCs w:val="24"/>
          <w:lang w:val="en-US"/>
        </w:rPr>
        <w:t>Mandamentos</w:t>
      </w:r>
      <w:proofErr w:type="spellEnd"/>
      <w:r w:rsidRPr="0046661A">
        <w:rPr>
          <w:rFonts w:ascii="Times New Roman" w:eastAsia="ArialMT" w:hAnsi="Times New Roman" w:cs="Times New Roman"/>
          <w:sz w:val="24"/>
          <w:szCs w:val="24"/>
          <w:lang w:val="en-US"/>
        </w:rPr>
        <w:t>.</w:t>
      </w:r>
      <w:proofErr w:type="gramEnd"/>
      <w:r w:rsidRPr="0046661A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167D6" w:rsidRPr="0046661A">
        <w:rPr>
          <w:rFonts w:ascii="Times New Roman" w:eastAsia="ArialMT" w:hAnsi="Times New Roman" w:cs="Times New Roman"/>
          <w:sz w:val="24"/>
          <w:szCs w:val="24"/>
          <w:lang w:val="en-US"/>
        </w:rPr>
        <w:t>Belo Horizonte</w:t>
      </w:r>
      <w:r w:rsidRPr="0046661A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, </w:t>
      </w:r>
      <w:r w:rsidR="008167D6" w:rsidRPr="0046661A">
        <w:rPr>
          <w:rFonts w:ascii="Times New Roman" w:eastAsia="ArialMT" w:hAnsi="Times New Roman" w:cs="Times New Roman"/>
          <w:sz w:val="24"/>
          <w:szCs w:val="24"/>
          <w:lang w:val="en-US"/>
        </w:rPr>
        <w:t>2004.</w:t>
      </w:r>
      <w:proofErr w:type="gramEnd"/>
    </w:p>
    <w:p w:rsidR="00741F4C" w:rsidRDefault="00741F4C" w:rsidP="0046661A">
      <w:pPr>
        <w:spacing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</w:p>
    <w:p w:rsidR="0046661A" w:rsidRPr="0046661A" w:rsidRDefault="0046661A" w:rsidP="0046661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661A">
        <w:rPr>
          <w:rFonts w:ascii="Times New Roman" w:eastAsia="Times New Roman" w:hAnsi="Times New Roman" w:cs="Times New Roman"/>
          <w:sz w:val="24"/>
          <w:szCs w:val="24"/>
          <w:lang w:val="en-US"/>
        </w:rPr>
        <w:t>MAGALHÃES, Eduardo Noronha.</w:t>
      </w:r>
      <w:r w:rsidRPr="004666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666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Direito</w:t>
      </w:r>
      <w:proofErr w:type="spellEnd"/>
      <w:r w:rsidRPr="004666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Penal. </w:t>
      </w:r>
      <w:r w:rsidRPr="004666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27ed. São Paulo: </w:t>
      </w:r>
      <w:proofErr w:type="spellStart"/>
      <w:r w:rsidRPr="0046661A">
        <w:rPr>
          <w:rFonts w:ascii="Times New Roman" w:eastAsia="Times New Roman" w:hAnsi="Times New Roman" w:cs="Times New Roman"/>
          <w:sz w:val="24"/>
          <w:szCs w:val="24"/>
          <w:lang w:val="en-US"/>
        </w:rPr>
        <w:t>Saraiva</w:t>
      </w:r>
      <w:proofErr w:type="spellEnd"/>
      <w:r w:rsidRPr="004666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2007, v.3, p. 224.</w:t>
      </w:r>
    </w:p>
    <w:p w:rsidR="0046661A" w:rsidRPr="0046661A" w:rsidRDefault="0046661A" w:rsidP="0046661A">
      <w:pPr>
        <w:spacing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en-US"/>
        </w:rPr>
      </w:pPr>
    </w:p>
    <w:p w:rsidR="00741F4C" w:rsidRPr="0046661A" w:rsidRDefault="00741F4C" w:rsidP="0046661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661A">
        <w:rPr>
          <w:rFonts w:ascii="Times New Roman" w:hAnsi="Times New Roman" w:cs="Times New Roman"/>
          <w:iCs/>
          <w:sz w:val="24"/>
          <w:szCs w:val="24"/>
        </w:rPr>
        <w:t xml:space="preserve">PRADO, Luís Regis. </w:t>
      </w:r>
      <w:r w:rsidRPr="0046661A">
        <w:rPr>
          <w:rFonts w:ascii="Times New Roman" w:hAnsi="Times New Roman" w:cs="Times New Roman"/>
          <w:b/>
          <w:iCs/>
          <w:sz w:val="24"/>
          <w:szCs w:val="24"/>
        </w:rPr>
        <w:t>Curso de Direito Penal Brasileiro – Parte Geral.</w:t>
      </w:r>
      <w:r w:rsidRPr="0046661A">
        <w:rPr>
          <w:rFonts w:ascii="Times New Roman" w:hAnsi="Times New Roman" w:cs="Times New Roman"/>
          <w:iCs/>
          <w:sz w:val="24"/>
          <w:szCs w:val="24"/>
        </w:rPr>
        <w:t xml:space="preserve"> Vol. 1. 9 ed. Editora Revista dos Tribunais. São Paulo, 2010. </w:t>
      </w:r>
    </w:p>
    <w:p w:rsidR="0046661A" w:rsidRDefault="0046661A" w:rsidP="004666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661A" w:rsidRDefault="0046661A" w:rsidP="004C3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61A">
        <w:rPr>
          <w:rFonts w:ascii="Times New Roman" w:hAnsi="Times New Roman" w:cs="Times New Roman"/>
          <w:sz w:val="24"/>
          <w:szCs w:val="24"/>
        </w:rPr>
        <w:t xml:space="preserve">STJ. Sexta Turma. Relator Ministro Luiz Vicente Cernicchiaro. </w:t>
      </w:r>
      <w:r w:rsidRPr="0046661A">
        <w:rPr>
          <w:rStyle w:val="Strong"/>
          <w:rFonts w:ascii="Times New Roman" w:hAnsi="Times New Roman" w:cs="Times New Roman"/>
          <w:bCs w:val="0"/>
          <w:sz w:val="24"/>
          <w:szCs w:val="24"/>
        </w:rPr>
        <w:t>Resp.</w:t>
      </w:r>
      <w:r w:rsidRPr="0046661A">
        <w:rPr>
          <w:rFonts w:ascii="Times New Roman" w:hAnsi="Times New Roman" w:cs="Times New Roman"/>
          <w:b/>
          <w:sz w:val="24"/>
          <w:szCs w:val="24"/>
        </w:rPr>
        <w:t xml:space="preserve"> 46.424</w:t>
      </w:r>
      <w:r w:rsidRPr="0046661A">
        <w:rPr>
          <w:rFonts w:ascii="Times New Roman" w:hAnsi="Times New Roman" w:cs="Times New Roman"/>
          <w:sz w:val="24"/>
          <w:szCs w:val="24"/>
        </w:rPr>
        <w:t>, D.J.U. 08.08.1994.</w:t>
      </w:r>
      <w:r w:rsidR="00BB70D9" w:rsidRPr="00BB70D9">
        <w:rPr>
          <w:rFonts w:ascii="Times New Roman" w:hAnsi="Times New Roman" w:cs="Times New Roman"/>
          <w:sz w:val="24"/>
          <w:szCs w:val="24"/>
        </w:rPr>
        <w:t xml:space="preserve">Vade </w:t>
      </w:r>
      <w:proofErr w:type="spellStart"/>
      <w:r w:rsidR="00BB70D9" w:rsidRPr="00BB70D9">
        <w:rPr>
          <w:rFonts w:ascii="Times New Roman" w:hAnsi="Times New Roman" w:cs="Times New Roman"/>
          <w:sz w:val="24"/>
          <w:szCs w:val="24"/>
        </w:rPr>
        <w:t>Mecum</w:t>
      </w:r>
      <w:proofErr w:type="spellEnd"/>
      <w:r w:rsidR="00BB70D9" w:rsidRPr="00BB70D9">
        <w:rPr>
          <w:rFonts w:ascii="Times New Roman" w:hAnsi="Times New Roman" w:cs="Times New Roman"/>
          <w:sz w:val="24"/>
          <w:szCs w:val="24"/>
        </w:rPr>
        <w:t>. 10 ed. Editora Saraiva, 2010.</w:t>
      </w:r>
    </w:p>
    <w:sectPr w:rsidR="0046661A" w:rsidSect="00537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73D" w:rsidRDefault="00F5273D" w:rsidP="00C44A4C">
      <w:pPr>
        <w:spacing w:after="0" w:line="240" w:lineRule="auto"/>
      </w:pPr>
      <w:r>
        <w:separator/>
      </w:r>
    </w:p>
  </w:endnote>
  <w:endnote w:type="continuationSeparator" w:id="0">
    <w:p w:rsidR="00F5273D" w:rsidRDefault="00F5273D" w:rsidP="00C4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73D" w:rsidRDefault="00F5273D" w:rsidP="00C44A4C">
      <w:pPr>
        <w:spacing w:after="0" w:line="240" w:lineRule="auto"/>
      </w:pPr>
      <w:r>
        <w:separator/>
      </w:r>
    </w:p>
  </w:footnote>
  <w:footnote w:type="continuationSeparator" w:id="0">
    <w:p w:rsidR="00F5273D" w:rsidRDefault="00F5273D" w:rsidP="00C44A4C">
      <w:pPr>
        <w:spacing w:after="0" w:line="240" w:lineRule="auto"/>
      </w:pPr>
      <w:r>
        <w:continuationSeparator/>
      </w:r>
    </w:p>
  </w:footnote>
  <w:footnote w:id="1">
    <w:p w:rsidR="00C44A4C" w:rsidRPr="00D11416" w:rsidRDefault="00C44A4C" w:rsidP="006D4707">
      <w:pPr>
        <w:pStyle w:val="Default"/>
        <w:rPr>
          <w:rStyle w:val="FootnoteReference"/>
          <w:rFonts w:ascii="Times New Roman" w:hAnsi="Times New Roman" w:cs="Times New Roman"/>
        </w:rPr>
      </w:pPr>
      <w:r w:rsidRPr="00D11416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Pr="00D11416">
        <w:rPr>
          <w:rStyle w:val="FootnoteReference"/>
          <w:rFonts w:ascii="Times New Roman" w:eastAsia="Calibri" w:hAnsi="Times New Roman" w:cs="Times New Roman"/>
          <w:sz w:val="20"/>
          <w:szCs w:val="20"/>
        </w:rPr>
        <w:t xml:space="preserve"> </w:t>
      </w:r>
      <w:r w:rsidRPr="00D11416">
        <w:rPr>
          <w:rFonts w:ascii="Times New Roman" w:hAnsi="Times New Roman" w:cs="Times New Roman"/>
          <w:sz w:val="20"/>
          <w:szCs w:val="20"/>
        </w:rPr>
        <w:t>Ca</w:t>
      </w:r>
      <w:r w:rsidR="00636145">
        <w:rPr>
          <w:rFonts w:ascii="Times New Roman" w:hAnsi="Times New Roman" w:cs="Times New Roman"/>
          <w:sz w:val="20"/>
          <w:szCs w:val="20"/>
        </w:rPr>
        <w:t xml:space="preserve">se </w:t>
      </w:r>
      <w:proofErr w:type="spellStart"/>
      <w:r w:rsidR="00636145">
        <w:rPr>
          <w:rFonts w:ascii="Times New Roman" w:hAnsi="Times New Roman" w:cs="Times New Roman"/>
          <w:sz w:val="20"/>
          <w:szCs w:val="20"/>
        </w:rPr>
        <w:t>apresentado</w:t>
      </w:r>
      <w:proofErr w:type="spellEnd"/>
      <w:r w:rsidR="00636145">
        <w:rPr>
          <w:rFonts w:ascii="Times New Roman" w:hAnsi="Times New Roman" w:cs="Times New Roman"/>
          <w:sz w:val="20"/>
          <w:szCs w:val="20"/>
        </w:rPr>
        <w:t xml:space="preserve"> à </w:t>
      </w:r>
      <w:proofErr w:type="spellStart"/>
      <w:r w:rsidR="00636145">
        <w:rPr>
          <w:rFonts w:ascii="Times New Roman" w:hAnsi="Times New Roman" w:cs="Times New Roman"/>
          <w:sz w:val="20"/>
          <w:szCs w:val="20"/>
        </w:rPr>
        <w:t>disciplina</w:t>
      </w:r>
      <w:proofErr w:type="spellEnd"/>
      <w:r w:rsidR="006361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36145">
        <w:rPr>
          <w:rFonts w:ascii="Times New Roman" w:hAnsi="Times New Roman" w:cs="Times New Roman"/>
          <w:sz w:val="20"/>
          <w:szCs w:val="20"/>
        </w:rPr>
        <w:t>Direito</w:t>
      </w:r>
      <w:proofErr w:type="spellEnd"/>
      <w:r w:rsidR="00636145">
        <w:rPr>
          <w:rFonts w:ascii="Times New Roman" w:hAnsi="Times New Roman" w:cs="Times New Roman"/>
          <w:sz w:val="20"/>
          <w:szCs w:val="20"/>
        </w:rPr>
        <w:t xml:space="preserve"> Penal Especial II</w:t>
      </w:r>
      <w:r w:rsidRPr="00D11416">
        <w:rPr>
          <w:rFonts w:ascii="Times New Roman" w:hAnsi="Times New Roman" w:cs="Times New Roman"/>
          <w:sz w:val="20"/>
          <w:szCs w:val="20"/>
        </w:rPr>
        <w:t xml:space="preserve">, da </w:t>
      </w:r>
      <w:proofErr w:type="spellStart"/>
      <w:r w:rsidRPr="00D11416">
        <w:rPr>
          <w:rFonts w:ascii="Times New Roman" w:hAnsi="Times New Roman" w:cs="Times New Roman"/>
          <w:sz w:val="20"/>
          <w:szCs w:val="20"/>
        </w:rPr>
        <w:t>Unidade</w:t>
      </w:r>
      <w:proofErr w:type="spellEnd"/>
      <w:r w:rsidRPr="00D1141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D11416">
        <w:rPr>
          <w:rFonts w:ascii="Times New Roman" w:hAnsi="Times New Roman" w:cs="Times New Roman"/>
          <w:sz w:val="20"/>
          <w:szCs w:val="20"/>
        </w:rPr>
        <w:t>Ensino</w:t>
      </w:r>
      <w:proofErr w:type="spellEnd"/>
      <w:r w:rsidRPr="00D11416">
        <w:rPr>
          <w:rFonts w:ascii="Times New Roman" w:hAnsi="Times New Roman" w:cs="Times New Roman"/>
          <w:sz w:val="20"/>
          <w:szCs w:val="20"/>
        </w:rPr>
        <w:t xml:space="preserve"> Superior Dom </w:t>
      </w:r>
      <w:proofErr w:type="spellStart"/>
      <w:r w:rsidRPr="00D11416">
        <w:rPr>
          <w:rFonts w:ascii="Times New Roman" w:hAnsi="Times New Roman" w:cs="Times New Roman"/>
          <w:sz w:val="20"/>
          <w:szCs w:val="20"/>
        </w:rPr>
        <w:t>Bosco</w:t>
      </w:r>
      <w:proofErr w:type="spellEnd"/>
      <w:r w:rsidRPr="00D11416">
        <w:rPr>
          <w:rFonts w:ascii="Times New Roman" w:hAnsi="Times New Roman" w:cs="Times New Roman"/>
          <w:sz w:val="20"/>
          <w:szCs w:val="20"/>
        </w:rPr>
        <w:t xml:space="preserve"> - UNDB. </w:t>
      </w:r>
    </w:p>
  </w:footnote>
  <w:footnote w:id="2">
    <w:p w:rsidR="00C44A4C" w:rsidRPr="00D11416" w:rsidRDefault="00C44A4C" w:rsidP="006D4707">
      <w:pPr>
        <w:pStyle w:val="Default"/>
        <w:rPr>
          <w:rStyle w:val="FootnoteReference"/>
          <w:rFonts w:ascii="Times New Roman" w:hAnsi="Times New Roman" w:cs="Times New Roman"/>
        </w:rPr>
      </w:pPr>
      <w:r w:rsidRPr="00D11416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proofErr w:type="spellStart"/>
      <w:r w:rsidRPr="00D11416">
        <w:rPr>
          <w:rFonts w:ascii="Times New Roman" w:hAnsi="Times New Roman" w:cs="Times New Roman"/>
          <w:sz w:val="20"/>
          <w:szCs w:val="20"/>
        </w:rPr>
        <w:t>Aluna</w:t>
      </w:r>
      <w:proofErr w:type="spellEnd"/>
      <w:r w:rsidR="00636145">
        <w:rPr>
          <w:rFonts w:ascii="Times New Roman" w:hAnsi="Times New Roman" w:cs="Times New Roman"/>
          <w:sz w:val="20"/>
          <w:szCs w:val="20"/>
        </w:rPr>
        <w:t xml:space="preserve"> do 5º </w:t>
      </w:r>
      <w:proofErr w:type="spellStart"/>
      <w:proofErr w:type="gramStart"/>
      <w:r w:rsidR="00636145">
        <w:rPr>
          <w:rFonts w:ascii="Times New Roman" w:hAnsi="Times New Roman" w:cs="Times New Roman"/>
          <w:sz w:val="20"/>
          <w:szCs w:val="20"/>
        </w:rPr>
        <w:t>Período</w:t>
      </w:r>
      <w:proofErr w:type="spellEnd"/>
      <w:r w:rsidR="00636145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636145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="00636145">
        <w:rPr>
          <w:rFonts w:ascii="Times New Roman" w:hAnsi="Times New Roman" w:cs="Times New Roman"/>
          <w:sz w:val="20"/>
          <w:szCs w:val="20"/>
        </w:rPr>
        <w:t>Curso</w:t>
      </w:r>
      <w:proofErr w:type="spellEnd"/>
      <w:r w:rsidR="00636145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636145">
        <w:rPr>
          <w:rFonts w:ascii="Times New Roman" w:hAnsi="Times New Roman" w:cs="Times New Roman"/>
          <w:sz w:val="20"/>
          <w:szCs w:val="20"/>
        </w:rPr>
        <w:t>Direito</w:t>
      </w:r>
      <w:proofErr w:type="spellEnd"/>
      <w:r w:rsidRPr="00D11416">
        <w:rPr>
          <w:rFonts w:ascii="Times New Roman" w:hAnsi="Times New Roman" w:cs="Times New Roman"/>
          <w:sz w:val="20"/>
          <w:szCs w:val="20"/>
        </w:rPr>
        <w:t xml:space="preserve">, da UNDB. </w:t>
      </w:r>
    </w:p>
  </w:footnote>
  <w:footnote w:id="3">
    <w:p w:rsidR="009941C6" w:rsidRPr="005946A4" w:rsidRDefault="009941C6" w:rsidP="005946A4">
      <w:pPr>
        <w:spacing w:after="0" w:line="240" w:lineRule="auto"/>
        <w:ind w:right="763"/>
        <w:rPr>
          <w:rStyle w:val="FootnoteReference"/>
          <w:sz w:val="20"/>
          <w:szCs w:val="20"/>
        </w:rPr>
      </w:pPr>
      <w:r w:rsidRPr="005946A4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Pr="005946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E7435" w:rsidRPr="005946A4">
        <w:rPr>
          <w:rFonts w:ascii="Times New Roman" w:hAnsi="Times New Roman" w:cs="Times New Roman"/>
          <w:sz w:val="20"/>
          <w:szCs w:val="20"/>
        </w:rPr>
        <w:t>Vade</w:t>
      </w:r>
      <w:proofErr w:type="spellEnd"/>
      <w:r w:rsidR="000E7435" w:rsidRPr="005946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E7435" w:rsidRPr="005946A4">
        <w:rPr>
          <w:rFonts w:ascii="Times New Roman" w:hAnsi="Times New Roman" w:cs="Times New Roman"/>
          <w:sz w:val="20"/>
          <w:szCs w:val="20"/>
        </w:rPr>
        <w:t>Mecum</w:t>
      </w:r>
      <w:proofErr w:type="spellEnd"/>
      <w:r w:rsidR="000E7435" w:rsidRPr="005946A4">
        <w:rPr>
          <w:rFonts w:ascii="Times New Roman" w:hAnsi="Times New Roman" w:cs="Times New Roman"/>
          <w:sz w:val="20"/>
          <w:szCs w:val="20"/>
        </w:rPr>
        <w:t>. 10 ed. Editora Saraiva, 2010</w:t>
      </w:r>
      <w:r w:rsidRPr="005946A4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4">
    <w:p w:rsidR="009941C6" w:rsidRPr="004E6018" w:rsidRDefault="009941C6" w:rsidP="005946A4">
      <w:pPr>
        <w:spacing w:after="0" w:line="240" w:lineRule="auto"/>
        <w:jc w:val="both"/>
        <w:rPr>
          <w:rStyle w:val="FootnoteReference"/>
          <w:sz w:val="20"/>
          <w:szCs w:val="20"/>
        </w:rPr>
      </w:pPr>
      <w:r w:rsidRPr="005946A4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Pr="005946A4">
        <w:rPr>
          <w:rFonts w:ascii="Times New Roman" w:hAnsi="Times New Roman" w:cs="Times New Roman"/>
          <w:sz w:val="20"/>
          <w:szCs w:val="20"/>
        </w:rPr>
        <w:t xml:space="preserve"> </w:t>
      </w:r>
      <w:r w:rsidR="005946A4" w:rsidRPr="005946A4">
        <w:rPr>
          <w:rFonts w:ascii="Times New Roman" w:hAnsi="Times New Roman" w:cs="Times New Roman"/>
          <w:sz w:val="20"/>
          <w:szCs w:val="20"/>
        </w:rPr>
        <w:t xml:space="preserve">GRECO, Rogério. </w:t>
      </w:r>
      <w:r w:rsidR="005946A4" w:rsidRPr="004E6018">
        <w:rPr>
          <w:rFonts w:ascii="Times New Roman" w:hAnsi="Times New Roman" w:cs="Times New Roman"/>
          <w:sz w:val="20"/>
          <w:szCs w:val="20"/>
        </w:rPr>
        <w:t xml:space="preserve">Curso de Direito Penal-Parte Especial. Vol. 3. </w:t>
      </w:r>
      <w:r w:rsidR="005946A4" w:rsidRPr="004E6018">
        <w:rPr>
          <w:rFonts w:ascii="Times New Roman" w:hAnsi="Times New Roman" w:cs="Times New Roman"/>
          <w:sz w:val="20"/>
          <w:szCs w:val="20"/>
        </w:rPr>
        <w:t xml:space="preserve">3ed.Editora </w:t>
      </w:r>
      <w:proofErr w:type="spellStart"/>
      <w:r w:rsidR="005946A4" w:rsidRPr="004E6018">
        <w:rPr>
          <w:rFonts w:ascii="Times New Roman" w:hAnsi="Times New Roman" w:cs="Times New Roman"/>
          <w:sz w:val="20"/>
          <w:szCs w:val="20"/>
        </w:rPr>
        <w:t>Impetus.Rio</w:t>
      </w:r>
      <w:proofErr w:type="spellEnd"/>
      <w:r w:rsidR="005946A4" w:rsidRPr="004E6018">
        <w:rPr>
          <w:rFonts w:ascii="Times New Roman" w:hAnsi="Times New Roman" w:cs="Times New Roman"/>
          <w:sz w:val="20"/>
          <w:szCs w:val="20"/>
        </w:rPr>
        <w:t xml:space="preserve"> de Janeiro, 2011. </w:t>
      </w:r>
      <w:r w:rsidR="00791707">
        <w:rPr>
          <w:rFonts w:ascii="Times New Roman" w:hAnsi="Times New Roman" w:cs="Times New Roman"/>
          <w:sz w:val="20"/>
          <w:szCs w:val="20"/>
        </w:rPr>
        <w:t>P</w:t>
      </w:r>
      <w:r w:rsidR="005946A4" w:rsidRPr="004E6018">
        <w:rPr>
          <w:rFonts w:ascii="Times New Roman" w:hAnsi="Times New Roman" w:cs="Times New Roman"/>
          <w:sz w:val="20"/>
          <w:szCs w:val="20"/>
        </w:rPr>
        <w:t xml:space="preserve"> 93</w:t>
      </w:r>
      <w:r w:rsidRPr="004E6018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5">
    <w:p w:rsidR="009941C6" w:rsidRPr="004E6018" w:rsidRDefault="009941C6" w:rsidP="005946A4">
      <w:pPr>
        <w:spacing w:after="0" w:line="240" w:lineRule="auto"/>
        <w:ind w:right="763"/>
        <w:rPr>
          <w:rStyle w:val="FootnoteReference"/>
          <w:sz w:val="20"/>
          <w:szCs w:val="20"/>
        </w:rPr>
      </w:pPr>
      <w:r w:rsidRPr="004E6018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="005946A4" w:rsidRPr="004E6018">
        <w:rPr>
          <w:rFonts w:ascii="Times New Roman" w:hAnsi="Times New Roman" w:cs="Times New Roman"/>
          <w:sz w:val="20"/>
          <w:szCs w:val="20"/>
        </w:rPr>
        <w:t>Ibidem. P. 95</w:t>
      </w:r>
      <w:r w:rsidRPr="004E6018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6">
    <w:p w:rsidR="009941C6" w:rsidRPr="004E6018" w:rsidRDefault="009941C6" w:rsidP="005946A4">
      <w:pPr>
        <w:spacing w:after="0" w:line="240" w:lineRule="auto"/>
        <w:jc w:val="both"/>
        <w:rPr>
          <w:rStyle w:val="FootnoteReference"/>
          <w:rFonts w:ascii="Times New Roman" w:hAnsi="Times New Roman" w:cs="Times New Roman"/>
          <w:sz w:val="20"/>
          <w:szCs w:val="20"/>
          <w:vertAlign w:val="baseline"/>
        </w:rPr>
      </w:pPr>
      <w:r w:rsidRPr="004E6018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="005946A4" w:rsidRPr="004E6018">
        <w:rPr>
          <w:rFonts w:ascii="Times New Roman" w:hAnsi="Times New Roman" w:cs="Times New Roman"/>
          <w:sz w:val="20"/>
          <w:szCs w:val="20"/>
        </w:rPr>
        <w:t>Ibidem. P. 96</w:t>
      </w:r>
      <w:r w:rsidR="00791707">
        <w:rPr>
          <w:rFonts w:ascii="Times New Roman" w:hAnsi="Times New Roman" w:cs="Times New Roman"/>
          <w:sz w:val="20"/>
          <w:szCs w:val="20"/>
        </w:rPr>
        <w:t>.</w:t>
      </w:r>
      <w:r w:rsidR="00446500" w:rsidRPr="004E6018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7">
    <w:p w:rsidR="009941C6" w:rsidRPr="005946A4" w:rsidRDefault="009941C6" w:rsidP="005946A4">
      <w:pPr>
        <w:spacing w:after="0" w:line="240" w:lineRule="auto"/>
        <w:jc w:val="both"/>
        <w:rPr>
          <w:rStyle w:val="FootnoteReference"/>
          <w:rFonts w:ascii="Times New Roman" w:eastAsia="Times New Roman" w:hAnsi="Times New Roman" w:cs="Times New Roman"/>
          <w:sz w:val="20"/>
          <w:szCs w:val="20"/>
          <w:vertAlign w:val="baseline"/>
          <w:lang w:val="en-US"/>
        </w:rPr>
      </w:pPr>
      <w:r w:rsidRPr="004E6018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="005946A4" w:rsidRPr="004E601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MAGALHÃES, Eduardo Noronha. </w:t>
      </w:r>
      <w:proofErr w:type="spellStart"/>
      <w:r w:rsidR="005946A4" w:rsidRPr="004E6018">
        <w:rPr>
          <w:rFonts w:ascii="Times New Roman" w:eastAsia="Times New Roman" w:hAnsi="Times New Roman" w:cs="Times New Roman"/>
          <w:sz w:val="20"/>
          <w:szCs w:val="20"/>
          <w:lang w:val="en-US"/>
        </w:rPr>
        <w:t>Direito</w:t>
      </w:r>
      <w:proofErr w:type="spellEnd"/>
      <w:r w:rsidR="005946A4" w:rsidRPr="004E601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Penal</w:t>
      </w:r>
      <w:r w:rsidR="005946A4" w:rsidRPr="005946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. </w:t>
      </w:r>
      <w:r w:rsidR="00791707" w:rsidRPr="00791707">
        <w:rPr>
          <w:rFonts w:ascii="Times New Roman" w:eastAsia="Times New Roman" w:hAnsi="Times New Roman" w:cs="Times New Roman"/>
          <w:sz w:val="20"/>
          <w:szCs w:val="20"/>
          <w:lang w:val="en-US"/>
        </w:rPr>
        <w:t>V. 3.</w:t>
      </w:r>
      <w:r w:rsidR="0079170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gramStart"/>
      <w:r w:rsidR="005946A4" w:rsidRPr="005946A4">
        <w:rPr>
          <w:rFonts w:ascii="Times New Roman" w:eastAsia="Times New Roman" w:hAnsi="Times New Roman" w:cs="Times New Roman"/>
          <w:sz w:val="20"/>
          <w:szCs w:val="20"/>
          <w:lang w:val="en-US"/>
        </w:rPr>
        <w:t>27</w:t>
      </w:r>
      <w:r w:rsidR="0079170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5946A4" w:rsidRPr="005946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ed. </w:t>
      </w:r>
      <w:proofErr w:type="spellStart"/>
      <w:r w:rsidR="00791707">
        <w:rPr>
          <w:rFonts w:ascii="Times New Roman" w:eastAsia="Times New Roman" w:hAnsi="Times New Roman" w:cs="Times New Roman"/>
          <w:sz w:val="20"/>
          <w:szCs w:val="20"/>
          <w:lang w:val="en-US"/>
        </w:rPr>
        <w:t>Editora</w:t>
      </w:r>
      <w:proofErr w:type="spellEnd"/>
      <w:r w:rsidR="0079170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91707">
        <w:rPr>
          <w:rFonts w:ascii="Times New Roman" w:eastAsia="Times New Roman" w:hAnsi="Times New Roman" w:cs="Times New Roman"/>
          <w:sz w:val="20"/>
          <w:szCs w:val="20"/>
          <w:lang w:val="en-US"/>
        </w:rPr>
        <w:t>Saraiva</w:t>
      </w:r>
      <w:proofErr w:type="spellEnd"/>
      <w:r w:rsidR="00791707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proofErr w:type="gramEnd"/>
      <w:r w:rsidR="0079170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São Paulo, 2007. P</w:t>
      </w:r>
      <w:r w:rsidR="005946A4" w:rsidRPr="005946A4">
        <w:rPr>
          <w:rFonts w:ascii="Times New Roman" w:eastAsia="Times New Roman" w:hAnsi="Times New Roman" w:cs="Times New Roman"/>
          <w:sz w:val="20"/>
          <w:szCs w:val="20"/>
          <w:lang w:val="en-US"/>
        </w:rPr>
        <w:t>. 224</w:t>
      </w:r>
      <w:r w:rsidR="00791707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Pr="005946A4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8">
    <w:p w:rsidR="009941C6" w:rsidRPr="00A75814" w:rsidRDefault="009941C6" w:rsidP="00B961F7">
      <w:pPr>
        <w:shd w:val="clear" w:color="auto" w:fill="FFFFFF"/>
        <w:spacing w:after="0" w:line="240" w:lineRule="auto"/>
        <w:jc w:val="both"/>
        <w:rPr>
          <w:rStyle w:val="FootnoteReference"/>
          <w:rFonts w:ascii="Times New Roman" w:hAnsi="Times New Roman" w:cs="Times New Roman"/>
          <w:sz w:val="20"/>
          <w:szCs w:val="20"/>
        </w:rPr>
      </w:pPr>
      <w:r w:rsidRPr="00A75814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Pr="00A75814">
        <w:rPr>
          <w:rFonts w:ascii="Times New Roman" w:hAnsi="Times New Roman" w:cs="Times New Roman"/>
          <w:sz w:val="20"/>
          <w:szCs w:val="20"/>
        </w:rPr>
        <w:t xml:space="preserve"> </w:t>
      </w:r>
      <w:r w:rsidR="00EF5DEF" w:rsidRPr="00A75814">
        <w:rPr>
          <w:rFonts w:ascii="Times New Roman" w:eastAsia="Times New Roman" w:hAnsi="Times New Roman" w:cs="Times New Roman"/>
          <w:sz w:val="20"/>
          <w:szCs w:val="20"/>
          <w:lang w:val="en-US"/>
        </w:rPr>
        <w:t>BARROS</w:t>
      </w:r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, Francisco </w:t>
      </w:r>
      <w:proofErr w:type="spellStart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Dirceu</w:t>
      </w:r>
      <w:proofErr w:type="spellEnd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proofErr w:type="gramStart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Vulnerabilidade</w:t>
      </w:r>
      <w:proofErr w:type="spellEnd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nos</w:t>
      </w:r>
      <w:proofErr w:type="spellEnd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Novos</w:t>
      </w:r>
      <w:proofErr w:type="spellEnd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Delitos</w:t>
      </w:r>
      <w:proofErr w:type="spellEnd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Sexuais</w:t>
      </w:r>
      <w:proofErr w:type="spellEnd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  <w:proofErr w:type="gramEnd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Jornal</w:t>
      </w:r>
      <w:proofErr w:type="spellEnd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Carta</w:t>
      </w:r>
      <w:proofErr w:type="spellEnd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Forense</w:t>
      </w:r>
      <w:proofErr w:type="spellEnd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  <w:r w:rsidR="00EF5DEF" w:rsidRPr="00A75814">
        <w:rPr>
          <w:rFonts w:ascii="Times New Roman" w:hAnsi="Times New Roman" w:cs="Times New Roman"/>
          <w:sz w:val="20"/>
          <w:szCs w:val="20"/>
        </w:rPr>
        <w:t xml:space="preserve"> Disponível em: </w:t>
      </w:r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˂http://www.cartaforense.com.br/Materia.aspx?id=5314˃. </w:t>
      </w:r>
      <w:proofErr w:type="spellStart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Acesso</w:t>
      </w:r>
      <w:proofErr w:type="spellEnd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em</w:t>
      </w:r>
      <w:proofErr w:type="spellEnd"/>
      <w:r w:rsidR="00EF5DEF" w:rsidRPr="00A7581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25 set. 2011.</w:t>
      </w:r>
    </w:p>
  </w:footnote>
  <w:footnote w:id="9">
    <w:p w:rsidR="009941C6" w:rsidRPr="00A75814" w:rsidRDefault="009941C6" w:rsidP="00B961F7">
      <w:pPr>
        <w:spacing w:after="0" w:line="240" w:lineRule="auto"/>
        <w:ind w:right="763"/>
        <w:jc w:val="both"/>
        <w:rPr>
          <w:rStyle w:val="FootnoteReference"/>
          <w:rFonts w:ascii="Times New Roman" w:hAnsi="Times New Roman" w:cs="Times New Roman"/>
          <w:b/>
          <w:sz w:val="20"/>
          <w:szCs w:val="20"/>
        </w:rPr>
      </w:pPr>
      <w:r w:rsidRPr="00A75814">
        <w:rPr>
          <w:rStyle w:val="FootnoteReference"/>
          <w:rFonts w:ascii="Times New Roman" w:eastAsia="Calibri" w:hAnsi="Times New Roman" w:cs="Times New Roman"/>
          <w:b/>
          <w:sz w:val="20"/>
          <w:szCs w:val="20"/>
        </w:rPr>
        <w:footnoteRef/>
      </w:r>
      <w:r w:rsidRPr="00A7581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1476" w:rsidRPr="00A75814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(Sexta Turma, Relator Ministro Luiz Vicente Cernicchiaro, </w:t>
      </w:r>
      <w:proofErr w:type="spellStart"/>
      <w:r w:rsidR="00741476" w:rsidRPr="00A75814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Resp</w:t>
      </w:r>
      <w:proofErr w:type="spellEnd"/>
      <w:r w:rsidR="00741476" w:rsidRPr="00A75814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46.424, D.J.U. 08.08.1994)</w:t>
      </w:r>
    </w:p>
  </w:footnote>
  <w:footnote w:id="10">
    <w:p w:rsidR="009941C6" w:rsidRPr="00A75814" w:rsidRDefault="009941C6" w:rsidP="00B961F7">
      <w:pPr>
        <w:spacing w:after="0" w:line="240" w:lineRule="auto"/>
        <w:jc w:val="both"/>
        <w:rPr>
          <w:rStyle w:val="FootnoteReference"/>
          <w:rFonts w:ascii="Times New Roman" w:hAnsi="Times New Roman" w:cs="Times New Roman"/>
          <w:sz w:val="20"/>
          <w:szCs w:val="20"/>
        </w:rPr>
      </w:pPr>
      <w:r w:rsidRPr="00A75814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="00B961F7" w:rsidRPr="00A75814">
        <w:rPr>
          <w:rFonts w:ascii="Times New Roman" w:hAnsi="Times New Roman" w:cs="Times New Roman"/>
          <w:sz w:val="20"/>
          <w:szCs w:val="20"/>
        </w:rPr>
        <w:t xml:space="preserve">GRECO, Rogério. Curso de Direito Penal–Parte Geral. Vol. 1. </w:t>
      </w:r>
      <w:r w:rsidR="00B961F7" w:rsidRPr="00A75814">
        <w:rPr>
          <w:rFonts w:ascii="Times New Roman" w:hAnsi="Times New Roman" w:cs="Times New Roman"/>
          <w:sz w:val="20"/>
          <w:szCs w:val="20"/>
        </w:rPr>
        <w:t xml:space="preserve">3ed.Editora </w:t>
      </w:r>
      <w:proofErr w:type="spellStart"/>
      <w:r w:rsidR="00B961F7" w:rsidRPr="00A75814">
        <w:rPr>
          <w:rFonts w:ascii="Times New Roman" w:hAnsi="Times New Roman" w:cs="Times New Roman"/>
          <w:sz w:val="20"/>
          <w:szCs w:val="20"/>
        </w:rPr>
        <w:t>Impetus</w:t>
      </w:r>
      <w:proofErr w:type="spellEnd"/>
      <w:r w:rsidR="00B961F7" w:rsidRPr="00A75814">
        <w:rPr>
          <w:rFonts w:ascii="Times New Roman" w:hAnsi="Times New Roman" w:cs="Times New Roman"/>
          <w:sz w:val="20"/>
          <w:szCs w:val="20"/>
        </w:rPr>
        <w:t>. Rio de Janeiro, 2009. P. 24.</w:t>
      </w:r>
    </w:p>
  </w:footnote>
  <w:footnote w:id="11">
    <w:p w:rsidR="009941C6" w:rsidRPr="009D0F1F" w:rsidRDefault="009941C6" w:rsidP="00B961F7">
      <w:pPr>
        <w:spacing w:after="0" w:line="240" w:lineRule="auto"/>
        <w:ind w:right="763"/>
        <w:jc w:val="both"/>
        <w:rPr>
          <w:rStyle w:val="FootnoteReference"/>
        </w:rPr>
      </w:pPr>
      <w:r w:rsidRPr="00A75814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proofErr w:type="spellStart"/>
      <w:r w:rsidR="00B961F7" w:rsidRPr="00A75814">
        <w:rPr>
          <w:rFonts w:ascii="Times New Roman" w:hAnsi="Times New Roman" w:cs="Times New Roman"/>
          <w:sz w:val="20"/>
          <w:szCs w:val="20"/>
        </w:rPr>
        <w:t>Vade</w:t>
      </w:r>
      <w:proofErr w:type="spellEnd"/>
      <w:r w:rsidR="00B961F7" w:rsidRPr="00A758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961F7" w:rsidRPr="00A75814">
        <w:rPr>
          <w:rFonts w:ascii="Times New Roman" w:hAnsi="Times New Roman" w:cs="Times New Roman"/>
          <w:sz w:val="20"/>
          <w:szCs w:val="20"/>
        </w:rPr>
        <w:t>Mecum</w:t>
      </w:r>
      <w:proofErr w:type="spellEnd"/>
      <w:r w:rsidR="00B961F7" w:rsidRPr="00A75814">
        <w:rPr>
          <w:rFonts w:ascii="Times New Roman" w:hAnsi="Times New Roman" w:cs="Times New Roman"/>
          <w:sz w:val="20"/>
          <w:szCs w:val="20"/>
        </w:rPr>
        <w:t xml:space="preserve">. 10 ed. </w:t>
      </w:r>
      <w:r w:rsidR="00B961F7" w:rsidRPr="00A75814">
        <w:rPr>
          <w:rFonts w:ascii="Times New Roman" w:hAnsi="Times New Roman" w:cs="Times New Roman"/>
          <w:sz w:val="20"/>
          <w:szCs w:val="20"/>
        </w:rPr>
        <w:t>Editora Saraiva, 2010.</w:t>
      </w:r>
    </w:p>
  </w:footnote>
  <w:footnote w:id="12">
    <w:p w:rsidR="009941C6" w:rsidRPr="004C3BAD" w:rsidRDefault="009941C6" w:rsidP="004C3BAD">
      <w:pPr>
        <w:spacing w:after="0" w:line="240" w:lineRule="auto"/>
        <w:jc w:val="both"/>
        <w:rPr>
          <w:rStyle w:val="FootnoteReference"/>
          <w:sz w:val="20"/>
          <w:szCs w:val="20"/>
        </w:rPr>
      </w:pPr>
      <w:r w:rsidRPr="004C3BAD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Pr="004C3BAD">
        <w:rPr>
          <w:rFonts w:ascii="Times New Roman" w:hAnsi="Times New Roman" w:cs="Times New Roman"/>
          <w:sz w:val="20"/>
          <w:szCs w:val="20"/>
        </w:rPr>
        <w:t xml:space="preserve"> </w:t>
      </w:r>
      <w:r w:rsidR="004C3BAD" w:rsidRPr="004C3BAD">
        <w:rPr>
          <w:rStyle w:val="apple-style-span"/>
          <w:rFonts w:ascii="Times New Roman" w:hAnsi="Times New Roman" w:cs="Times New Roman"/>
          <w:sz w:val="20"/>
          <w:szCs w:val="20"/>
        </w:rPr>
        <w:t xml:space="preserve">CAPEZ, Fernando. Curso de Direito Penal - Parte especial. Vol. 3. </w:t>
      </w:r>
      <w:r w:rsidR="004C3BAD" w:rsidRPr="004C3BAD">
        <w:rPr>
          <w:rStyle w:val="apple-style-span"/>
          <w:rFonts w:ascii="Times New Roman" w:hAnsi="Times New Roman" w:cs="Times New Roman"/>
          <w:sz w:val="20"/>
          <w:szCs w:val="20"/>
        </w:rPr>
        <w:t>São Paulo: Saraiva, 2008.</w:t>
      </w:r>
    </w:p>
  </w:footnote>
  <w:footnote w:id="13">
    <w:p w:rsidR="009941C6" w:rsidRPr="004C3BAD" w:rsidRDefault="009941C6" w:rsidP="004C3BAD">
      <w:pPr>
        <w:spacing w:after="0" w:line="240" w:lineRule="auto"/>
        <w:jc w:val="both"/>
        <w:rPr>
          <w:rStyle w:val="FootnoteReference"/>
          <w:sz w:val="20"/>
          <w:szCs w:val="20"/>
        </w:rPr>
      </w:pPr>
      <w:r w:rsidRPr="004C3BAD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Pr="004C3BAD">
        <w:rPr>
          <w:rFonts w:ascii="Times New Roman" w:hAnsi="Times New Roman" w:cs="Times New Roman"/>
          <w:sz w:val="20"/>
          <w:szCs w:val="20"/>
        </w:rPr>
        <w:t xml:space="preserve"> </w:t>
      </w:r>
      <w:r w:rsidR="004C3BAD" w:rsidRPr="004C3BAD">
        <w:rPr>
          <w:rFonts w:ascii="Times New Roman" w:hAnsi="Times New Roman" w:cs="Times New Roman"/>
          <w:iCs/>
          <w:sz w:val="20"/>
          <w:szCs w:val="20"/>
        </w:rPr>
        <w:t xml:space="preserve">PRADO, Luís Regis. Curso de Direito Penal Brasileiro – Parte Geral. Vol. 1. </w:t>
      </w:r>
      <w:r w:rsidR="004C3BAD" w:rsidRPr="004C3BAD">
        <w:rPr>
          <w:rFonts w:ascii="Times New Roman" w:hAnsi="Times New Roman" w:cs="Times New Roman"/>
          <w:iCs/>
          <w:sz w:val="20"/>
          <w:szCs w:val="20"/>
        </w:rPr>
        <w:t xml:space="preserve">9 ed. Editora Revista dos Tribunais. São Paulo, 2010. </w:t>
      </w:r>
      <w:r w:rsidRPr="004C3BAD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14">
    <w:p w:rsidR="009941C6" w:rsidRPr="009D0F1F" w:rsidRDefault="009941C6" w:rsidP="004C3BAD">
      <w:pPr>
        <w:autoSpaceDE w:val="0"/>
        <w:autoSpaceDN w:val="0"/>
        <w:adjustRightInd w:val="0"/>
        <w:spacing w:after="0" w:line="240" w:lineRule="auto"/>
        <w:jc w:val="both"/>
        <w:rPr>
          <w:rStyle w:val="FootnoteReference"/>
        </w:rPr>
      </w:pPr>
      <w:r w:rsidRPr="004C3BAD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Pr="004C3BAD">
        <w:rPr>
          <w:rFonts w:ascii="Times New Roman" w:hAnsi="Times New Roman" w:cs="Times New Roman"/>
          <w:sz w:val="20"/>
          <w:szCs w:val="20"/>
        </w:rPr>
        <w:t xml:space="preserve"> </w:t>
      </w:r>
      <w:r w:rsidR="004C3BAD" w:rsidRPr="004C3BAD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MAGALHÃES FILHO, </w:t>
      </w:r>
      <w:proofErr w:type="spellStart"/>
      <w:r w:rsidR="004C3BAD" w:rsidRPr="004C3BAD">
        <w:rPr>
          <w:rFonts w:ascii="Times New Roman" w:eastAsia="ArialMT" w:hAnsi="Times New Roman" w:cs="Times New Roman"/>
          <w:sz w:val="20"/>
          <w:szCs w:val="20"/>
          <w:lang w:val="en-US"/>
        </w:rPr>
        <w:t>Glauco</w:t>
      </w:r>
      <w:proofErr w:type="spellEnd"/>
      <w:r w:rsidR="004C3BAD" w:rsidRPr="004C3BAD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C3BAD" w:rsidRPr="004C3BAD">
        <w:rPr>
          <w:rFonts w:ascii="Times New Roman" w:eastAsia="ArialMT" w:hAnsi="Times New Roman" w:cs="Times New Roman"/>
          <w:sz w:val="20"/>
          <w:szCs w:val="20"/>
          <w:lang w:val="en-US"/>
        </w:rPr>
        <w:t>Barreira</w:t>
      </w:r>
      <w:proofErr w:type="spellEnd"/>
      <w:r w:rsidR="004C3BAD" w:rsidRPr="004C3BAD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. </w:t>
      </w:r>
      <w:proofErr w:type="spellStart"/>
      <w:proofErr w:type="gramStart"/>
      <w:r w:rsidR="004C3BAD" w:rsidRPr="004C3BAD">
        <w:rPr>
          <w:rFonts w:ascii="Times New Roman" w:eastAsia="ArialMT" w:hAnsi="Times New Roman" w:cs="Times New Roman"/>
          <w:bCs/>
          <w:sz w:val="20"/>
          <w:szCs w:val="20"/>
          <w:lang w:val="en-US"/>
        </w:rPr>
        <w:t>Hermenêutica</w:t>
      </w:r>
      <w:proofErr w:type="spellEnd"/>
      <w:r w:rsidR="004C3BAD" w:rsidRPr="004C3BAD">
        <w:rPr>
          <w:rFonts w:ascii="Times New Roman" w:eastAsia="ArialMT" w:hAnsi="Times New Roman" w:cs="Times New Roman"/>
          <w:bCs/>
          <w:sz w:val="20"/>
          <w:szCs w:val="20"/>
          <w:lang w:val="en-US"/>
        </w:rPr>
        <w:t xml:space="preserve"> e </w:t>
      </w:r>
      <w:proofErr w:type="spellStart"/>
      <w:r w:rsidR="004C3BAD" w:rsidRPr="004C3BAD">
        <w:rPr>
          <w:rFonts w:ascii="Times New Roman" w:eastAsia="ArialMT" w:hAnsi="Times New Roman" w:cs="Times New Roman"/>
          <w:bCs/>
          <w:sz w:val="20"/>
          <w:szCs w:val="20"/>
          <w:lang w:val="en-US"/>
        </w:rPr>
        <w:t>Unidade</w:t>
      </w:r>
      <w:proofErr w:type="spellEnd"/>
      <w:r w:rsidR="004C3BAD" w:rsidRPr="004C3BAD">
        <w:rPr>
          <w:rFonts w:ascii="Times New Roman" w:eastAsia="ArialMT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4C3BAD" w:rsidRPr="004C3BAD">
        <w:rPr>
          <w:rFonts w:ascii="Times New Roman" w:eastAsia="ArialMT" w:hAnsi="Times New Roman" w:cs="Times New Roman"/>
          <w:bCs/>
          <w:sz w:val="20"/>
          <w:szCs w:val="20"/>
          <w:lang w:val="en-US"/>
        </w:rPr>
        <w:t>Axiológica</w:t>
      </w:r>
      <w:proofErr w:type="spellEnd"/>
      <w:r w:rsidR="004C3BAD" w:rsidRPr="004C3BAD">
        <w:rPr>
          <w:rFonts w:ascii="Times New Roman" w:eastAsia="ArialMT" w:hAnsi="Times New Roman" w:cs="Times New Roman"/>
          <w:bCs/>
          <w:sz w:val="20"/>
          <w:szCs w:val="20"/>
          <w:lang w:val="en-US"/>
        </w:rPr>
        <w:t xml:space="preserve"> da </w:t>
      </w:r>
      <w:proofErr w:type="spellStart"/>
      <w:r w:rsidR="004C3BAD" w:rsidRPr="004C3BAD">
        <w:rPr>
          <w:rFonts w:ascii="Times New Roman" w:eastAsia="ArialMT" w:hAnsi="Times New Roman" w:cs="Times New Roman"/>
          <w:bCs/>
          <w:sz w:val="20"/>
          <w:szCs w:val="20"/>
          <w:lang w:val="en-US"/>
        </w:rPr>
        <w:t>Constituição</w:t>
      </w:r>
      <w:proofErr w:type="spellEnd"/>
      <w:r w:rsidR="004C3BAD" w:rsidRPr="004C3BAD">
        <w:rPr>
          <w:rFonts w:ascii="Times New Roman" w:eastAsia="ArialMT" w:hAnsi="Times New Roman" w:cs="Times New Roman"/>
          <w:bCs/>
          <w:sz w:val="20"/>
          <w:szCs w:val="20"/>
          <w:lang w:val="en-US"/>
        </w:rPr>
        <w:t>.</w:t>
      </w:r>
      <w:proofErr w:type="gramEnd"/>
      <w:r w:rsidR="004C3BAD" w:rsidRPr="004C3BAD">
        <w:rPr>
          <w:rFonts w:ascii="Times New Roman" w:eastAsia="ArialMT" w:hAnsi="Times New Roman" w:cs="Times New Roman"/>
          <w:bCs/>
          <w:sz w:val="20"/>
          <w:szCs w:val="20"/>
          <w:lang w:val="en-US"/>
        </w:rPr>
        <w:t xml:space="preserve"> </w:t>
      </w:r>
      <w:proofErr w:type="gramStart"/>
      <w:r w:rsidR="004C3BAD" w:rsidRPr="004C3BAD">
        <w:rPr>
          <w:rFonts w:ascii="Times New Roman" w:eastAsia="ArialMT" w:hAnsi="Times New Roman" w:cs="Times New Roman"/>
          <w:bCs/>
          <w:sz w:val="20"/>
          <w:szCs w:val="20"/>
          <w:lang w:val="en-US"/>
        </w:rPr>
        <w:t>3 ed.</w:t>
      </w:r>
      <w:r w:rsidR="004C3BAD" w:rsidRPr="004C3BAD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C3BAD" w:rsidRPr="004C3BAD">
        <w:rPr>
          <w:rFonts w:ascii="Times New Roman" w:eastAsia="ArialMT" w:hAnsi="Times New Roman" w:cs="Times New Roman"/>
          <w:sz w:val="20"/>
          <w:szCs w:val="20"/>
          <w:lang w:val="en-US"/>
        </w:rPr>
        <w:t>Editora</w:t>
      </w:r>
      <w:proofErr w:type="spellEnd"/>
      <w:r w:rsidR="004C3BAD" w:rsidRPr="004C3BAD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C3BAD" w:rsidRPr="004C3BAD">
        <w:rPr>
          <w:rFonts w:ascii="Times New Roman" w:eastAsia="ArialMT" w:hAnsi="Times New Roman" w:cs="Times New Roman"/>
          <w:sz w:val="20"/>
          <w:szCs w:val="20"/>
          <w:lang w:val="en-US"/>
        </w:rPr>
        <w:t>Mandamentos</w:t>
      </w:r>
      <w:proofErr w:type="spellEnd"/>
      <w:r w:rsidR="004C3BAD" w:rsidRPr="004C3BAD">
        <w:rPr>
          <w:rFonts w:ascii="Times New Roman" w:eastAsia="ArialMT" w:hAnsi="Times New Roman" w:cs="Times New Roman"/>
          <w:sz w:val="20"/>
          <w:szCs w:val="20"/>
          <w:lang w:val="en-US"/>
        </w:rPr>
        <w:t>.</w:t>
      </w:r>
      <w:proofErr w:type="gramEnd"/>
      <w:r w:rsidR="004C3BAD" w:rsidRPr="004C3BAD">
        <w:rPr>
          <w:rFonts w:ascii="Times New Roman" w:eastAsia="ArialMT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4C3BAD" w:rsidRPr="004C3BAD">
        <w:rPr>
          <w:rFonts w:ascii="Times New Roman" w:eastAsia="ArialMT" w:hAnsi="Times New Roman" w:cs="Times New Roman"/>
          <w:sz w:val="20"/>
          <w:szCs w:val="20"/>
          <w:lang w:val="en-US"/>
        </w:rPr>
        <w:t>Belo Horizonte, 2004.</w:t>
      </w:r>
      <w:proofErr w:type="gramEnd"/>
      <w:r w:rsidRPr="00D11416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15">
    <w:p w:rsidR="00446500" w:rsidRPr="000C17BD" w:rsidRDefault="00446500" w:rsidP="000C17BD">
      <w:pPr>
        <w:spacing w:after="0" w:line="240" w:lineRule="auto"/>
        <w:ind w:right="763"/>
        <w:jc w:val="both"/>
        <w:rPr>
          <w:rStyle w:val="FootnoteReference"/>
          <w:rFonts w:ascii="Times New Roman" w:hAnsi="Times New Roman" w:cs="Times New Roman"/>
          <w:sz w:val="20"/>
          <w:szCs w:val="20"/>
        </w:rPr>
      </w:pPr>
      <w:r w:rsidRPr="000C17BD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proofErr w:type="spellStart"/>
      <w:r w:rsidR="00FF5A19" w:rsidRPr="000C17BD">
        <w:rPr>
          <w:rFonts w:ascii="Times New Roman" w:hAnsi="Times New Roman" w:cs="Times New Roman"/>
          <w:sz w:val="20"/>
          <w:szCs w:val="20"/>
        </w:rPr>
        <w:t>Vade</w:t>
      </w:r>
      <w:proofErr w:type="spellEnd"/>
      <w:r w:rsidR="00FF5A19" w:rsidRPr="000C1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5A19" w:rsidRPr="000C17BD">
        <w:rPr>
          <w:rFonts w:ascii="Times New Roman" w:hAnsi="Times New Roman" w:cs="Times New Roman"/>
          <w:sz w:val="20"/>
          <w:szCs w:val="20"/>
        </w:rPr>
        <w:t>Mecum</w:t>
      </w:r>
      <w:proofErr w:type="spellEnd"/>
      <w:r w:rsidR="00FF5A19" w:rsidRPr="000C17BD">
        <w:rPr>
          <w:rFonts w:ascii="Times New Roman" w:hAnsi="Times New Roman" w:cs="Times New Roman"/>
          <w:sz w:val="20"/>
          <w:szCs w:val="20"/>
        </w:rPr>
        <w:t xml:space="preserve">. 10 ed. </w:t>
      </w:r>
      <w:r w:rsidR="00FF5A19" w:rsidRPr="000C17BD">
        <w:rPr>
          <w:rFonts w:ascii="Times New Roman" w:hAnsi="Times New Roman" w:cs="Times New Roman"/>
          <w:sz w:val="20"/>
          <w:szCs w:val="20"/>
        </w:rPr>
        <w:t>Editora Saraiva, 2010</w:t>
      </w:r>
      <w:r w:rsidRPr="000C17BD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16">
    <w:p w:rsidR="00446500" w:rsidRPr="000C17BD" w:rsidRDefault="00446500" w:rsidP="000C17BD">
      <w:pPr>
        <w:spacing w:after="0" w:line="240" w:lineRule="auto"/>
        <w:jc w:val="both"/>
        <w:rPr>
          <w:rStyle w:val="FootnoteReference"/>
          <w:rFonts w:ascii="Times New Roman" w:hAnsi="Times New Roman" w:cs="Times New Roman"/>
          <w:sz w:val="20"/>
          <w:szCs w:val="20"/>
        </w:rPr>
      </w:pPr>
      <w:r w:rsidRPr="000C17BD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Pr="000C17BD">
        <w:rPr>
          <w:rFonts w:ascii="Times New Roman" w:hAnsi="Times New Roman" w:cs="Times New Roman"/>
          <w:sz w:val="20"/>
          <w:szCs w:val="20"/>
        </w:rPr>
        <w:t xml:space="preserve"> </w:t>
      </w:r>
      <w:r w:rsidR="00FF5A19" w:rsidRPr="000C17BD">
        <w:rPr>
          <w:rFonts w:ascii="Times New Roman" w:hAnsi="Times New Roman" w:cs="Times New Roman"/>
          <w:iCs/>
          <w:sz w:val="20"/>
          <w:szCs w:val="20"/>
        </w:rPr>
        <w:t xml:space="preserve">PRADO, Luís Regis. Curso de Direito Penal Brasileiro – Parte Geral. Vol. 1. </w:t>
      </w:r>
      <w:r w:rsidR="00FF5A19" w:rsidRPr="000C17BD">
        <w:rPr>
          <w:rFonts w:ascii="Times New Roman" w:hAnsi="Times New Roman" w:cs="Times New Roman"/>
          <w:iCs/>
          <w:sz w:val="20"/>
          <w:szCs w:val="20"/>
        </w:rPr>
        <w:t>9 ed. Editora Revista dos Tribunais. São Paulo, 2010. P. 674</w:t>
      </w:r>
      <w:r w:rsidRPr="000C17BD">
        <w:rPr>
          <w:rFonts w:ascii="Times New Roman" w:hAnsi="Times New Roman" w:cs="Times New Roman"/>
          <w:sz w:val="20"/>
          <w:szCs w:val="20"/>
        </w:rPr>
        <w:t>.</w:t>
      </w:r>
      <w:r w:rsidR="00FF5A19" w:rsidRPr="000C17BD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17">
    <w:p w:rsidR="00446500" w:rsidRPr="009D0F1F" w:rsidRDefault="00446500" w:rsidP="000C17BD">
      <w:pPr>
        <w:spacing w:after="0" w:line="240" w:lineRule="auto"/>
        <w:ind w:right="763"/>
        <w:jc w:val="both"/>
        <w:rPr>
          <w:rStyle w:val="FootnoteReference"/>
        </w:rPr>
      </w:pPr>
      <w:r w:rsidRPr="000C17BD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proofErr w:type="spellStart"/>
      <w:r w:rsidR="00FF5A19" w:rsidRPr="000C17BD">
        <w:rPr>
          <w:rFonts w:ascii="Times New Roman" w:hAnsi="Times New Roman" w:cs="Times New Roman"/>
          <w:sz w:val="20"/>
          <w:szCs w:val="20"/>
        </w:rPr>
        <w:t>Ibiem</w:t>
      </w:r>
      <w:proofErr w:type="spellEnd"/>
      <w:r w:rsidRPr="000C17BD">
        <w:rPr>
          <w:rFonts w:ascii="Times New Roman" w:hAnsi="Times New Roman" w:cs="Times New Roman"/>
          <w:sz w:val="20"/>
          <w:szCs w:val="20"/>
        </w:rPr>
        <w:t>.</w:t>
      </w:r>
      <w:r w:rsidR="00FF5A19" w:rsidRPr="000C17BD">
        <w:rPr>
          <w:rFonts w:ascii="Times New Roman" w:hAnsi="Times New Roman" w:cs="Times New Roman"/>
          <w:sz w:val="20"/>
          <w:szCs w:val="20"/>
        </w:rPr>
        <w:t xml:space="preserve"> P.143</w:t>
      </w:r>
      <w:r w:rsidRPr="00D11416">
        <w:rPr>
          <w:rFonts w:ascii="Times New Roman" w:hAnsi="Times New Roman" w:cs="Times New Roman"/>
          <w:sz w:val="20"/>
          <w:szCs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4C"/>
    <w:rsid w:val="00014991"/>
    <w:rsid w:val="0003458B"/>
    <w:rsid w:val="0004066F"/>
    <w:rsid w:val="00051C39"/>
    <w:rsid w:val="00076F6D"/>
    <w:rsid w:val="000B2E64"/>
    <w:rsid w:val="000B7ABF"/>
    <w:rsid w:val="000C17BD"/>
    <w:rsid w:val="000C732B"/>
    <w:rsid w:val="000D7185"/>
    <w:rsid w:val="000E6FC0"/>
    <w:rsid w:val="000E7435"/>
    <w:rsid w:val="00103D3E"/>
    <w:rsid w:val="0011408C"/>
    <w:rsid w:val="001411A6"/>
    <w:rsid w:val="001506D4"/>
    <w:rsid w:val="0016507D"/>
    <w:rsid w:val="001B6FBF"/>
    <w:rsid w:val="001D5278"/>
    <w:rsid w:val="001F7241"/>
    <w:rsid w:val="0020034A"/>
    <w:rsid w:val="002A41F2"/>
    <w:rsid w:val="002D0797"/>
    <w:rsid w:val="002E6DA2"/>
    <w:rsid w:val="00312727"/>
    <w:rsid w:val="00320C0A"/>
    <w:rsid w:val="00346CD5"/>
    <w:rsid w:val="003B5C9E"/>
    <w:rsid w:val="003E0955"/>
    <w:rsid w:val="003E6F2F"/>
    <w:rsid w:val="0043572D"/>
    <w:rsid w:val="00446500"/>
    <w:rsid w:val="0045610A"/>
    <w:rsid w:val="0046661A"/>
    <w:rsid w:val="0047133A"/>
    <w:rsid w:val="00474465"/>
    <w:rsid w:val="004C3BAD"/>
    <w:rsid w:val="004E54EE"/>
    <w:rsid w:val="004E6018"/>
    <w:rsid w:val="004F6E82"/>
    <w:rsid w:val="00502094"/>
    <w:rsid w:val="005214F5"/>
    <w:rsid w:val="005314A5"/>
    <w:rsid w:val="0053783F"/>
    <w:rsid w:val="005448B7"/>
    <w:rsid w:val="00575FFD"/>
    <w:rsid w:val="00580713"/>
    <w:rsid w:val="005946A4"/>
    <w:rsid w:val="005E2365"/>
    <w:rsid w:val="00636145"/>
    <w:rsid w:val="00675510"/>
    <w:rsid w:val="006978B5"/>
    <w:rsid w:val="006D4707"/>
    <w:rsid w:val="00731158"/>
    <w:rsid w:val="00741476"/>
    <w:rsid w:val="00741F4C"/>
    <w:rsid w:val="00745049"/>
    <w:rsid w:val="007460C0"/>
    <w:rsid w:val="0075655C"/>
    <w:rsid w:val="0076551E"/>
    <w:rsid w:val="00791707"/>
    <w:rsid w:val="007A2677"/>
    <w:rsid w:val="007C778E"/>
    <w:rsid w:val="008167D6"/>
    <w:rsid w:val="00843639"/>
    <w:rsid w:val="008718C7"/>
    <w:rsid w:val="0088069B"/>
    <w:rsid w:val="00885DBA"/>
    <w:rsid w:val="008962FA"/>
    <w:rsid w:val="008A078A"/>
    <w:rsid w:val="008A3CAD"/>
    <w:rsid w:val="008B47A3"/>
    <w:rsid w:val="009533AE"/>
    <w:rsid w:val="0096501F"/>
    <w:rsid w:val="009654B8"/>
    <w:rsid w:val="009756EA"/>
    <w:rsid w:val="00983860"/>
    <w:rsid w:val="009941C6"/>
    <w:rsid w:val="009B008C"/>
    <w:rsid w:val="009C0C68"/>
    <w:rsid w:val="009D6428"/>
    <w:rsid w:val="009F33EA"/>
    <w:rsid w:val="00A14FE1"/>
    <w:rsid w:val="00A301C1"/>
    <w:rsid w:val="00A353F3"/>
    <w:rsid w:val="00A730DB"/>
    <w:rsid w:val="00A75814"/>
    <w:rsid w:val="00A921F8"/>
    <w:rsid w:val="00AB373E"/>
    <w:rsid w:val="00AE3AB1"/>
    <w:rsid w:val="00B022BA"/>
    <w:rsid w:val="00B17140"/>
    <w:rsid w:val="00B4267E"/>
    <w:rsid w:val="00B4786F"/>
    <w:rsid w:val="00B6485C"/>
    <w:rsid w:val="00B80406"/>
    <w:rsid w:val="00B961F7"/>
    <w:rsid w:val="00BB70D9"/>
    <w:rsid w:val="00C05778"/>
    <w:rsid w:val="00C064C6"/>
    <w:rsid w:val="00C10A70"/>
    <w:rsid w:val="00C33407"/>
    <w:rsid w:val="00C40CCB"/>
    <w:rsid w:val="00C44A4C"/>
    <w:rsid w:val="00C61C5C"/>
    <w:rsid w:val="00C70052"/>
    <w:rsid w:val="00CA5E8B"/>
    <w:rsid w:val="00CB1E2A"/>
    <w:rsid w:val="00D85A7E"/>
    <w:rsid w:val="00DB1667"/>
    <w:rsid w:val="00DD79BB"/>
    <w:rsid w:val="00E9380D"/>
    <w:rsid w:val="00EA6CD2"/>
    <w:rsid w:val="00EF5DEF"/>
    <w:rsid w:val="00F36A4D"/>
    <w:rsid w:val="00F5273D"/>
    <w:rsid w:val="00F602D9"/>
    <w:rsid w:val="00F91CFC"/>
    <w:rsid w:val="00F97CBE"/>
    <w:rsid w:val="00FA56F9"/>
    <w:rsid w:val="00FE504C"/>
    <w:rsid w:val="00FE5924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A4C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4A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C44A4C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rsid w:val="00C44A4C"/>
    <w:rPr>
      <w:rFonts w:ascii="Arial" w:eastAsia="Times New Roman" w:hAnsi="Arial" w:cs="Arial"/>
      <w:sz w:val="20"/>
      <w:szCs w:val="20"/>
      <w:lang w:val="pt-BR" w:eastAsia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C44A4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E6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47A3"/>
    <w:rPr>
      <w:b/>
      <w:bCs/>
    </w:rPr>
  </w:style>
  <w:style w:type="paragraph" w:customStyle="1" w:styleId="tj">
    <w:name w:val="tj"/>
    <w:basedOn w:val="Normal"/>
    <w:rsid w:val="00A7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lhilite">
    <w:name w:val="hlhilite"/>
    <w:basedOn w:val="DefaultParagraphFont"/>
    <w:rsid w:val="00A730DB"/>
  </w:style>
  <w:style w:type="paragraph" w:styleId="Footer">
    <w:name w:val="footer"/>
    <w:basedOn w:val="Normal"/>
    <w:link w:val="FooterChar"/>
    <w:uiPriority w:val="99"/>
    <w:semiHidden/>
    <w:unhideWhenUsed/>
    <w:rsid w:val="0031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1272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7A267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A4C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4A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C44A4C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rsid w:val="00C44A4C"/>
    <w:rPr>
      <w:rFonts w:ascii="Arial" w:eastAsia="Times New Roman" w:hAnsi="Arial" w:cs="Arial"/>
      <w:sz w:val="20"/>
      <w:szCs w:val="20"/>
      <w:lang w:val="pt-BR" w:eastAsia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C44A4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E6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47A3"/>
    <w:rPr>
      <w:b/>
      <w:bCs/>
    </w:rPr>
  </w:style>
  <w:style w:type="paragraph" w:customStyle="1" w:styleId="tj">
    <w:name w:val="tj"/>
    <w:basedOn w:val="Normal"/>
    <w:rsid w:val="00A7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lhilite">
    <w:name w:val="hlhilite"/>
    <w:basedOn w:val="DefaultParagraphFont"/>
    <w:rsid w:val="00A730DB"/>
  </w:style>
  <w:style w:type="paragraph" w:styleId="Footer">
    <w:name w:val="footer"/>
    <w:basedOn w:val="Normal"/>
    <w:link w:val="FooterChar"/>
    <w:uiPriority w:val="99"/>
    <w:semiHidden/>
    <w:unhideWhenUsed/>
    <w:rsid w:val="0031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1272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7A2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201348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008000"/>
                                <w:left w:val="single" w:sz="2" w:space="4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6981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9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13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61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104224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008000"/>
                                <w:left w:val="single" w:sz="2" w:space="4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148558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77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0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0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1614</Words>
  <Characters>9200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Marcos Gessi</cp:lastModifiedBy>
  <cp:revision>2</cp:revision>
  <dcterms:created xsi:type="dcterms:W3CDTF">2016-06-23T18:00:00Z</dcterms:created>
  <dcterms:modified xsi:type="dcterms:W3CDTF">2016-06-23T18:00:00Z</dcterms:modified>
</cp:coreProperties>
</file>