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2D" w:rsidRPr="003E0D84" w:rsidRDefault="00E233FA" w:rsidP="004D1223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0D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 </w:t>
      </w:r>
      <w:proofErr w:type="spellStart"/>
      <w:r w:rsidRPr="003E0D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fun</w:t>
      </w:r>
      <w:proofErr w:type="spellEnd"/>
      <w:r w:rsidRPr="003E0D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pt-PT"/>
        </w:rPr>
        <w:t xml:space="preserve">ção social de propriedade x usucapião de propriedade: </w:t>
      </w:r>
      <w:r w:rsidRPr="003E0D84">
        <w:rPr>
          <w:rFonts w:ascii="Times New Roman" w:eastAsia="Times New Roman" w:hAnsi="Times New Roman" w:cs="Times New Roman"/>
          <w:color w:val="auto"/>
          <w:sz w:val="28"/>
          <w:szCs w:val="28"/>
          <w:lang w:val="pt-PT"/>
        </w:rPr>
        <w:t>A nova modalidade de usucapir, prevista no artigo 1.240 CC, e a previsibilidade dos seus impactos no Direito de Famí</w:t>
      </w:r>
      <w:r w:rsidRPr="003E0D84">
        <w:rPr>
          <w:rFonts w:ascii="Times New Roman" w:eastAsia="Times New Roman" w:hAnsi="Times New Roman" w:cs="Times New Roman"/>
          <w:color w:val="auto"/>
          <w:sz w:val="28"/>
          <w:szCs w:val="28"/>
        </w:rPr>
        <w:t>lia</w:t>
      </w:r>
      <w:proofErr w:type="gramStart"/>
      <w:r w:rsidRPr="003E0D8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footnoteReference w:id="2"/>
      </w:r>
      <w:proofErr w:type="gramEnd"/>
    </w:p>
    <w:p w:rsidR="009A392D" w:rsidRPr="003E0D84" w:rsidRDefault="009A392D" w:rsidP="004D1223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A392D" w:rsidRPr="003E0D84" w:rsidRDefault="00E233FA" w:rsidP="004D1223">
      <w:pPr>
        <w:pStyle w:val="SemEspaamento"/>
        <w:spacing w:line="36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3E0D8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Sarah Bazilio</w:t>
      </w:r>
      <w:r w:rsidRPr="003E0D8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vertAlign w:val="superscript"/>
        </w:rPr>
        <w:footnoteReference w:id="3"/>
      </w:r>
    </w:p>
    <w:p w:rsidR="009A392D" w:rsidRPr="003E0D84" w:rsidRDefault="00E233FA" w:rsidP="004D1223">
      <w:pPr>
        <w:pStyle w:val="SemEspaamento"/>
        <w:spacing w:line="36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3E0D8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Thiele Araujo</w:t>
      </w:r>
      <w:r w:rsidRPr="003E0D84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footnoteReference w:id="4"/>
      </w:r>
    </w:p>
    <w:p w:rsidR="009A392D" w:rsidRPr="003E0D84" w:rsidRDefault="009A392D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:rsidR="009A392D" w:rsidRPr="003E0D84" w:rsidRDefault="00E233FA" w:rsidP="00406B44">
      <w:pPr>
        <w:pStyle w:val="SemEspaamento"/>
        <w:ind w:left="453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E0D8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Sumário:</w:t>
      </w:r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Introdução; </w:t>
      </w:r>
      <w:proofErr w:type="gramStart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  <w:proofErr w:type="gramEnd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Considerações sobre Usucapião; 2 Da espécie: Usucapião Especial Urbano por abandono de lar (Artigo 1.240 CC); 2.1 Do Abandono do lar; 2.2 Do Divórcio; 3Previsilibidade dos Impactos Sociais; 3.1Da lesão ao principio da igualdade; 3.2Da lesão ao principio da liberdade; 3.3 Da diminuição de prazo pra usucapir imóvel urbano; Conclusão; Referências.</w:t>
      </w:r>
    </w:p>
    <w:p w:rsidR="009A392D" w:rsidRPr="003E0D84" w:rsidRDefault="009A392D" w:rsidP="004D1223">
      <w:pPr>
        <w:pStyle w:val="SemEspaamento"/>
        <w:spacing w:line="360" w:lineRule="auto"/>
        <w:ind w:left="453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06B44" w:rsidRDefault="00406B44" w:rsidP="00406B44">
      <w:pPr>
        <w:pStyle w:val="SemEspaamento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RESUMO</w:t>
      </w:r>
    </w:p>
    <w:p w:rsidR="00406B44" w:rsidRDefault="00406B44" w:rsidP="00406B44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 presente paper analisa o artigo 1.240-A do Codigo Civil a partit da conversão da Medida Provisoria 514/2010 na Lei Federal nº 12.424 de 2011 e seus impactos no ordenamento juridico, levamento principalemente em cosideração sua suposta incosituticonaldadade e reflexos no Direito Real e de Familia. Foi relevante ainda ensejar a Emenda Constitucinal 66 de 2010, para deixar cristalino o retrocesso na materia de discussçao acerca da sanção na culpa da separação.</w:t>
      </w:r>
    </w:p>
    <w:p w:rsidR="00406B44" w:rsidRPr="00406B44" w:rsidRDefault="00406B44" w:rsidP="00406B44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Palavras Chaves: Usucapião familia – inconstitucionalidade material – lesão de principios – retrocesso no ordenamento juridico</w:t>
      </w:r>
    </w:p>
    <w:p w:rsidR="00406B44" w:rsidRDefault="00406B44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A392D" w:rsidRPr="003E0D84" w:rsidRDefault="00406B44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INTRODUÇÃO</w:t>
      </w:r>
    </w:p>
    <w:p w:rsidR="009A392D" w:rsidRPr="003E0D84" w:rsidRDefault="009A392D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A392D" w:rsidRPr="003E0D84" w:rsidRDefault="00406B44" w:rsidP="00406B44">
      <w:pPr>
        <w:pStyle w:val="Corp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ab/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O presente estudo objetiva traçar um caminho para o entendimento da nova espé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cie de usucapi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r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, denominada dentre outros nomes de usucapião familiar ou usucapião especial de </w:t>
      </w:r>
      <w:r w:rsidR="00C57BF9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i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móvel urbano, trazida pela legislaçã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 xml:space="preserve">o 12.424/2011 que </w:t>
      </w:r>
      <w:proofErr w:type="spellStart"/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disp</w:t>
      </w:r>
      <w:proofErr w:type="spellEnd"/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õe sobre o programa Minha Casa Minha Vida. Tal lei implicou na inserção de um novo modo de usucapir, deste afirma a possibilidade de um cônjuge usucapir o outro, ao preencher os requisitos do disposto em lei.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       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No entanto, esse instituto trouxe a tona questionamentos sobre seus efeitos sociais, gerando 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lastRenderedPageBreak/>
        <w:t>dúvidas sobre sua necessidade, bem como críticas sobre sua constitucionalidade. Logo, acredita-se que tal legislação pode estar equivocada.</w:t>
      </w:r>
    </w:p>
    <w:p w:rsidR="009A392D" w:rsidRPr="003E0D84" w:rsidRDefault="00406B44" w:rsidP="00406B44">
      <w:pPr>
        <w:pStyle w:val="Body1"/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Exemplifica-se, primeiramente, o requisito do abandono do lar, fez renascer o motivo de culpa aplicando uma sanção civil àquele que assim fizesse, ou seja, não teria esse mais direito patrimonial sob o imóvel, o que fere diretamente o direito a liberdade. Segundo, porque o mesmo se delimita a falar só sobre os bens imóveis urbanos, sem mencionar os imóveis rurais ferindo também o Principio da Igualdade e, por fim o terceiro, que é sobre a discrepância na diminuição do prazo para usucapir, ao ir de encontro com a Constituição Federal de 1988.</w:t>
      </w:r>
    </w:p>
    <w:p w:rsidR="009A392D" w:rsidRPr="003E0D84" w:rsidRDefault="00406B44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CONSIDERAÇÕES SOBRE USUCAPIÃO</w:t>
      </w:r>
    </w:p>
    <w:p w:rsidR="009E3A3E" w:rsidRPr="003E0D84" w:rsidRDefault="009E3A3E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6A9C" w:rsidRPr="003E0D84" w:rsidRDefault="00406B44" w:rsidP="00406B44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Entende-se por usucapião o direito que detém o possuidor de tornar-se proprietário do imóvel do qual exerce os direitos de propriedade: poder de usar, fruir e dispor da coisa. Em outras palavras, é um meio de aquisição de propriedade. 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Ainda assim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o Código Civil de 2002 o denomina impropriamente 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como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prescrição aquisitiva. 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 instituto da u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sucapião é a aquisição d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 domínio pela posse prolongada; dessa conceituação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pode-se 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apontar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dois requisitos essensiais: a posse e o tempo.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São três as suas espécies, 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delas 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entende-se: </w:t>
      </w:r>
      <w:proofErr w:type="gramStart"/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usucapião extra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ordinário</w:t>
      </w:r>
      <w:proofErr w:type="gramEnd"/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usucapião ordinário e 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usucapião especial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(sub</w:t>
      </w:r>
      <w:r w:rsidR="00425AD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dividindo-se em 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rural e urbano)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Sobre seu fundamento ético, alguns juristas apontam para: </w:t>
      </w:r>
      <w:r w:rsidR="00FC3F1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 abandono da coisa pelo antigo dono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; para outros, a</w:t>
      </w:r>
      <w:r w:rsidR="00FC3F1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necessidade de se atribuir ce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rteza do direito de propriedade; </w:t>
      </w:r>
      <w:r w:rsidR="00FC3F1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mais, </w:t>
      </w:r>
      <w:r w:rsidR="00FC3F1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 segurança social aliada ao aproveitam</w:t>
      </w:r>
      <w:r w:rsidR="00094BE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ento econômico do bem usucapido (</w:t>
      </w:r>
      <w:r w:rsidR="003035E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PEREIRA, 200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094BE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doutrina afirma que tal instituto fundamenta-se no princípio da utilidade social, assim, implica à propriedade uma segurança, uma firmeza que a liberta de futuras reivindicações, dando segurança e estabilidade ao proprietário, mas também à vida social (GONÇALVES, 2012, p. 417). </w:t>
      </w:r>
    </w:p>
    <w:p w:rsidR="003604CF" w:rsidRPr="003E0D84" w:rsidRDefault="00406B44" w:rsidP="00406B44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gramStart"/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 espécie de usucapião e</w:t>
      </w:r>
      <w:r w:rsidR="003604C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xtraordinário</w:t>
      </w:r>
      <w:proofErr w:type="gramEnd"/>
      <w:r w:rsidR="007A527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tem regulamento no 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1.238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, do C</w:t>
      </w:r>
      <w:r w:rsidR="007A527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ódigo 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="007A527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ivil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nos seguintes termos “</w:t>
      </w:r>
      <w:r w:rsidR="00D22FC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quele que, por 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quinze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anos, sem interrupção, nem oposição, possuir como seu 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um 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im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óvel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adquire-lhe a propriedade, independentemente de título e boa-fé; 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podendo requerer ao juiz que assim o declare por se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ntença, a qual 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ervirá de tí</w:t>
      </w:r>
      <w:r w:rsidR="00432AF9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tulo para </w:t>
      </w:r>
      <w:r w:rsidR="001A054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 registro no Cartório de Registros Imóveis”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citado, entende-se 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conforme o doutrinador Carlos Gonçalves (2012, p. 175), </w:t>
      </w:r>
      <w:r w:rsidR="004C07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os </w:t>
      </w:r>
      <w:r w:rsidR="00B5448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requisitos 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</w:t>
      </w:r>
      <w:proofErr w:type="gramStart"/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usucapião</w:t>
      </w:r>
      <w:r w:rsidR="00B5448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extraordin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á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rio</w:t>
      </w:r>
      <w:proofErr w:type="gramEnd"/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“A </w:t>
      </w:r>
      <w:r w:rsidR="00B5448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posse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quinze anos (que pode reduzir-se a dez anos se o possuidor houver estabelecido no imóvel sua moradia habitual ou nele realizado obras e serviços de caráter produtivo), exercida com ânimo </w:t>
      </w:r>
      <w:r w:rsidR="009E3A3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de dono, de forma </w:t>
      </w:r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contínua, mansa e pacificamente”. 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Afirma Monteiro (2000, p.120), que estes requisitos </w:t>
      </w:r>
      <w:r w:rsidR="00BF272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são indispensáveis,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devem</w:t>
      </w:r>
      <w:r w:rsidR="00BF272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BF272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demonstrar que sua posse sobre o imóvel, exercida </w:t>
      </w:r>
      <w:r w:rsidR="00BF2721" w:rsidRPr="003E0D8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animus domini</w:t>
      </w:r>
      <w:r w:rsidR="00BF272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, durante prazo legal, nunca foi interrompida, nem sofreu oposição ou contestação de quem quer que seja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”, para que haja o reconhecimento 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da usucapião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44D56" w:rsidRPr="003E0D84" w:rsidRDefault="00406B44" w:rsidP="00406B44">
      <w:pPr>
        <w:pStyle w:val="SemEspaamento"/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Sobre </w:t>
      </w:r>
      <w:r w:rsidR="00C471A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usucapião ordinária, entende-se </w:t>
      </w:r>
      <w:proofErr w:type="gramStart"/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ser</w:t>
      </w:r>
      <w:proofErr w:type="gramEnd"/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requisitos necessários</w:t>
      </w:r>
      <w:r w:rsidR="00C471AD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posse de dez anos, exercida com ânimo de dono, de forma contínua, mansa e paficifamente, além do justo título e boa-fé. </w:t>
      </w:r>
      <w:proofErr w:type="gramStart"/>
      <w:r w:rsidR="00EB1B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É</w:t>
      </w:r>
      <w:proofErr w:type="gramEnd"/>
      <w:r w:rsidR="00EB1B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</w:t>
      </w:r>
      <w:r w:rsidR="00635DE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isciplinada</w:t>
      </w:r>
      <w:r w:rsidR="00EB1B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art. 1.242 do Código Civil: 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“Ad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quire tambem a propriedade do i</w:t>
      </w:r>
      <w:r w:rsidR="009B6C0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óvel aquele que, contí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nua e</w:t>
      </w:r>
      <w:r w:rsidR="00516A9C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incontestadamente, com justo tí</w:t>
      </w:r>
      <w:r w:rsidR="00244D56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tulo e boa-fé, o possuir por mais de 10 (dez) anos”</w:t>
      </w:r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B1B7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(GONÇALVES, 2012, p. 176).</w:t>
      </w:r>
    </w:p>
    <w:p w:rsidR="001117B4" w:rsidRPr="003E0D84" w:rsidRDefault="00406B44" w:rsidP="00406B44">
      <w:pPr>
        <w:pStyle w:val="SemEspaamento"/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Sobre a última espécie, a u</w:t>
      </w:r>
      <w:r w:rsidR="003604CF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sucapião especial</w:t>
      </w:r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também conhecida como usucapião constitucional, por ter sido inserida pela Constituição Federal</w:t>
      </w:r>
      <w:r w:rsidR="00B00C5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entende-se que possui duas subdivisões: </w:t>
      </w:r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usucapião especial rural (</w:t>
      </w:r>
      <w:proofErr w:type="gramStart"/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pro labore</w:t>
      </w:r>
      <w:proofErr w:type="gramEnd"/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e usucapião especial urbana</w:t>
      </w:r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D954DE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pró-moradia</w:t>
      </w:r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B00C5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; está última constitui inovação trazida pela CF de 1988, regulamentada em seu art. 183, bem como no Estatudo da Cidade (Lei n. 10. 257, de 2001), arts. 9º e 10, apresentando os modos individ</w:t>
      </w:r>
      <w:r w:rsidR="00B673A7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ual e coletivo, respectivamente </w:t>
      </w:r>
      <w:r w:rsidR="00B00C5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(GONÇALVES, 2012).</w:t>
      </w:r>
      <w:r w:rsidR="001117B4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primeira, a usucapião especial rural, além dos requisitos dispostos no art. 191, CF e art. 1.239, CC, “pressupõe que o possuidor tenha com o seu esforço pessoal e de seus familiares dado à terra rural alguma destinação econômica”, como afirma o doutrinador Fábio Ulhoa Coelho (2012, p. 80). Diante das conceituações aqui exemplificadas, pode-se partir para a construção do principal entendimento aqui objetivado, a usucapião especial urban</w:t>
      </w:r>
      <w:r w:rsidR="005511BB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1117B4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sua mais nova modalidade.</w:t>
      </w:r>
    </w:p>
    <w:p w:rsidR="00D954DE" w:rsidRPr="003E0D84" w:rsidRDefault="00D954DE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A392D" w:rsidRPr="003E0D84" w:rsidRDefault="00E233FA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3E0D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  <w:proofErr w:type="gramEnd"/>
      <w:r w:rsidRPr="003E0D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 ESPÉCIE: USUCAPIÃO ESPECIAL URBANO POR AB</w:t>
      </w:r>
      <w:r w:rsidR="00406B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ANDONO DE LAR (ARTIGO 1.240 CC)</w:t>
      </w:r>
    </w:p>
    <w:p w:rsidR="00406B44" w:rsidRDefault="00406B44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A392D" w:rsidRPr="00406B44" w:rsidRDefault="00406B44" w:rsidP="00406B44">
      <w:pPr>
        <w:pStyle w:val="SemEspaamento"/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E303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Sabe-se que a propriedade é direito fundamental, como bem diz a Constituição Federal. “A vida, a possibilidade de ir e vir, a manifestação de opinião e a possib</w:t>
      </w:r>
      <w:r w:rsidR="009E303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ilidade de reunião pertencem </w:t>
      </w:r>
      <w:proofErr w:type="gramStart"/>
      <w:r w:rsidR="009E303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proofErr w:type="gramEnd"/>
      <w:r w:rsidR="009E303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natureza do ser humano”, reforça Gilmar Mendes (2012, p. 313</w:t>
      </w:r>
      <w:r w:rsidR="00120F3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), diz que a própria ordem jurídica transforma o ter em propriedade. A legislação aqui em estudo</w:t>
      </w:r>
      <w:proofErr w:type="gramStart"/>
      <w:r w:rsidR="00120F3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, trouxera</w:t>
      </w:r>
      <w:proofErr w:type="gramEnd"/>
      <w:r w:rsidR="00120F30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inovações ao Direito para regulamentar a </w:t>
      </w:r>
      <w:r w:rsidR="00067F98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Medida Provisória 514/2010, conhecido como o “Programa Minha Casa Minha Vida”; este não reconhecia a possibilidade de usucapir entre cônjuges, mas sua alteração foi alvo de muitas reflexões, pois objetiva nada mais que </w:t>
      </w:r>
      <w:r w:rsidR="003E0D84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proprorcionar às mulheres </w:t>
      </w:r>
      <w:r w:rsidR="00067F98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de baixa renda maior segurança e melhores condições de vida</w:t>
      </w:r>
      <w:r w:rsidR="003E0D84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, tal pensamento não exclui as demais possibilidades de usucapião pró-moradia</w:t>
      </w:r>
      <w:r w:rsidR="00067F98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Sua redação foi pensada pelo Deputado André </w:t>
      </w:r>
      <w:r w:rsidR="00067F98" w:rsidRPr="00406B44">
        <w:rPr>
          <w:rFonts w:ascii="Times New Roman" w:eastAsia="Times New Roman" w:hAnsi="Times New Roman" w:cs="Times New Roman"/>
          <w:color w:val="auto"/>
          <w:sz w:val="24"/>
          <w:szCs w:val="24"/>
        </w:rPr>
        <w:t>Vargas do PT/PR</w:t>
      </w:r>
      <w:r w:rsidR="00067F98" w:rsidRPr="00406B44">
        <w:rPr>
          <w:rFonts w:ascii="Times New Roman" w:hAnsi="Times New Roman" w:cs="Times New Roman"/>
          <w:color w:val="auto"/>
          <w:sz w:val="24"/>
          <w:szCs w:val="24"/>
        </w:rPr>
        <w:t xml:space="preserve"> com o objetivo de permitir o “fortalecimento </w:t>
      </w:r>
      <w:r w:rsidR="00067F98" w:rsidRPr="00406B44">
        <w:rPr>
          <w:rFonts w:ascii="Times New Roman" w:hAnsi="Times New Roman" w:cs="Times New Roman"/>
          <w:color w:val="auto"/>
          <w:sz w:val="24"/>
          <w:szCs w:val="24"/>
        </w:rPr>
        <w:lastRenderedPageBreak/>
        <w:t>das mu</w:t>
      </w:r>
      <w:r w:rsidR="003E0D84" w:rsidRPr="00406B44">
        <w:rPr>
          <w:rFonts w:ascii="Times New Roman" w:hAnsi="Times New Roman" w:cs="Times New Roman"/>
          <w:color w:val="auto"/>
          <w:sz w:val="24"/>
          <w:szCs w:val="24"/>
        </w:rPr>
        <w:t xml:space="preserve">lheres como chefes de família” (WESENDONCK, 2012, p. [?]). </w:t>
      </w:r>
      <w:r w:rsidR="00E233FA" w:rsidRPr="00406B44">
        <w:rPr>
          <w:rFonts w:ascii="Times New Roman" w:eastAsia="Times New Roman" w:hAnsi="Times New Roman" w:cs="Times New Roman"/>
          <w:color w:val="auto"/>
          <w:sz w:val="24"/>
          <w:szCs w:val="24"/>
        </w:rPr>
        <w:t>Trata-se do principal objeto deste estudo, criado pela Lei n. 12.424, de 16 de junho de 2011, trouxe esta nova modalidade de usucapião especial urbana – também denominada usucapião pró-</w:t>
      </w:r>
      <w:r w:rsidR="00A73B26" w:rsidRPr="00406B44">
        <w:rPr>
          <w:rFonts w:ascii="Times New Roman" w:eastAsia="Times New Roman" w:hAnsi="Times New Roman" w:cs="Times New Roman"/>
          <w:color w:val="auto"/>
          <w:sz w:val="24"/>
          <w:szCs w:val="24"/>
        </w:rPr>
        <w:t>moradia ou usucapião familiar –,</w:t>
      </w:r>
      <w:r w:rsidR="00E233FA" w:rsidRPr="00406B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expressa no artigo 1.240-A e seu § 1º, a seguir</w:t>
      </w:r>
      <w:r w:rsidRPr="00406B44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406B44" w:rsidRDefault="00406B44" w:rsidP="00406B44">
      <w:pPr>
        <w:pStyle w:val="NormalWeb"/>
        <w:spacing w:before="0" w:after="0"/>
        <w:ind w:left="2268"/>
        <w:jc w:val="both"/>
        <w:rPr>
          <w:rFonts w:eastAsia="Calibri"/>
          <w:b/>
          <w:bCs/>
          <w:color w:val="auto"/>
          <w:sz w:val="20"/>
          <w:szCs w:val="20"/>
        </w:rPr>
      </w:pPr>
      <w:bookmarkStart w:id="0" w:name="Art_1240A"/>
    </w:p>
    <w:p w:rsidR="009A392D" w:rsidRPr="003E0D84" w:rsidRDefault="00E233FA" w:rsidP="00406B44">
      <w:pPr>
        <w:pStyle w:val="NormalWeb"/>
        <w:spacing w:before="0" w:after="0"/>
        <w:ind w:left="2268"/>
        <w:jc w:val="both"/>
        <w:rPr>
          <w:color w:val="auto"/>
          <w:sz w:val="20"/>
          <w:szCs w:val="20"/>
        </w:rPr>
      </w:pPr>
      <w:r w:rsidRPr="003E0D84">
        <w:rPr>
          <w:rFonts w:eastAsia="Calibri"/>
          <w:b/>
          <w:bCs/>
          <w:color w:val="auto"/>
          <w:sz w:val="20"/>
          <w:szCs w:val="20"/>
        </w:rPr>
        <w:t>Art. 1.240-A</w:t>
      </w:r>
      <w:bookmarkEnd w:id="0"/>
      <w:r w:rsidRPr="003E0D84">
        <w:rPr>
          <w:color w:val="auto"/>
          <w:sz w:val="20"/>
          <w:szCs w:val="20"/>
        </w:rPr>
        <w:t xml:space="preserve">. Aquele que exercer, por </w:t>
      </w:r>
      <w:proofErr w:type="gramStart"/>
      <w:r w:rsidRPr="003E0D84">
        <w:rPr>
          <w:color w:val="auto"/>
          <w:sz w:val="20"/>
          <w:szCs w:val="20"/>
        </w:rPr>
        <w:t>2</w:t>
      </w:r>
      <w:proofErr w:type="gramEnd"/>
      <w:r w:rsidRPr="003E0D84">
        <w:rPr>
          <w:color w:val="auto"/>
          <w:sz w:val="20"/>
          <w:szCs w:val="20"/>
        </w:rPr>
        <w:t xml:space="preserve"> (dois) anos ininterruptamente e sem oposição, posse direta, com exclusividade, sobre imóvel urbano de até 250m² (duzentos e cinquenta metros quadrados) cuja propriedade divida com ex-cônjuge ou ex-companheiro que abandonou o lar, utilizando-o para sua moradia ou de sua família, adquirir-lhe-á o domínio integral, desde que não seja proprietário de outro imóvel urbano ou rural.</w:t>
      </w:r>
    </w:p>
    <w:p w:rsidR="009A392D" w:rsidRPr="003E0D84" w:rsidRDefault="00E233FA" w:rsidP="00406B44">
      <w:pPr>
        <w:pStyle w:val="NormalWeb"/>
        <w:spacing w:before="0" w:after="0"/>
        <w:ind w:left="2268"/>
        <w:jc w:val="both"/>
        <w:rPr>
          <w:color w:val="auto"/>
          <w:sz w:val="20"/>
          <w:szCs w:val="20"/>
        </w:rPr>
      </w:pPr>
      <w:r w:rsidRPr="003E0D84">
        <w:rPr>
          <w:rFonts w:eastAsia="Calibri"/>
          <w:b/>
          <w:bCs/>
          <w:color w:val="auto"/>
          <w:sz w:val="20"/>
          <w:szCs w:val="20"/>
        </w:rPr>
        <w:t>§ 1º</w:t>
      </w:r>
      <w:r w:rsidRPr="003E0D84">
        <w:rPr>
          <w:color w:val="auto"/>
          <w:sz w:val="20"/>
          <w:szCs w:val="20"/>
        </w:rPr>
        <w:t> O direito previsto no caput não será reconhecido ao mesmo possuidor mais de uma vez.</w:t>
      </w:r>
    </w:p>
    <w:p w:rsidR="00406B44" w:rsidRDefault="00406B44" w:rsidP="00406B44">
      <w:pPr>
        <w:pStyle w:val="NormalWeb"/>
        <w:tabs>
          <w:tab w:val="left" w:pos="1134"/>
        </w:tabs>
        <w:spacing w:before="0" w:after="0" w:line="360" w:lineRule="auto"/>
        <w:jc w:val="both"/>
        <w:rPr>
          <w:color w:val="auto"/>
        </w:rPr>
      </w:pPr>
      <w:r>
        <w:rPr>
          <w:color w:val="auto"/>
        </w:rPr>
        <w:tab/>
      </w:r>
    </w:p>
    <w:p w:rsidR="00A73B26" w:rsidRPr="003E0D84" w:rsidRDefault="00406B44" w:rsidP="00406B44">
      <w:pPr>
        <w:pStyle w:val="NormalWeb"/>
        <w:tabs>
          <w:tab w:val="left" w:pos="1134"/>
        </w:tabs>
        <w:spacing w:before="0" w:after="0" w:line="360" w:lineRule="auto"/>
        <w:jc w:val="both"/>
        <w:rPr>
          <w:color w:val="auto"/>
        </w:rPr>
      </w:pPr>
      <w:r>
        <w:rPr>
          <w:color w:val="auto"/>
        </w:rPr>
        <w:tab/>
      </w:r>
      <w:r w:rsidR="005511BB" w:rsidRPr="003E0D84">
        <w:rPr>
          <w:color w:val="auto"/>
        </w:rPr>
        <w:t xml:space="preserve">Sobre a usucapião especial urbano, entende-se ser de </w:t>
      </w:r>
      <w:proofErr w:type="gramStart"/>
      <w:r w:rsidR="005511BB" w:rsidRPr="003E0D84">
        <w:rPr>
          <w:color w:val="auto"/>
        </w:rPr>
        <w:t>5</w:t>
      </w:r>
      <w:proofErr w:type="gramEnd"/>
      <w:r w:rsidR="005511BB" w:rsidRPr="003E0D84">
        <w:rPr>
          <w:color w:val="auto"/>
        </w:rPr>
        <w:t xml:space="preserve"> (cinco) anos o prazo necessário para usucapir, quando é usado como moradia de possuidor ou de sua família; é indispensável que o possuidor não seja dono de nenhum outro imóvel, urbano ou rural (CF, art. 183; CC, art. 1.240; Estatuto da Cidade, art. 9º). A finalidade do instituto é que a função social seja alcançada, abarcando os interesses da população de baixa renda (COELHO, 2012). Complementa </w:t>
      </w:r>
      <w:r w:rsidR="00A73B26" w:rsidRPr="003E0D84">
        <w:rPr>
          <w:color w:val="auto"/>
        </w:rPr>
        <w:t>Carlos Roberto Gonçalves (2012, p. 184)</w:t>
      </w:r>
      <w:r w:rsidR="005511BB" w:rsidRPr="003E0D84">
        <w:rPr>
          <w:color w:val="auto"/>
        </w:rPr>
        <w:t xml:space="preserve">, que a concessão do imóvel poderá abranger o beneficiado somente uma vez. Acrescenta comentários, o mesmo autor, </w:t>
      </w:r>
      <w:r w:rsidR="00A73B26" w:rsidRPr="003E0D84">
        <w:rPr>
          <w:color w:val="auto"/>
        </w:rPr>
        <w:t>sobre os requisitos da Usucapião Familiar</w:t>
      </w:r>
      <w:r w:rsidR="005511BB" w:rsidRPr="003E0D84">
        <w:rPr>
          <w:color w:val="auto"/>
        </w:rPr>
        <w:t xml:space="preserve"> em comparação com a espécie citada</w:t>
      </w:r>
      <w:r w:rsidR="00A73B26" w:rsidRPr="003E0D84">
        <w:rPr>
          <w:color w:val="auto"/>
        </w:rPr>
        <w:t>:</w:t>
      </w:r>
    </w:p>
    <w:p w:rsidR="00406B44" w:rsidRDefault="00406B44" w:rsidP="004D1223">
      <w:pPr>
        <w:pStyle w:val="Corp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ind w:left="226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A392D" w:rsidRDefault="00A73B26" w:rsidP="00406B44">
      <w:pPr>
        <w:pStyle w:val="Corp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Podem ser apontadas, no entanto, as seguintes diferenças entre as duas modalidades: a) na usucapião familiar, ao contrário do que </w:t>
      </w:r>
      <w:proofErr w:type="gramStart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>sucede</w:t>
      </w:r>
      <w:proofErr w:type="gramEnd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na usucapião especial disciplinada no art. 1240 do Código Civil, exige-se, além dos requisitos mencionados, que o usucapiente seja coproprietário do imóvel, em comunhão ou condomínio com seu ex-cônjuge ou </w:t>
      </w:r>
      <w:proofErr w:type="spellStart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>ex-companheiro</w:t>
      </w:r>
      <w:proofErr w:type="spellEnd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; b) exige-se, também, que estes tenham abandonado o lar de forma voluntária e injustificada; e c) o tempo necessário para usucapir é flagrantemente inferior às demais espécies de usucapião, consumando-se a prescrição aquisitiva no prazo de dois anos. </w:t>
      </w:r>
    </w:p>
    <w:p w:rsidR="00960704" w:rsidRDefault="00960704" w:rsidP="00A76DE8">
      <w:pPr>
        <w:pStyle w:val="Corp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60704" w:rsidRPr="00A76DE8" w:rsidRDefault="00406B44" w:rsidP="00406B44">
      <w:pPr>
        <w:pStyle w:val="Corpo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usucapião familiar apresenta o menor prazo do nosso ordenamento jurídico para a aquisição de propriedade, o que não trouxe um equilíbrio no que condiz com seus prós e contras, pois apesar da finalidade de proporcionar à família uma segurança jurídica quanto a sua moradia, bem como atingir a sua função social, não ponderou que ao se tratar de relações delicadas, pois </w:t>
      </w:r>
      <w:proofErr w:type="gramStart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>poder-se-ia</w:t>
      </w:r>
      <w:proofErr w:type="gramEnd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haver mudanças quando a vontade do requerente, do casal, da família em conjunto, nesse curto período. Dos demais requisitos, também apresentam questões preocupantes, como bem se observa na exigência do limite máximo de 250m</w:t>
      </w:r>
      <w:proofErr w:type="gramStart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>²</w:t>
      </w:r>
      <w:proofErr w:type="gramEnd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(art. 183, CF; art. 9º do </w:t>
      </w:r>
      <w:proofErr w:type="spellStart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>Estatudo</w:t>
      </w:r>
      <w:proofErr w:type="spellEnd"/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 Cidade, Lei n. 10. 257/2001), excluindo portanto àqueles que </w:t>
      </w:r>
      <w:r w:rsidR="0096070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possuírem terreno com metragem superior, pois bem se sabe que afastados dos centros urbanos, é comum loteamentos com tais padrões (SOUZA, 2011). </w:t>
      </w:r>
    </w:p>
    <w:p w:rsidR="00081011" w:rsidRPr="003E0D84" w:rsidRDefault="00406B44" w:rsidP="00406B44">
      <w:pPr>
        <w:pStyle w:val="Corpo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  <w:tab w:val="left" w:pos="8565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6153" w:rsidRPr="003E0D84">
        <w:rPr>
          <w:rFonts w:ascii="Times New Roman" w:hAnsi="Times New Roman" w:cs="Times New Roman"/>
          <w:color w:val="auto"/>
          <w:sz w:val="24"/>
          <w:szCs w:val="24"/>
        </w:rPr>
        <w:t>Ademais</w:t>
      </w:r>
      <w:r w:rsidR="0021580A" w:rsidRPr="003E0D8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Tula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Wesendonck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(2012, p. [?]</w:t>
      </w:r>
      <w:r w:rsidR="00C57BF9" w:rsidRPr="003E0D84">
        <w:rPr>
          <w:rFonts w:ascii="Times New Roman" w:hAnsi="Times New Roman" w:cs="Times New Roman"/>
          <w:color w:val="auto"/>
          <w:sz w:val="24"/>
          <w:szCs w:val="24"/>
        </w:rPr>
        <w:t>) possui um posicionamento fervoroso sobre o instituto em estudo, afirma que mesmo sua denominação, o termo escolhido para definir a nova modalidade é objeto de repulsa nos meios acadêmicos, devido ao termo “abandono de lar” ser “figura ultrapassada no Direito de Família tendo em vista que a discussão a respeito da existência ou não da culpa para rompimento de vínculos matrimoniais ou de uniões estáveis passou a ser irrelevante e até mesmo repudiada no cenário atual”.</w:t>
      </w:r>
      <w:r w:rsidR="00081011" w:rsidRPr="003E0D84">
        <w:rPr>
          <w:rFonts w:ascii="Times New Roman" w:hAnsi="Times New Roman" w:cs="Times New Roman"/>
          <w:color w:val="auto"/>
          <w:sz w:val="24"/>
          <w:szCs w:val="24"/>
        </w:rPr>
        <w:t xml:space="preserve"> A mesma autora, conclui que a aplicação desse instituto poderá ser perigosa, pois representará um retrocesso no que condiz com as matérias que ao longo dos anos foram modificando-se pela sociedade e que, o Direito das Coisas e o Direito de família, conseguiu superar com tanto esmero. Essas questões serão discutidas no estudo de seus efeitos sociais.</w:t>
      </w:r>
    </w:p>
    <w:p w:rsidR="009A392D" w:rsidRPr="003E0D84" w:rsidRDefault="009A392D" w:rsidP="004D1223">
      <w:pPr>
        <w:pStyle w:val="SemEspaamento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A392D" w:rsidRPr="003E0D84" w:rsidRDefault="00E233FA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E0D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2.1 DO ABANDONO DO LAR;</w:t>
      </w:r>
    </w:p>
    <w:p w:rsidR="00406B44" w:rsidRDefault="00406B44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6B44" w:rsidRDefault="00406B44" w:rsidP="00406B44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CF291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Faz-se necessária, neste tópico, a 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denominação do abandono do lar, caract</w:t>
      </w:r>
      <w:r w:rsidR="00CF2911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erística essencial para construir o entendimento desta nova modalidade </w:t>
      </w:r>
      <w:r w:rsidR="00E233FA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>da usucapião. Para Carlos Roberto Gonçalves, o que caracteriza o abandono de lar é “o animus, a intenção de não mais regressar à residência comum”. Somente a ausência do lar conjugal durante um ano contínuo sem as finalidades previstas no art. 1.569, caracteriza o abandono voluntário, como dispõe o art. 1573, IV, do Código Civil (2012, p. 167 e 168). Diz o art. 1569 “o domicilio do casal será escolhido por ambos os cônjuges, mas um e outro podem ausentar-se do domicilio conjugal para atender a encargos públicos, ao exercício de sua profissão, ou a inter</w:t>
      </w:r>
      <w:r w:rsidR="002412E3" w:rsidRPr="003E0D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esses particulares relevantes”. </w:t>
      </w:r>
    </w:p>
    <w:p w:rsidR="00A22953" w:rsidRDefault="00406B44" w:rsidP="00406B44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CF2911" w:rsidRPr="003E0D8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 ponto relevante deste requisito é a crítica que o mesmo recebe, pois ele faz renascer a discussão sobre a causa do término do relacionamento afetivo, em contraste com o que já foi afirmado da voluntariedade do abandono do lar, pois, sendo culposo, não haveria a necessidade de ponderar numa discussão para a dissolução de um casamento ou mesmo união estável (GONÇALVES, 2012).</w:t>
      </w:r>
      <w:r w:rsidR="00DE2A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Citando Ri</w:t>
      </w:r>
      <w:r w:rsidR="00C255E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cardo Henrique Per</w:t>
      </w:r>
      <w:r w:rsidR="001A0A5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eira Amorim, Souza (2011, p. 18</w:t>
      </w:r>
      <w:r w:rsidR="00C255E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), reforça que o instituto deve deixar em segundo plano a culpa, pois primordial se faz sua função social, pois nas palavras do primeiro “deve ser analisado sobre a vertente da função social da posse e não quanto </w:t>
      </w:r>
      <w:proofErr w:type="gramStart"/>
      <w:r w:rsidR="00C255E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</w:t>
      </w:r>
      <w:proofErr w:type="gramEnd"/>
      <w:r w:rsidR="00C255E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moralidade da culpa pela dissolução do vínculo conjugal”. </w:t>
      </w:r>
    </w:p>
    <w:p w:rsidR="00C255E1" w:rsidRPr="003E0D84" w:rsidRDefault="00C255E1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A392D" w:rsidRPr="003E0D84" w:rsidRDefault="00E233FA" w:rsidP="004D1223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E0D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</w:t>
      </w:r>
      <w:r w:rsidR="00406B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 DO DIVÓRCIO</w:t>
      </w:r>
    </w:p>
    <w:p w:rsidR="00406B44" w:rsidRDefault="00406B44" w:rsidP="00406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00" w:beforeAutospacing="1" w:after="100" w:afterAutospacing="1" w:line="360" w:lineRule="auto"/>
        <w:jc w:val="both"/>
        <w:rPr>
          <w:rFonts w:eastAsia="Times New Roman"/>
          <w:bdr w:val="none" w:sz="0" w:space="0" w:color="auto"/>
          <w:lang w:val="pt-BR" w:eastAsia="pt-BR"/>
        </w:rPr>
      </w:pPr>
      <w:r>
        <w:rPr>
          <w:rFonts w:eastAsia="Times New Roman"/>
          <w:bdr w:val="none" w:sz="0" w:space="0" w:color="auto"/>
          <w:lang w:val="pt-BR" w:eastAsia="pt-BR"/>
        </w:rPr>
        <w:lastRenderedPageBreak/>
        <w:tab/>
      </w:r>
      <w:r w:rsidR="006069B0" w:rsidRPr="003E0D84">
        <w:rPr>
          <w:rFonts w:eastAsia="Times New Roman"/>
          <w:bdr w:val="none" w:sz="0" w:space="0" w:color="auto"/>
          <w:lang w:val="pt-BR" w:eastAsia="pt-BR"/>
        </w:rPr>
        <w:t>Entende-se que a s</w:t>
      </w:r>
      <w:r w:rsidR="00F57FBD" w:rsidRPr="003E0D84">
        <w:rPr>
          <w:rFonts w:eastAsia="Times New Roman"/>
          <w:bdr w:val="none" w:sz="0" w:space="0" w:color="auto"/>
          <w:lang w:val="pt-BR" w:eastAsia="pt-BR"/>
        </w:rPr>
        <w:t xml:space="preserve">ociedade </w:t>
      </w:r>
      <w:r w:rsidR="006069B0" w:rsidRPr="003E0D84">
        <w:rPr>
          <w:rFonts w:eastAsia="Times New Roman"/>
          <w:bdr w:val="none" w:sz="0" w:space="0" w:color="auto"/>
          <w:lang w:val="pt-BR" w:eastAsia="pt-BR"/>
        </w:rPr>
        <w:t xml:space="preserve">conjugal termina, além de diversos fatores, por meio do divórcio. Este, além da dissolução pela morte, constituem os meios de </w:t>
      </w:r>
      <w:r>
        <w:rPr>
          <w:rFonts w:eastAsia="Times New Roman"/>
          <w:bdr w:val="none" w:sz="0" w:space="0" w:color="auto"/>
          <w:lang w:val="pt-BR" w:eastAsia="pt-BR"/>
        </w:rPr>
        <w:t xml:space="preserve">se dissolver o casamento válido, </w:t>
      </w:r>
      <w:r w:rsidR="006069B0" w:rsidRPr="003E0D84">
        <w:rPr>
          <w:rFonts w:eastAsia="Times New Roman"/>
          <w:bdr w:val="none" w:sz="0" w:space="0" w:color="auto"/>
          <w:lang w:val="pt-BR" w:eastAsia="pt-BR"/>
        </w:rPr>
        <w:t>a</w:t>
      </w:r>
      <w:r w:rsidR="00F57FBD" w:rsidRPr="003E0D84">
        <w:rPr>
          <w:rFonts w:eastAsia="Times New Roman"/>
          <w:bdr w:val="none" w:sz="0" w:space="0" w:color="auto"/>
          <w:lang w:val="pt-BR" w:eastAsia="pt-BR"/>
        </w:rPr>
        <w:t xml:space="preserve"> separação judicial põe termo aos deveres de coabitação, fidelidade recíproca e ao regime matrimonial de bens, como </w:t>
      </w:r>
      <w:r w:rsidR="006069B0" w:rsidRPr="003E0D84">
        <w:rPr>
          <w:rFonts w:eastAsia="Times New Roman"/>
          <w:bdr w:val="none" w:sz="0" w:space="0" w:color="auto"/>
          <w:lang w:val="pt-BR" w:eastAsia="pt-BR"/>
        </w:rPr>
        <w:t>se o casamento</w:t>
      </w:r>
      <w:r>
        <w:rPr>
          <w:rFonts w:eastAsia="Times New Roman"/>
          <w:bdr w:val="none" w:sz="0" w:space="0" w:color="auto"/>
          <w:lang w:val="pt-BR" w:eastAsia="pt-BR"/>
        </w:rPr>
        <w:t xml:space="preserve"> fosse dissolvido, como bem diz a Lei nº 6.515/1977.</w:t>
      </w:r>
    </w:p>
    <w:p w:rsidR="00DB7D98" w:rsidRPr="003E0D84" w:rsidRDefault="00406B44" w:rsidP="00406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00" w:beforeAutospacing="1" w:after="100" w:afterAutospacing="1" w:line="360" w:lineRule="auto"/>
        <w:jc w:val="both"/>
        <w:rPr>
          <w:lang w:val="pt-BR"/>
        </w:rPr>
      </w:pPr>
      <w:r>
        <w:rPr>
          <w:rFonts w:eastAsia="Times New Roman"/>
          <w:bdr w:val="none" w:sz="0" w:space="0" w:color="auto"/>
          <w:lang w:val="pt-BR" w:eastAsia="pt-BR"/>
        </w:rPr>
        <w:tab/>
      </w:r>
      <w:r w:rsidR="001F7219" w:rsidRPr="003E0D84">
        <w:rPr>
          <w:rFonts w:eastAsia="Times New Roman"/>
          <w:bCs/>
          <w:lang w:val="pt-BR"/>
        </w:rPr>
        <w:t xml:space="preserve">Segundo </w:t>
      </w:r>
      <w:r w:rsidR="00E81E84" w:rsidRPr="003E0D84">
        <w:rPr>
          <w:rFonts w:eastAsia="Times New Roman"/>
          <w:bCs/>
          <w:lang w:val="pt-BR"/>
        </w:rPr>
        <w:t>Carl</w:t>
      </w:r>
      <w:r w:rsidR="001F7219" w:rsidRPr="003E0D84">
        <w:rPr>
          <w:rFonts w:eastAsia="Times New Roman"/>
          <w:bCs/>
          <w:lang w:val="pt-BR"/>
        </w:rPr>
        <w:t>os Roberto Gonçalves (2012, p.</w:t>
      </w:r>
      <w:r w:rsidR="00A22953" w:rsidRPr="003E0D84">
        <w:rPr>
          <w:rFonts w:eastAsia="Times New Roman"/>
          <w:bCs/>
          <w:lang w:val="pt-BR"/>
        </w:rPr>
        <w:t xml:space="preserve"> 185 e 186</w:t>
      </w:r>
      <w:r w:rsidR="001F7219" w:rsidRPr="003E0D84">
        <w:rPr>
          <w:rFonts w:eastAsia="Times New Roman"/>
          <w:bCs/>
          <w:lang w:val="pt-BR"/>
        </w:rPr>
        <w:t>), existe dúvidas sobre o prazo prescricional para a aquisição da</w:t>
      </w:r>
      <w:r w:rsidR="002412E3" w:rsidRPr="003E0D84">
        <w:rPr>
          <w:rFonts w:eastAsia="Times New Roman"/>
          <w:bCs/>
          <w:lang w:val="pt-BR"/>
        </w:rPr>
        <w:t xml:space="preserve"> propriedade</w:t>
      </w:r>
      <w:r w:rsidR="001F7219" w:rsidRPr="003E0D84">
        <w:rPr>
          <w:rFonts w:eastAsia="Times New Roman"/>
          <w:bCs/>
          <w:lang w:val="pt-BR"/>
        </w:rPr>
        <w:t>, pois à</w:t>
      </w:r>
      <w:r w:rsidR="002412E3" w:rsidRPr="003E0D84">
        <w:rPr>
          <w:rFonts w:eastAsia="Times New Roman"/>
          <w:bCs/>
          <w:lang w:val="pt-BR"/>
        </w:rPr>
        <w:t xml:space="preserve"> primeira vista pode parecer que o </w:t>
      </w:r>
      <w:r w:rsidR="001F7219" w:rsidRPr="003E0D84">
        <w:rPr>
          <w:rFonts w:eastAsia="Times New Roman"/>
          <w:bCs/>
          <w:lang w:val="pt-BR"/>
        </w:rPr>
        <w:t>mesmo só</w:t>
      </w:r>
      <w:r w:rsidR="002412E3" w:rsidRPr="003E0D84">
        <w:rPr>
          <w:rFonts w:eastAsia="Times New Roman"/>
          <w:bCs/>
          <w:lang w:val="pt-BR"/>
        </w:rPr>
        <w:t xml:space="preserve"> começaria</w:t>
      </w:r>
      <w:r w:rsidR="001F7219" w:rsidRPr="003E0D84">
        <w:rPr>
          <w:rFonts w:eastAsia="Times New Roman"/>
          <w:bCs/>
          <w:lang w:val="pt-BR"/>
        </w:rPr>
        <w:t xml:space="preserve"> contar a partir do divórcio concreto ou da </w:t>
      </w:r>
      <w:r w:rsidR="002412E3" w:rsidRPr="003E0D84">
        <w:rPr>
          <w:rFonts w:eastAsia="Times New Roman"/>
          <w:bCs/>
          <w:lang w:val="pt-BR"/>
        </w:rPr>
        <w:t xml:space="preserve">dissolução da união estável, </w:t>
      </w:r>
      <w:r w:rsidR="001F7219" w:rsidRPr="003E0D84">
        <w:rPr>
          <w:rFonts w:eastAsia="Times New Roman"/>
          <w:bCs/>
          <w:lang w:val="pt-BR"/>
        </w:rPr>
        <w:t xml:space="preserve">pois antes disso, não se poderia falar em ex-cônjuge ou </w:t>
      </w:r>
      <w:proofErr w:type="spellStart"/>
      <w:r w:rsidR="001F7219" w:rsidRPr="003E0D84">
        <w:rPr>
          <w:rFonts w:eastAsia="Times New Roman"/>
          <w:bCs/>
          <w:lang w:val="pt-BR"/>
        </w:rPr>
        <w:t>ex-companheiro</w:t>
      </w:r>
      <w:proofErr w:type="spellEnd"/>
      <w:r w:rsidR="001F7219" w:rsidRPr="003E0D84">
        <w:rPr>
          <w:rFonts w:eastAsia="Times New Roman"/>
          <w:bCs/>
          <w:lang w:val="pt-BR"/>
        </w:rPr>
        <w:t>, como disposto no próprio texto da norma. Em contra partida</w:t>
      </w:r>
      <w:r w:rsidR="00E81E84" w:rsidRPr="003E0D84">
        <w:rPr>
          <w:rFonts w:eastAsia="Times New Roman"/>
          <w:bdr w:val="none" w:sz="0" w:space="0" w:color="auto"/>
          <w:lang w:val="pt-BR" w:eastAsia="pt-BR"/>
        </w:rPr>
        <w:t xml:space="preserve">, a mera separação de fato, </w:t>
      </w:r>
      <w:r w:rsidR="001F7219" w:rsidRPr="003E0D84">
        <w:rPr>
          <w:rFonts w:eastAsia="Times New Roman"/>
          <w:bdr w:val="none" w:sz="0" w:space="0" w:color="auto"/>
          <w:lang w:val="pt-BR"/>
        </w:rPr>
        <w:t>produz o fim de deveres do casamento e, como consequência</w:t>
      </w:r>
      <w:r w:rsidR="00E81E84" w:rsidRPr="003E0D84">
        <w:rPr>
          <w:rFonts w:eastAsia="Times New Roman"/>
          <w:bdr w:val="none" w:sz="0" w:space="0" w:color="auto"/>
          <w:lang w:val="pt-BR" w:eastAsia="pt-BR"/>
        </w:rPr>
        <w:t xml:space="preserve">, do regime patrimonial, </w:t>
      </w:r>
      <w:r w:rsidR="001F7219" w:rsidRPr="003E0D84">
        <w:rPr>
          <w:rFonts w:eastAsia="Times New Roman"/>
          <w:bdr w:val="none" w:sz="0" w:space="0" w:color="auto"/>
          <w:lang w:val="pt-BR"/>
        </w:rPr>
        <w:t>“</w:t>
      </w:r>
      <w:r w:rsidR="00E81E84" w:rsidRPr="003E0D84">
        <w:rPr>
          <w:rFonts w:eastAsia="Times New Roman"/>
          <w:bdr w:val="none" w:sz="0" w:space="0" w:color="auto"/>
          <w:lang w:val="pt-BR" w:eastAsia="pt-BR"/>
        </w:rPr>
        <w:t>não se comunicando os bens havidos de</w:t>
      </w:r>
      <w:r w:rsidR="001F7219" w:rsidRPr="003E0D84">
        <w:rPr>
          <w:rFonts w:eastAsia="Times New Roman"/>
          <w:bdr w:val="none" w:sz="0" w:space="0" w:color="auto"/>
          <w:lang w:val="pt-BR"/>
        </w:rPr>
        <w:t>pois daquele desate matrimonial”, como be</w:t>
      </w:r>
      <w:r w:rsidR="00A22953" w:rsidRPr="003E0D84">
        <w:rPr>
          <w:rFonts w:eastAsia="Times New Roman"/>
          <w:bdr w:val="none" w:sz="0" w:space="0" w:color="auto"/>
          <w:lang w:val="pt-BR"/>
        </w:rPr>
        <w:t xml:space="preserve">m evidenciado na posição do STJ. </w:t>
      </w:r>
      <w:r w:rsidR="00DB7D98" w:rsidRPr="003E0D84">
        <w:rPr>
          <w:rFonts w:eastAsia="Times New Roman"/>
          <w:bdr w:val="none" w:sz="0" w:space="0" w:color="auto"/>
          <w:lang w:val="pt-BR"/>
        </w:rPr>
        <w:t>A seguir:</w:t>
      </w:r>
    </w:p>
    <w:p w:rsidR="00DB7D98" w:rsidRPr="003E0D84" w:rsidRDefault="00DB7D98" w:rsidP="00406B44">
      <w:pPr>
        <w:pStyle w:val="SemEspaamento"/>
        <w:ind w:left="226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</w:pPr>
      <w:proofErr w:type="gramStart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1</w:t>
      </w:r>
      <w:proofErr w:type="gramEnd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)</w:t>
      </w:r>
      <w:r w:rsidR="00E81E84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 xml:space="preserve"> O cônjuge que se encontra separado de fato não faz jus ao recebimento de quaisquer bens havidos pelo outro por herança transmitida após decisão liminar de separação de corpos.</w:t>
      </w:r>
      <w:r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 xml:space="preserve"> </w:t>
      </w:r>
      <w:proofErr w:type="gramStart"/>
      <w:r w:rsidR="00E81E84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2</w:t>
      </w:r>
      <w:proofErr w:type="gramEnd"/>
      <w:r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)</w:t>
      </w:r>
      <w:r w:rsidR="00E81E84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 xml:space="preserve"> Na data em que se concede a separação de corpos, desfazem-se os deveres conjugais, bem como o regime matrimonial de bens; e a essa data retroagem os efeitos da sentença de s</w:t>
      </w:r>
      <w:r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eparação judicial ou divórcio</w:t>
      </w:r>
      <w:r w:rsidR="00A22953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 xml:space="preserve"> (</w:t>
      </w:r>
      <w:proofErr w:type="spellStart"/>
      <w:r w:rsidR="00A22953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>REsp</w:t>
      </w:r>
      <w:proofErr w:type="spellEnd"/>
      <w:r w:rsidR="00A22953" w:rsidRPr="003E0D8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pt-BR"/>
        </w:rPr>
        <w:t xml:space="preserve"> 1.065.209-SP, 4ªT., rel. Min. João Otávio de Noronha, j. 8-6-2010).</w:t>
      </w:r>
    </w:p>
    <w:p w:rsidR="00DB7D98" w:rsidRPr="003E0D84" w:rsidRDefault="00DB7D98" w:rsidP="001F721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</w:pPr>
    </w:p>
    <w:p w:rsidR="00832536" w:rsidRPr="003E0D84" w:rsidRDefault="00406B44" w:rsidP="00406B44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  <w:tab/>
      </w:r>
      <w:r w:rsidR="00A22953" w:rsidRPr="003E0D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  <w:t xml:space="preserve">Conclui-se com a defesa que uma vez caracterizado o abandono voluntário do lar por um dos cônjuges ou companheiros, o marco inicial para a contagem de prazo da usucapião familiar, poderá ser </w:t>
      </w:r>
      <w:r w:rsidR="00E81E84" w:rsidRPr="003E0D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  <w:t>separação de fato</w:t>
      </w:r>
      <w:r w:rsidR="00A22953" w:rsidRPr="003E0D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pt-BR"/>
        </w:rPr>
        <w:t xml:space="preserve"> (GONÇALVES, 2012, p.186).</w:t>
      </w:r>
    </w:p>
    <w:p w:rsidR="00406B44" w:rsidRDefault="00406B44" w:rsidP="00406B44">
      <w:pPr>
        <w:jc w:val="both"/>
        <w:rPr>
          <w:b/>
          <w:lang w:val="pt-BR"/>
        </w:rPr>
      </w:pPr>
    </w:p>
    <w:p w:rsidR="00406B44" w:rsidRPr="00406B44" w:rsidRDefault="00406B44" w:rsidP="00406B44">
      <w:pPr>
        <w:jc w:val="both"/>
        <w:rPr>
          <w:b/>
          <w:lang w:val="pt-BR"/>
        </w:rPr>
      </w:pPr>
      <w:proofErr w:type="gramStart"/>
      <w:r w:rsidRPr="00406B44">
        <w:rPr>
          <w:b/>
          <w:lang w:val="pt-BR"/>
        </w:rPr>
        <w:t>3</w:t>
      </w:r>
      <w:proofErr w:type="gramEnd"/>
      <w:r w:rsidRPr="00406B44">
        <w:rPr>
          <w:b/>
          <w:lang w:val="pt-BR"/>
        </w:rPr>
        <w:t xml:space="preserve"> PREVISIBILIDADE DOS IMPACTOS SOCIAIS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  <w:rPr>
          <w:color w:val="444444"/>
        </w:rPr>
      </w:pPr>
      <w:r>
        <w:rPr>
          <w:color w:val="444444"/>
        </w:rPr>
        <w:tab/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rPr>
          <w:color w:val="444444"/>
        </w:rPr>
        <w:tab/>
      </w:r>
      <w:r>
        <w:rPr>
          <w:color w:val="444444"/>
        </w:rPr>
        <w:t>V</w:t>
      </w:r>
      <w:r>
        <w:t>eremos que os impactos perante a sociedade se ramificam por diversos pontos e é exatamente por isso, para que não paire duvidas durante a explanação de algumas questões, comecemos com algumas considerações iniciais.</w:t>
      </w:r>
    </w:p>
    <w:p w:rsidR="00406B44" w:rsidRPr="00406B44" w:rsidRDefault="00406B44" w:rsidP="00406B44">
      <w:pPr>
        <w:spacing w:line="360" w:lineRule="auto"/>
        <w:ind w:firstLine="1134"/>
        <w:jc w:val="both"/>
        <w:rPr>
          <w:lang w:val="pt-BR"/>
        </w:rPr>
      </w:pPr>
      <w:r w:rsidRPr="00406B44">
        <w:rPr>
          <w:lang w:val="pt-BR"/>
        </w:rPr>
        <w:t>Para assim dar inicio vamos entender um pouco mais sobre emenda constitucional. A Constituição Federal no seu art. 60 fala sobre a mesma, ela foi criada com intuito de modificar alguma norma que não mais se encontra adéqua à sociedade (</w:t>
      </w:r>
      <w:proofErr w:type="gramStart"/>
      <w:r w:rsidRPr="00406B44">
        <w:rPr>
          <w:lang w:val="pt-BR"/>
        </w:rPr>
        <w:t>PENA, 2013</w:t>
      </w:r>
      <w:proofErr w:type="gramEnd"/>
      <w:r w:rsidRPr="00406B44">
        <w:rPr>
          <w:lang w:val="pt-BR"/>
        </w:rPr>
        <w:t>).</w:t>
      </w:r>
    </w:p>
    <w:p w:rsidR="00406B44" w:rsidRPr="00406B44" w:rsidRDefault="00406B44" w:rsidP="00406B44">
      <w:pPr>
        <w:tabs>
          <w:tab w:val="left" w:pos="1134"/>
        </w:tabs>
        <w:spacing w:line="360" w:lineRule="auto"/>
        <w:ind w:firstLine="1134"/>
        <w:jc w:val="both"/>
        <w:rPr>
          <w:lang w:val="pt-BR"/>
        </w:rPr>
      </w:pPr>
      <w:r w:rsidRPr="00406B44">
        <w:rPr>
          <w:lang w:val="pt-BR"/>
        </w:rPr>
        <w:lastRenderedPageBreak/>
        <w:t xml:space="preserve">De acordo com lição de Bittencourt (2007, pág. 26), as emendas possuem três limites: temporais, circunstâncias e materiais. O limite temporal impõe um lapso temporal de </w:t>
      </w:r>
      <w:proofErr w:type="gramStart"/>
      <w:r w:rsidRPr="00406B44">
        <w:rPr>
          <w:lang w:val="pt-BR"/>
        </w:rPr>
        <w:t>4</w:t>
      </w:r>
      <w:proofErr w:type="gramEnd"/>
      <w:r w:rsidRPr="00406B44">
        <w:rPr>
          <w:lang w:val="pt-BR"/>
        </w:rPr>
        <w:t xml:space="preserve">(quatro) anos pro texto constitucional ser editado; o circunstancial se refere ao fato de que a  Constituição não pode ser emendada em três circunstâncias: na vigência de intervenção federal, estado de defesa ou estado de sitio; e a material, veda a possibilidade de emenda em clausulas pétreas. Visto exposto, as emendas constitucionais necessariamente, para serem consideradas validas, precisam está consoantes com esses limites. </w:t>
      </w:r>
    </w:p>
    <w:p w:rsidR="00406B44" w:rsidRPr="00406B44" w:rsidRDefault="00406B44" w:rsidP="00406B44">
      <w:pPr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lang w:val="pt-BR"/>
        </w:rPr>
        <w:tab/>
        <w:t>Feito as considerações sobre as emendas constitucionais, vamos relembrar agora, que o parágrafo 6º do art. 226 CF, recebeu uma nova interpretação através da emenda constitucional nº. 66 de 2010 (</w:t>
      </w:r>
      <w:proofErr w:type="gramStart"/>
      <w:r w:rsidRPr="00406B44">
        <w:rPr>
          <w:lang w:val="pt-BR"/>
        </w:rPr>
        <w:t>PENA, 2013</w:t>
      </w:r>
      <w:proofErr w:type="gramEnd"/>
      <w:r w:rsidRPr="00406B44">
        <w:rPr>
          <w:lang w:val="pt-BR"/>
        </w:rPr>
        <w:t>). Essa emenda é de mais valia no presente trabalho, pois ela exclui o requisito de previsibilidade da separação judicial por mais de um ano ou de separação de fato a mais de dois anos, vejamos:</w:t>
      </w:r>
    </w:p>
    <w:p w:rsidR="00406B44" w:rsidRDefault="00406B44" w:rsidP="00406B44">
      <w:pPr>
        <w:ind w:left="2268"/>
        <w:jc w:val="both"/>
        <w:rPr>
          <w:sz w:val="20"/>
          <w:szCs w:val="20"/>
          <w:lang w:val="pt-BR"/>
        </w:rPr>
      </w:pPr>
    </w:p>
    <w:p w:rsidR="00406B44" w:rsidRPr="00406B44" w:rsidRDefault="00406B44" w:rsidP="00406B44">
      <w:pPr>
        <w:ind w:left="2268"/>
        <w:jc w:val="both"/>
        <w:rPr>
          <w:sz w:val="20"/>
          <w:szCs w:val="20"/>
          <w:lang w:val="pt-BR"/>
        </w:rPr>
      </w:pPr>
      <w:r w:rsidRPr="00406B44">
        <w:rPr>
          <w:sz w:val="20"/>
          <w:szCs w:val="20"/>
          <w:lang w:val="pt-BR"/>
        </w:rPr>
        <w:t xml:space="preserve">As mesas da Câmara dos Deputados e do Senado Federal, nos termos do art. 60 da Constituição Federal, promulgam a seguinte Emenda ao texto Constitucional: Art. 1º o §6º do art. 226 da Constituição Federal passa a vigorar com a seguinte redação: Art. 226 </w:t>
      </w:r>
      <w:hyperlink r:id="rId7" w:anchor="art226§6." w:tgtFrame="_blank" w:history="1">
        <w:r w:rsidRPr="00406B44">
          <w:rPr>
            <w:rStyle w:val="Hyperlink"/>
            <w:sz w:val="20"/>
            <w:szCs w:val="20"/>
            <w:lang w:val="pt-BR"/>
          </w:rPr>
          <w:t>§6º</w:t>
        </w:r>
      </w:hyperlink>
      <w:r w:rsidRPr="00406B44">
        <w:rPr>
          <w:sz w:val="20"/>
          <w:szCs w:val="20"/>
          <w:lang w:val="pt-BR"/>
        </w:rPr>
        <w:t xml:space="preserve"> O casamento civil pode ser dissolvido pelo divórcio. </w:t>
      </w:r>
    </w:p>
    <w:p w:rsidR="00406B44" w:rsidRDefault="00406B44" w:rsidP="00406B44">
      <w:pPr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lang w:val="pt-BR"/>
        </w:rPr>
        <w:tab/>
      </w:r>
    </w:p>
    <w:p w:rsidR="00406B44" w:rsidRPr="00406B44" w:rsidRDefault="00406B44" w:rsidP="00406B44">
      <w:pPr>
        <w:tabs>
          <w:tab w:val="left" w:pos="1134"/>
        </w:tabs>
        <w:spacing w:line="360" w:lineRule="auto"/>
        <w:jc w:val="both"/>
        <w:rPr>
          <w:lang w:val="pt-BR"/>
        </w:rPr>
      </w:pPr>
      <w:r>
        <w:rPr>
          <w:lang w:val="pt-BR"/>
        </w:rPr>
        <w:tab/>
      </w:r>
      <w:r w:rsidRPr="00406B44">
        <w:rPr>
          <w:lang w:val="pt-BR"/>
        </w:rPr>
        <w:t>De forma tal, a emenda assim determinou, que a simples vontade de não querer mais o vinculo conjugal, já é requisito capaz de validar o divorcio, reiterando que não há mais a necessidade de expuser os motivos e que não há mais limite temporal para o fim do matrimonio. (PENA, 2013)</w:t>
      </w:r>
    </w:p>
    <w:p w:rsidR="00406B44" w:rsidRPr="00406B44" w:rsidRDefault="00406B44" w:rsidP="00406B44">
      <w:pPr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lang w:val="pt-BR"/>
        </w:rPr>
        <w:tab/>
        <w:t>A Emenda Constitucional mostrou-se atenta a nova realidade social brasileira, botando como ponto de evidencia em que o Estado não poderá mais ter qualquer tipo de interferência no casamento. Vale ressaltar a justificativa apresentada pelo Deputado Sérgio Barradas Carneiro, tentando explicar a intenção do legislador:</w:t>
      </w:r>
    </w:p>
    <w:p w:rsidR="00406B44" w:rsidRDefault="00406B44" w:rsidP="00406B44">
      <w:pPr>
        <w:tabs>
          <w:tab w:val="left" w:pos="1134"/>
        </w:tabs>
        <w:ind w:left="2268"/>
        <w:jc w:val="both"/>
        <w:rPr>
          <w:lang w:val="pt-BR"/>
        </w:rPr>
      </w:pPr>
      <w:r w:rsidRPr="00406B44">
        <w:rPr>
          <w:lang w:val="pt-BR"/>
        </w:rPr>
        <w:tab/>
      </w:r>
    </w:p>
    <w:p w:rsidR="00406B44" w:rsidRPr="00406B44" w:rsidRDefault="00406B44" w:rsidP="00406B44">
      <w:pPr>
        <w:tabs>
          <w:tab w:val="left" w:pos="1134"/>
        </w:tabs>
        <w:ind w:left="2268"/>
        <w:jc w:val="both"/>
        <w:rPr>
          <w:sz w:val="20"/>
          <w:szCs w:val="20"/>
          <w:lang w:val="pt-BR"/>
        </w:rPr>
      </w:pPr>
      <w:r w:rsidRPr="00406B44">
        <w:rPr>
          <w:sz w:val="20"/>
          <w:szCs w:val="20"/>
          <w:lang w:val="pt-BR"/>
        </w:rPr>
        <w:t>Não se justifica a sobreviva da separação judicial, em que se converteu o antigo desquite. Criou-se desde 1977, com o avento da legislação do divorcio, uma duplicidade artificial entre a dissolução da sociedade conjugal e a dissolução do casamento, como solução de compromisso entre divorcista e antidivorcista, o que não mais se sustenta. Impõe-se a unificação do divórcio de todas as hipóteses de separação dos cônjuges, sejam litigiosas ou consensuais. A submissão a dois processos judiciais (separação judicial e divorcio por conversão) resulta em acréscimos de despesas para o cala, além de prolongar sofrimentos evitáveis. Por outro lado, essa providência salutar de acordo com valores da sociedade brasileira atual evita que a intimidade e a vida privada dos cônjuges e suas famílias seja revelada e trazida ao espaço publico dos tribunais, como todo o caudal de constrangimentos que provocam, contribuindo para o agravamento de suas crises e dificultando o entendimento necessário para a melhor solução dos problemas decorrentes da separação. (SOUZA apud CARNEIRO, 2011, p.37</w:t>
      </w:r>
      <w:proofErr w:type="gramStart"/>
      <w:r w:rsidRPr="00406B44">
        <w:rPr>
          <w:sz w:val="20"/>
          <w:szCs w:val="20"/>
          <w:lang w:val="pt-BR"/>
        </w:rPr>
        <w:t>)</w:t>
      </w:r>
      <w:proofErr w:type="gramEnd"/>
    </w:p>
    <w:p w:rsidR="00406B44" w:rsidRDefault="00406B44" w:rsidP="00406B44">
      <w:pPr>
        <w:spacing w:line="360" w:lineRule="auto"/>
        <w:ind w:firstLine="1134"/>
        <w:jc w:val="both"/>
        <w:rPr>
          <w:lang w:val="pt-BR"/>
        </w:rPr>
      </w:pPr>
    </w:p>
    <w:p w:rsidR="00406B44" w:rsidRPr="00406B44" w:rsidRDefault="00406B44" w:rsidP="00406B44">
      <w:pPr>
        <w:spacing w:line="360" w:lineRule="auto"/>
        <w:ind w:firstLine="1134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lang w:val="pt-BR"/>
        </w:rPr>
        <w:lastRenderedPageBreak/>
        <w:t xml:space="preserve">Assim, artigo 1.240, como exposto anteriormente, impõe uma sanção aquele </w:t>
      </w:r>
      <w:proofErr w:type="gramStart"/>
      <w:r w:rsidRPr="00406B44">
        <w:rPr>
          <w:lang w:val="pt-BR"/>
        </w:rPr>
        <w:t>que</w:t>
      </w:r>
      <w:proofErr w:type="gramEnd"/>
      <w:r w:rsidRPr="00406B44">
        <w:rPr>
          <w:lang w:val="pt-BR"/>
        </w:rPr>
        <w:t xml:space="preserve"> </w:t>
      </w:r>
      <w:proofErr w:type="gramStart"/>
      <w:r w:rsidRPr="00406B44">
        <w:rPr>
          <w:lang w:val="pt-BR"/>
        </w:rPr>
        <w:t>sair</w:t>
      </w:r>
      <w:proofErr w:type="gramEnd"/>
      <w:r w:rsidRPr="00406B44">
        <w:rPr>
          <w:lang w:val="pt-BR"/>
        </w:rPr>
        <w:t xml:space="preserve"> de casa sem dar satisfação ao outro, tem-se como requisito para usucapir um imóvel o “</w:t>
      </w:r>
      <w:proofErr w:type="spellStart"/>
      <w:r w:rsidRPr="00406B44">
        <w:rPr>
          <w:lang w:val="pt-BR"/>
        </w:rPr>
        <w:t>abandonodo</w:t>
      </w:r>
      <w:proofErr w:type="spellEnd"/>
      <w:r w:rsidRPr="00406B44">
        <w:rPr>
          <w:lang w:val="pt-BR"/>
        </w:rPr>
        <w:t xml:space="preserve"> lar”, diz-se que ele perderá seu direito ao patrimônio, uma vez que </w:t>
      </w:r>
      <w:proofErr w:type="spellStart"/>
      <w:r w:rsidRPr="00406B44">
        <w:rPr>
          <w:lang w:val="pt-BR"/>
        </w:rPr>
        <w:t>nao</w:t>
      </w:r>
      <w:proofErr w:type="spellEnd"/>
      <w:r w:rsidRPr="00406B44">
        <w:rPr>
          <w:lang w:val="pt-BR"/>
        </w:rPr>
        <w:t xml:space="preserve"> der satisfação ao Estado o porquê da dissolução do casamento estável, assim, vide uma clara inconstitucionalidade com a CF/88, já que tal ato, já foi superado através da Emenda Constitucional nº66 de 2010. (PENA, 2013) Reitera-se: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color w:val="666666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Além de acirrar indevidamente os ânimos, já abalados com o fim do vínculo afetivo, pela primeira vez o final de um relacionamento terá repercussões patrimoniais diretas e servirá, tão somente, para dificultar e burocratizar os procedimentos de composição de conflitos familiares, que, nos últimos anos, vêm sendo cada vez mais simplificados (</w:t>
      </w:r>
      <w:r w:rsidRPr="00406B44">
        <w:rPr>
          <w:rFonts w:eastAsia="Times New Roman"/>
          <w:sz w:val="20"/>
          <w:szCs w:val="20"/>
          <w:u w:val="single"/>
          <w:lang w:val="pt-BR" w:eastAsia="pt-BR"/>
        </w:rPr>
        <w:t>permitia-se a separação em cartório extrajudicial e, agora, após a EC 66, há o divórcio direto e livre de prazos, sem necessidade de imputação de culpa ou responsabilização pelo término da relação</w:t>
      </w:r>
      <w:r w:rsidRPr="00406B44">
        <w:rPr>
          <w:rFonts w:eastAsia="Times New Roman"/>
          <w:sz w:val="20"/>
          <w:szCs w:val="20"/>
          <w:lang w:val="pt-BR" w:eastAsia="pt-BR"/>
        </w:rPr>
        <w:t>). (Grifo nosso) (NETO, 2008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)</w:t>
      </w:r>
      <w:proofErr w:type="gramEnd"/>
    </w:p>
    <w:p w:rsidR="00406B44" w:rsidRPr="00406B44" w:rsidRDefault="00406B44" w:rsidP="00406B44">
      <w:pPr>
        <w:shd w:val="clear" w:color="auto" w:fill="FFFFFF"/>
        <w:spacing w:line="285" w:lineRule="atLeast"/>
        <w:ind w:left="1416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ascii="Arial" w:eastAsia="Times New Roman" w:hAnsi="Arial" w:cs="Arial"/>
          <w:color w:val="666666"/>
          <w:sz w:val="27"/>
          <w:szCs w:val="27"/>
          <w:lang w:val="pt-BR" w:eastAsia="pt-BR"/>
        </w:rPr>
        <w:t> </w:t>
      </w:r>
    </w:p>
    <w:p w:rsidR="00406B44" w:rsidRPr="00406B44" w:rsidRDefault="00406B44" w:rsidP="00406B44">
      <w:pPr>
        <w:spacing w:line="360" w:lineRule="auto"/>
        <w:ind w:firstLine="1134"/>
        <w:jc w:val="both"/>
        <w:rPr>
          <w:rFonts w:eastAsiaTheme="minorHAnsi"/>
          <w:lang w:val="pt-BR"/>
        </w:rPr>
      </w:pPr>
      <w:r w:rsidRPr="00406B44">
        <w:rPr>
          <w:lang w:val="pt-BR"/>
        </w:rPr>
        <w:t xml:space="preserve">Ademais, levanta-se ainda sobre efeito </w:t>
      </w:r>
      <w:proofErr w:type="spellStart"/>
      <w:r w:rsidRPr="00406B44">
        <w:rPr>
          <w:lang w:val="pt-BR"/>
        </w:rPr>
        <w:t>repristinatório</w:t>
      </w:r>
      <w:proofErr w:type="spellEnd"/>
      <w:r w:rsidRPr="00406B44">
        <w:rPr>
          <w:lang w:val="pt-BR"/>
        </w:rPr>
        <w:t xml:space="preserve"> nesse presente </w:t>
      </w:r>
      <w:r w:rsidRPr="00406B44">
        <w:rPr>
          <w:lang w:val="pt-BR"/>
        </w:rPr>
        <w:t>requisito</w:t>
      </w:r>
      <w:r w:rsidRPr="00406B44">
        <w:rPr>
          <w:lang w:val="pt-BR"/>
        </w:rPr>
        <w:t xml:space="preserve"> do “abandono do lar”. Vide Lei nº 12.376, de 30 de dezembro de 2010 conforme o artigo 2º que expõe sobre a repristinação e veda a mesma, </w:t>
      </w:r>
      <w:r w:rsidRPr="00406B44">
        <w:rPr>
          <w:i/>
          <w:lang w:val="pt-BR"/>
        </w:rPr>
        <w:t xml:space="preserve">in </w:t>
      </w:r>
      <w:proofErr w:type="spellStart"/>
      <w:r w:rsidRPr="00406B44">
        <w:rPr>
          <w:i/>
          <w:lang w:val="pt-BR"/>
        </w:rPr>
        <w:t>verbis</w:t>
      </w:r>
      <w:proofErr w:type="spellEnd"/>
      <w:r w:rsidRPr="00406B44">
        <w:rPr>
          <w:lang w:val="pt-BR"/>
        </w:rPr>
        <w:t>:</w:t>
      </w:r>
    </w:p>
    <w:p w:rsidR="00406B44" w:rsidRDefault="00406B44" w:rsidP="00406B44">
      <w:pPr>
        <w:pStyle w:val="ecxmsonormal"/>
        <w:shd w:val="clear" w:color="auto" w:fill="FFFFFF"/>
        <w:spacing w:before="0" w:beforeAutospacing="0" w:after="324" w:afterAutospacing="0"/>
        <w:ind w:left="2268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Art. 2</w:t>
      </w:r>
      <w:r>
        <w:rPr>
          <w:sz w:val="20"/>
          <w:szCs w:val="20"/>
        </w:rPr>
        <w:t>º</w:t>
      </w:r>
      <w:r>
        <w:rPr>
          <w:sz w:val="20"/>
          <w:szCs w:val="20"/>
          <w:lang w:val="pt-PT"/>
        </w:rPr>
        <w:t> Não se destinando à vigência temporária, a lei terá vigor até que outra a modifique ou revogue.§ 1</w:t>
      </w:r>
      <w:r>
        <w:rPr>
          <w:sz w:val="20"/>
          <w:szCs w:val="20"/>
        </w:rPr>
        <w:t>º</w:t>
      </w:r>
      <w:r>
        <w:rPr>
          <w:sz w:val="20"/>
          <w:szCs w:val="20"/>
          <w:lang w:val="pt-PT"/>
        </w:rPr>
        <w:t> A lei posterior revoga a anterior quando expressamente o declare, quando seja com ela incompatível ou quando regule inteiramente a matéria de que tratava a lei anterior.§ 2</w:t>
      </w:r>
      <w:r>
        <w:rPr>
          <w:sz w:val="20"/>
          <w:szCs w:val="20"/>
        </w:rPr>
        <w:t>º</w:t>
      </w:r>
      <w:r>
        <w:rPr>
          <w:sz w:val="20"/>
          <w:szCs w:val="20"/>
          <w:lang w:val="pt-PT"/>
        </w:rPr>
        <w:t> A lei nova, que estabeleça disposições gerais ou especiais a par das já existentes, não revoga nem modifica a lei anterior.§ 3</w:t>
      </w:r>
      <w:r>
        <w:rPr>
          <w:sz w:val="20"/>
          <w:szCs w:val="20"/>
        </w:rPr>
        <w:t>º</w:t>
      </w:r>
      <w:r>
        <w:rPr>
          <w:sz w:val="20"/>
          <w:szCs w:val="20"/>
          <w:lang w:val="pt-PT"/>
        </w:rPr>
        <w:t xml:space="preserve"> Salvo disposição em contrário, </w:t>
      </w:r>
      <w:proofErr w:type="gramStart"/>
      <w:r>
        <w:rPr>
          <w:sz w:val="20"/>
          <w:szCs w:val="20"/>
          <w:u w:val="single"/>
          <w:lang w:val="pt-PT"/>
        </w:rPr>
        <w:t>a</w:t>
      </w:r>
      <w:proofErr w:type="gramEnd"/>
      <w:r>
        <w:rPr>
          <w:sz w:val="20"/>
          <w:szCs w:val="20"/>
          <w:u w:val="single"/>
          <w:lang w:val="pt-PT"/>
        </w:rPr>
        <w:t xml:space="preserve"> lei revogada não se restaura por ter a lei revogadora perdido a vigência.</w:t>
      </w:r>
      <w:r>
        <w:rPr>
          <w:sz w:val="20"/>
          <w:szCs w:val="20"/>
          <w:lang w:val="pt-PT"/>
        </w:rPr>
        <w:t xml:space="preserve"> (grifo nosso) 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rPr>
          <w:lang w:val="pt-PT"/>
        </w:rPr>
        <w:tab/>
      </w:r>
      <w:r>
        <w:rPr>
          <w:lang w:val="pt-PT"/>
        </w:rPr>
        <w:t xml:space="preserve">Conceituando o que venha ser a represtinação, de acordo com a Lição de Moraes, podemos conceituar </w:t>
      </w:r>
      <w:r>
        <w:t xml:space="preserve">que </w:t>
      </w:r>
      <w:r>
        <w:t>repristinação</w:t>
      </w:r>
      <w:r>
        <w:t xml:space="preserve"> “ocorre quando uma norma revogadora de outra anterior, que,</w:t>
      </w:r>
      <w:r>
        <w:rPr>
          <w:rFonts w:ascii="Arial" w:hAnsi="Arial" w:cs="Arial"/>
          <w:color w:val="666666"/>
          <w:sz w:val="27"/>
          <w:szCs w:val="27"/>
        </w:rPr>
        <w:t xml:space="preserve"> </w:t>
      </w:r>
      <w:r>
        <w:t>por sua vez, tivesse revogado uma mais antiga, recoloca essa última novamente em estado de</w:t>
      </w:r>
      <w:r>
        <w:rPr>
          <w:rFonts w:ascii="Arial" w:hAnsi="Arial" w:cs="Arial"/>
          <w:color w:val="666666"/>
          <w:sz w:val="27"/>
          <w:szCs w:val="27"/>
        </w:rPr>
        <w:t xml:space="preserve"> </w:t>
      </w:r>
      <w:r>
        <w:t>produção de efeitos.” (2008, p.642) Como exposto, tal ação é vedada de acordo com o ordenamento jurídico, a repristinação só é admitida quando ela vem expressa e mais, na doutrina também se entende que em caso de repristinação de norma infraconstitucional, que além de vir expresso terão que ter uma clausula normativa que preveja expressamente, pois se diga que a repristinação jamais é presumida. (PENA, 2013)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tab/>
        <w:t xml:space="preserve">Assim, verificando-se o presente artigo 1.240 do CC objeto de estudo, já cristalino que o mesmo se encontra inconstitucional devido estar indo de encontro com a emenda nº66, </w:t>
      </w:r>
      <w:proofErr w:type="gramStart"/>
      <w:r>
        <w:t>podemos reiterar</w:t>
      </w:r>
      <w:proofErr w:type="gramEnd"/>
      <w:r>
        <w:t xml:space="preserve"> que houve um efeito </w:t>
      </w:r>
      <w:proofErr w:type="spellStart"/>
      <w:r>
        <w:t>repristinatorio</w:t>
      </w:r>
      <w:proofErr w:type="spellEnd"/>
      <w:r>
        <w:t xml:space="preserve">. (PENA, 2013) Apesar de implícito e sem posicionamento doutrinário que ratifique tal efeito, entenderemos a logica. 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tab/>
        <w:t xml:space="preserve">Como já falado, é legal o efeito de repristinação, desde que venha de maneira expressa no conteúdo da norma infraconstitucional, contudo o digníssimo art.1.240 do CC, </w:t>
      </w:r>
      <w:r>
        <w:lastRenderedPageBreak/>
        <w:t xml:space="preserve">que vem admitir o requisito de abandono de lar, voltou a tomar de conta, indiretamente, sobre a discussão da culpa no direito de família, ou seja, o querer do legislador em impor uma </w:t>
      </w:r>
      <w:proofErr w:type="spellStart"/>
      <w:r>
        <w:t>culpabilização</w:t>
      </w:r>
      <w:proofErr w:type="spellEnd"/>
      <w:r>
        <w:t xml:space="preserve"> no âmbito de família o que já se mostra vedado de acordo com o EC 66/10. (PENA, 2013)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tab/>
        <w:t>Além da problemática em “âmbito legal”, há ainda um atentando aos direitos constitucionais. Diga-se ao da dignidade da pessoa humana e o direito a proteção ao patrimônio, isso porque quando a norma é interpretada, lê-se “separação de fato” e “abandono de patrimônio” e os efeitos de ambos seriam: “fim da comunicação patrimonial” e “perda de patrimônio”, assim, o direito de ter uma vida digna (a vontade da desvinculação matrimonial) perde-se, pois tenho o dever de “comunicar” ao poder maior, pois, se assim não for perderei também a proteção do meu patrimônio. (FREITAS, 2011) Cola-se lição de Maria Berenice: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Além disso, ressuscitar a discussão de culpas desrespeita o direito a intimidade, afronta o principio da liberdade, isso só para lembrar alguns dos princípios constitucionais que a Lei viola ao conceder a propriedade exclusiva ao possuidor, tendo por pressuposto a responsabilidade do </w:t>
      </w:r>
      <w:proofErr w:type="spellStart"/>
      <w:proofErr w:type="gramStart"/>
      <w:r>
        <w:rPr>
          <w:sz w:val="20"/>
          <w:szCs w:val="20"/>
        </w:rPr>
        <w:t>co-titulares</w:t>
      </w:r>
      <w:proofErr w:type="spellEnd"/>
      <w:proofErr w:type="gramEnd"/>
      <w:r>
        <w:rPr>
          <w:sz w:val="20"/>
          <w:szCs w:val="20"/>
        </w:rPr>
        <w:t xml:space="preserve"> do domínio pelo fim da união. (SOUZA apud DIAS, 2011, p.40).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tab/>
      </w:r>
      <w:r>
        <w:tab/>
        <w:t>É sem duvidas, um retrocesso jurídico no ordenamento jurídico, inteirando mais ainda, tal questão encontrar-se superada na jurisprudência: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/>
        <w:ind w:left="2268"/>
        <w:jc w:val="both"/>
      </w:pPr>
      <w:r>
        <w:rPr>
          <w:sz w:val="20"/>
          <w:szCs w:val="20"/>
        </w:rPr>
        <w:t xml:space="preserve">SEPARAÇÃO JUDICIAL. PEDIDO INTENTADO COM BASE NA CULPA EXCLUSIVA DO CÔNJUGE MULHER. DECISÃO QUE ACOLHE A PRETENSÃO EM FACE DA INSUPORTABILIDADE DA VIDA EM COMUM, INDEPENDENTEMENTE DA VERIFICAÇÃO DA CULPA EM RELAÇÃO A AMBOS OS LITIGANTES. ADMISSIBILIDADE. – A despeito de o pedido inicial atribuir culpa exclusiva à ré e de inexistir reconvenção, ainda que não comprovada tal culpabilidade, é possível ao Julgador levar em consideração outros fatos que tornem evidente a insustentabilidade da vida em comum e, diante disso, decretar a separação judicial do casal. – Hipótese em que da decretação da separação judicial não surtem consequências jurídicas relevantes. Embargos de divergência conhecidos, mas rejeitados (STJ. </w:t>
      </w:r>
      <w:proofErr w:type="spellStart"/>
      <w:proofErr w:type="gramStart"/>
      <w:r>
        <w:rPr>
          <w:sz w:val="20"/>
          <w:szCs w:val="20"/>
        </w:rPr>
        <w:t>EREsp</w:t>
      </w:r>
      <w:proofErr w:type="spellEnd"/>
      <w:proofErr w:type="gramEnd"/>
      <w:r>
        <w:rPr>
          <w:sz w:val="20"/>
          <w:szCs w:val="20"/>
        </w:rPr>
        <w:t xml:space="preserve"> 466329 (2004/0166475-2). Rel.: Min. Barros Monteiro. DJ 01/12/2006).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/>
        <w:jc w:val="both"/>
        <w:rPr>
          <w:b/>
        </w:rPr>
      </w:pPr>
      <w:r>
        <w:rPr>
          <w:b/>
        </w:rPr>
        <w:t>3.1 DA LESÃO AO PRINCIPIO DA IGUALDADE</w:t>
      </w:r>
    </w:p>
    <w:p w:rsidR="00406B44" w:rsidRDefault="00406B44" w:rsidP="00406B44">
      <w:pPr>
        <w:pStyle w:val="ecxmsonormal"/>
        <w:shd w:val="clear" w:color="auto" w:fill="FFFFFF"/>
        <w:tabs>
          <w:tab w:val="left" w:pos="1134"/>
        </w:tabs>
        <w:spacing w:before="0" w:beforeAutospacing="0" w:after="324" w:afterAutospacing="0" w:line="360" w:lineRule="auto"/>
        <w:jc w:val="both"/>
      </w:pPr>
      <w:r>
        <w:rPr>
          <w:b/>
        </w:rPr>
        <w:tab/>
      </w:r>
      <w:r>
        <w:t xml:space="preserve">Como já destrinchado anteriormente, mas só relembrando, o artigo 1.240-A assim leciona: “aquele que exercer por </w:t>
      </w:r>
      <w:proofErr w:type="gramStart"/>
      <w:r>
        <w:t>2</w:t>
      </w:r>
      <w:proofErr w:type="gramEnd"/>
      <w:r>
        <w:t xml:space="preserve"> (dois) anos ininterruptamente e sem oposição, posse direta, com exclusividade, sobre imóvel urbano de até 250m²...” prevê o usucapião nessa modalidade apenas em áreas urbanas, omitindo-se em relação a propriedade rurais.</w:t>
      </w:r>
    </w:p>
    <w:p w:rsidR="00406B44" w:rsidRPr="00406B44" w:rsidRDefault="00406B44" w:rsidP="00406B44">
      <w:pPr>
        <w:tabs>
          <w:tab w:val="left" w:pos="1134"/>
        </w:tabs>
        <w:spacing w:line="360" w:lineRule="auto"/>
        <w:rPr>
          <w:lang w:val="pt-BR"/>
        </w:rPr>
      </w:pPr>
      <w:r w:rsidRPr="00406B44">
        <w:rPr>
          <w:lang w:val="pt-BR"/>
        </w:rPr>
        <w:lastRenderedPageBreak/>
        <w:tab/>
        <w:t>Desta feita, percebe-se uma violabilidade ao principio da isonomia e da igualdade, isso porque, na Constituição de 88 no art. 5º garante:</w:t>
      </w:r>
    </w:p>
    <w:p w:rsidR="00406B44" w:rsidRPr="00406B44" w:rsidRDefault="00406B44" w:rsidP="00406B44">
      <w:pPr>
        <w:shd w:val="clear" w:color="auto" w:fill="FFFFFF"/>
        <w:ind w:left="2268" w:hanging="1"/>
        <w:jc w:val="both"/>
        <w:rPr>
          <w:rFonts w:eastAsia="Times New Roman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color w:val="666666"/>
          <w:sz w:val="27"/>
          <w:szCs w:val="27"/>
          <w:lang w:val="pt-PT" w:eastAsia="pt-BR"/>
        </w:rPr>
        <w:t> </w:t>
      </w:r>
      <w:r w:rsidRPr="00406B44">
        <w:rPr>
          <w:rFonts w:eastAsia="Times New Roman"/>
          <w:sz w:val="20"/>
          <w:szCs w:val="20"/>
          <w:lang w:val="pt-BR" w:eastAsia="pt-BR"/>
        </w:rPr>
        <w:t>Art. 5º </w:t>
      </w:r>
      <w:r w:rsidRPr="00406B44">
        <w:rPr>
          <w:rFonts w:eastAsia="Times New Roman"/>
          <w:bCs/>
          <w:sz w:val="20"/>
          <w:szCs w:val="20"/>
          <w:u w:val="single"/>
          <w:lang w:val="pt-BR" w:eastAsia="pt-BR"/>
        </w:rPr>
        <w:t>Todos são iguais perante a lei, sem distinção de qualquer natureza,</w:t>
      </w:r>
      <w:r w:rsidRPr="00406B44">
        <w:rPr>
          <w:rFonts w:eastAsia="Times New Roman"/>
          <w:sz w:val="20"/>
          <w:szCs w:val="20"/>
          <w:lang w:val="pt-BR" w:eastAsia="pt-BR"/>
        </w:rPr>
        <w:t> </w:t>
      </w:r>
      <w:r w:rsidRPr="00406B44">
        <w:rPr>
          <w:rFonts w:eastAsia="Times New Roman"/>
          <w:bCs/>
          <w:sz w:val="20"/>
          <w:szCs w:val="20"/>
          <w:lang w:val="pt-BR" w:eastAsia="pt-BR"/>
        </w:rPr>
        <w:t>garantindo-se aos brasileiros</w:t>
      </w:r>
      <w:r w:rsidRPr="00406B44">
        <w:rPr>
          <w:rFonts w:eastAsia="Times New Roman"/>
          <w:sz w:val="20"/>
          <w:szCs w:val="20"/>
          <w:lang w:val="pt-BR" w:eastAsia="pt-BR"/>
        </w:rPr>
        <w:t> e aos estrangeiros residentes no País a inviolabilidade do direito à vida, à liberdade, </w:t>
      </w:r>
      <w:r w:rsidRPr="00406B44">
        <w:rPr>
          <w:rFonts w:eastAsia="Times New Roman"/>
          <w:bCs/>
          <w:sz w:val="20"/>
          <w:szCs w:val="20"/>
          <w:lang w:val="pt-BR" w:eastAsia="pt-BR"/>
        </w:rPr>
        <w:t>à igualdade</w:t>
      </w:r>
      <w:r w:rsidRPr="00406B44">
        <w:rPr>
          <w:rFonts w:eastAsia="Times New Roman"/>
          <w:sz w:val="20"/>
          <w:szCs w:val="20"/>
          <w:lang w:val="pt-BR" w:eastAsia="pt-BR"/>
        </w:rPr>
        <w:t>, à segurança e à propriedade, nos termos seguintes: (Grifo nosso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)</w:t>
      </w:r>
      <w:proofErr w:type="gramEnd"/>
    </w:p>
    <w:p w:rsidR="00406B44" w:rsidRPr="00406B44" w:rsidRDefault="00406B44" w:rsidP="00406B44">
      <w:pPr>
        <w:shd w:val="clear" w:color="auto" w:fill="FFFFFF"/>
        <w:tabs>
          <w:tab w:val="left" w:pos="1134"/>
        </w:tabs>
        <w:jc w:val="both"/>
        <w:rPr>
          <w:rFonts w:eastAsia="Times New Roman"/>
          <w:lang w:val="pt-BR" w:eastAsia="pt-BR"/>
        </w:rPr>
      </w:pPr>
      <w:r w:rsidRPr="00406B44">
        <w:rPr>
          <w:rFonts w:eastAsia="Times New Roman"/>
          <w:lang w:val="pt-BR" w:eastAsia="pt-BR"/>
        </w:rPr>
        <w:tab/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rFonts w:eastAsia="Times New Roman"/>
          <w:lang w:val="pt-BR" w:eastAsia="pt-BR"/>
        </w:rPr>
      </w:pPr>
      <w:r w:rsidRPr="00406B44">
        <w:rPr>
          <w:rFonts w:eastAsia="Times New Roman"/>
          <w:lang w:val="pt-BR" w:eastAsia="pt-BR"/>
        </w:rPr>
        <w:tab/>
        <w:t>Sem feitura da previsão da modalidade em âmbito rural, resta reafirmar mais ainda a inconstitucionalidade do presente artigo 1.240. Quando uma lei ou ato normativo não está em parâmetro com a Carta Maior, diga-se que estamos lidando com uma inconstitucionalidade material (</w:t>
      </w:r>
      <w:proofErr w:type="gramStart"/>
      <w:r w:rsidRPr="00406B44">
        <w:rPr>
          <w:rFonts w:eastAsia="Times New Roman"/>
          <w:lang w:val="pt-BR" w:eastAsia="pt-BR"/>
        </w:rPr>
        <w:t>PENA apud LENZA, 2013</w:t>
      </w:r>
      <w:proofErr w:type="gramEnd"/>
      <w:r w:rsidRPr="00406B44">
        <w:rPr>
          <w:rFonts w:eastAsia="Times New Roman"/>
          <w:lang w:val="pt-BR" w:eastAsia="pt-BR"/>
        </w:rPr>
        <w:t>).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rFonts w:eastAsia="Times New Roman"/>
          <w:lang w:val="pt-BR" w:eastAsia="pt-BR"/>
        </w:rPr>
      </w:pPr>
      <w:r w:rsidRPr="00406B44">
        <w:rPr>
          <w:rFonts w:eastAsia="Times New Roman"/>
          <w:lang w:val="pt-BR" w:eastAsia="pt-BR"/>
        </w:rPr>
        <w:tab/>
        <w:t xml:space="preserve">Diante o </w:t>
      </w:r>
      <w:proofErr w:type="spellStart"/>
      <w:r w:rsidRPr="00406B44">
        <w:rPr>
          <w:rFonts w:eastAsia="Times New Roman"/>
          <w:lang w:val="pt-BR" w:eastAsia="pt-BR"/>
        </w:rPr>
        <w:t>silenciamento</w:t>
      </w:r>
      <w:proofErr w:type="spellEnd"/>
      <w:r w:rsidRPr="00406B44">
        <w:rPr>
          <w:rFonts w:eastAsia="Times New Roman"/>
          <w:lang w:val="pt-BR" w:eastAsia="pt-BR"/>
        </w:rPr>
        <w:t xml:space="preserve"> do legislador, nota-se a falha gritante, isso porque o país em vivemos possui vasta dimensão rural, não fazendo sentido exclui-los dessa natureza de modalidade, pois está o artigo violando brutamente o direito que tem os proprietários rurais de gozar dos mesmos direitos dos proprietários urbanos. Não tem sequer logica, em fazer distinção entre eles. (PENA, 2013) Coadunando com este entendimento: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ascii="Arial" w:eastAsia="Times New Roman" w:hAnsi="Arial" w:cs="Arial"/>
          <w:color w:val="666666"/>
          <w:lang w:val="pt-BR" w:eastAsia="pt-BR"/>
        </w:rPr>
        <w:t> 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Ademais, </w:t>
      </w:r>
      <w:r>
        <w:rPr>
          <w:rFonts w:eastAsia="Times New Roman"/>
          <w:sz w:val="20"/>
          <w:szCs w:val="20"/>
          <w:lang w:val="pt-PT" w:eastAsia="pt-BR"/>
        </w:rPr>
        <w:t>por</w:t>
      </w:r>
      <w:r w:rsidRPr="00406B44">
        <w:rPr>
          <w:rFonts w:eastAsia="Times New Roman"/>
          <w:sz w:val="20"/>
          <w:szCs w:val="20"/>
          <w:lang w:val="pt-BR" w:eastAsia="pt-BR"/>
        </w:rPr>
        <w:t xml:space="preserve"> que somente o imóvel urbano foi alvo da lei? E se o único bem imóvel, e que servir de abrigo e moradia à família, for rural? Será possível a usucapião prevista no artigo 1.240-A do Código Civil? Aparentemente, não, em face da interpretação literal das leis, eis que normas restritivas interpretam-se restritivamente, e a usucapião em tela, como forma de aquisição originária de propriedade, configura uma restrição ao direito de propriedade (e regime de bens) do cônjuge retirante. (NETO, 2011) </w:t>
      </w:r>
    </w:p>
    <w:p w:rsidR="00406B44" w:rsidRPr="00406B44" w:rsidRDefault="00406B44" w:rsidP="00406B44">
      <w:pPr>
        <w:shd w:val="clear" w:color="auto" w:fill="FFFFFF"/>
        <w:spacing w:line="285" w:lineRule="atLeast"/>
        <w:ind w:left="2268"/>
        <w:jc w:val="both"/>
        <w:rPr>
          <w:rFonts w:ascii="Arial" w:eastAsia="Times New Roman" w:hAnsi="Arial" w:cs="Arial"/>
          <w:color w:val="666666"/>
          <w:sz w:val="27"/>
          <w:szCs w:val="27"/>
          <w:lang w:val="pt-BR" w:eastAsia="pt-BR"/>
        </w:rPr>
      </w:pPr>
      <w:r w:rsidRPr="00406B44">
        <w:rPr>
          <w:rFonts w:ascii="Arial" w:eastAsia="Times New Roman" w:hAnsi="Arial" w:cs="Arial"/>
          <w:color w:val="666666"/>
          <w:sz w:val="27"/>
          <w:szCs w:val="27"/>
          <w:lang w:val="pt-BR" w:eastAsia="pt-BR"/>
        </w:rPr>
        <w:t> </w:t>
      </w:r>
    </w:p>
    <w:p w:rsidR="00406B44" w:rsidRDefault="00406B44" w:rsidP="00406B44">
      <w:pPr>
        <w:shd w:val="clear" w:color="auto" w:fill="FFFFFF"/>
        <w:spacing w:line="285" w:lineRule="atLeast"/>
        <w:jc w:val="both"/>
        <w:rPr>
          <w:rFonts w:eastAsia="Times New Roman"/>
          <w:b/>
          <w:lang w:val="pt-BR" w:eastAsia="pt-BR"/>
        </w:rPr>
      </w:pPr>
    </w:p>
    <w:p w:rsidR="00406B44" w:rsidRPr="00406B44" w:rsidRDefault="00406B44" w:rsidP="00406B44">
      <w:pPr>
        <w:shd w:val="clear" w:color="auto" w:fill="FFFFFF"/>
        <w:spacing w:line="285" w:lineRule="atLeast"/>
        <w:jc w:val="both"/>
        <w:rPr>
          <w:rFonts w:eastAsia="Times New Roman"/>
          <w:b/>
          <w:lang w:val="pt-BR"/>
        </w:rPr>
      </w:pPr>
      <w:r w:rsidRPr="00406B44">
        <w:rPr>
          <w:rFonts w:eastAsia="Times New Roman"/>
          <w:b/>
          <w:lang w:val="pt-BR" w:eastAsia="pt-BR"/>
        </w:rPr>
        <w:t xml:space="preserve">3.2 </w:t>
      </w:r>
      <w:r w:rsidRPr="00406B44">
        <w:rPr>
          <w:rFonts w:eastAsia="Times New Roman"/>
          <w:b/>
          <w:lang w:val="pt-BR"/>
        </w:rPr>
        <w:t>DA LESÃO AO PRINCIPIO DA LIBERDADE</w:t>
      </w:r>
    </w:p>
    <w:p w:rsidR="00406B44" w:rsidRPr="00406B44" w:rsidRDefault="00406B44" w:rsidP="00406B44">
      <w:pPr>
        <w:shd w:val="clear" w:color="auto" w:fill="FFFFFF"/>
        <w:spacing w:line="285" w:lineRule="atLeast"/>
        <w:jc w:val="both"/>
        <w:rPr>
          <w:rFonts w:eastAsia="Times New Roman"/>
          <w:b/>
          <w:lang w:val="pt-BR"/>
        </w:rPr>
      </w:pPr>
    </w:p>
    <w:p w:rsidR="00406B44" w:rsidRDefault="00406B44" w:rsidP="00406B4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/>
          <w:lang w:val="pt-PT" w:eastAsia="pt-BR"/>
        </w:rPr>
      </w:pPr>
      <w:r>
        <w:rPr>
          <w:rFonts w:eastAsia="Times New Roman"/>
          <w:lang w:val="pt-BR" w:eastAsia="pt-BR"/>
        </w:rPr>
        <w:tab/>
      </w:r>
      <w:proofErr w:type="gramStart"/>
      <w:r>
        <w:rPr>
          <w:rFonts w:eastAsia="Times New Roman"/>
          <w:lang w:val="pt-PT" w:eastAsia="pt-BR"/>
        </w:rPr>
        <w:t>Ato continuo</w:t>
      </w:r>
      <w:proofErr w:type="gramEnd"/>
      <w:r>
        <w:rPr>
          <w:rFonts w:eastAsia="Times New Roman"/>
          <w:lang w:val="pt-PT" w:eastAsia="pt-BR"/>
        </w:rPr>
        <w:t>, mostra-se ainda inconstitucional ao lesar também outra garantia constitucional prevista no caput do artigo 5º, o principio da liberdade. O direito a liberdade elecando na Constiuição Federal é uma foma de limitar a intervenção do Estado em relações particulares. Essa necessidade de limitação e em relação ao objeto aqui em analise que seria a relação particular de matrominio, explica Monica Guazzelli:</w:t>
      </w:r>
    </w:p>
    <w:p w:rsid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</w:p>
    <w:p w:rsidR="00406B44" w:rsidRDefault="00406B44" w:rsidP="00406B44">
      <w:pPr>
        <w:shd w:val="clear" w:color="auto" w:fill="FFFFFF"/>
        <w:ind w:left="2268"/>
        <w:jc w:val="both"/>
        <w:rPr>
          <w:rFonts w:eastAsia="Times New Roman"/>
          <w:b/>
          <w:bCs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Por certo que o Estado deve participar da família, especialmente para garantir justamente a observância dos princípios constitucionais, como o da igualdade. Mas não podemos olvidar que </w:t>
      </w:r>
      <w:r w:rsidRPr="00406B44">
        <w:rPr>
          <w:rFonts w:eastAsia="Times New Roman"/>
          <w:bCs/>
          <w:sz w:val="20"/>
          <w:szCs w:val="20"/>
          <w:lang w:val="pt-BR" w:eastAsia="pt-BR"/>
        </w:rPr>
        <w:t>essa ingerência tem um limite, e esse limite se encontra na pessoa, na sua intimidade e autonomia de vontade do sujeito.</w:t>
      </w:r>
      <w:r w:rsidRPr="00406B44">
        <w:rPr>
          <w:rFonts w:eastAsia="Times New Roman"/>
          <w:b/>
          <w:bCs/>
          <w:sz w:val="20"/>
          <w:szCs w:val="20"/>
          <w:lang w:val="pt-BR" w:eastAsia="pt-BR"/>
        </w:rPr>
        <w:t xml:space="preserve"> </w:t>
      </w:r>
      <w:r w:rsidRPr="00406B44">
        <w:rPr>
          <w:rFonts w:eastAsia="Times New Roman"/>
          <w:bCs/>
          <w:sz w:val="20"/>
          <w:szCs w:val="20"/>
          <w:lang w:val="pt-BR" w:eastAsia="pt-BR"/>
        </w:rPr>
        <w:t>(PENA apud GUAZZELLI, 2013</w:t>
      </w:r>
      <w:proofErr w:type="gramStart"/>
      <w:r w:rsidRPr="00406B44">
        <w:rPr>
          <w:rFonts w:eastAsia="Times New Roman"/>
          <w:bCs/>
          <w:sz w:val="20"/>
          <w:szCs w:val="20"/>
          <w:lang w:val="pt-BR" w:eastAsia="pt-BR"/>
        </w:rPr>
        <w:t>)</w:t>
      </w:r>
      <w:proofErr w:type="gramEnd"/>
      <w:r w:rsidRPr="00406B44">
        <w:rPr>
          <w:rFonts w:eastAsia="Times New Roman"/>
          <w:b/>
          <w:bCs/>
          <w:sz w:val="20"/>
          <w:szCs w:val="20"/>
          <w:lang w:val="pt-BR" w:eastAsia="pt-BR"/>
        </w:rPr>
        <w:t> 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jc w:val="both"/>
        <w:rPr>
          <w:rFonts w:eastAsia="Times New Roman"/>
          <w:lang w:val="pt-BR" w:eastAsia="pt-BR"/>
        </w:rPr>
      </w:pPr>
      <w:r w:rsidRPr="00406B44">
        <w:rPr>
          <w:rFonts w:eastAsia="Times New Roman"/>
          <w:bCs/>
          <w:lang w:val="pt-BR" w:eastAsia="pt-BR"/>
        </w:rPr>
        <w:tab/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eastAsia="Times New Roman"/>
          <w:lang w:val="pt-BR" w:eastAsia="pt-BR"/>
        </w:rPr>
        <w:tab/>
        <w:t xml:space="preserve">Assim, impondo o artigo sanção patrimonial de perda de propriedade àquele cônjuge que não presta esclarecimentos ao Estado por simplesmente não querer mais ter um vinculo conjugal, está o legislador ferido grotescamente o direito de liberdade. </w:t>
      </w:r>
      <w:proofErr w:type="gramStart"/>
      <w:r w:rsidRPr="00406B44">
        <w:rPr>
          <w:rFonts w:eastAsia="Times New Roman"/>
          <w:lang w:val="pt-BR" w:eastAsia="pt-BR"/>
        </w:rPr>
        <w:t xml:space="preserve">Vide certo que </w:t>
      </w:r>
      <w:r w:rsidRPr="00406B44">
        <w:rPr>
          <w:rFonts w:eastAsia="Times New Roman"/>
          <w:lang w:val="pt-BR" w:eastAsia="pt-BR"/>
        </w:rPr>
        <w:lastRenderedPageBreak/>
        <w:t>nesse momento está ele</w:t>
      </w:r>
      <w:proofErr w:type="gramEnd"/>
      <w:r w:rsidRPr="00406B44">
        <w:rPr>
          <w:rFonts w:eastAsia="Times New Roman"/>
          <w:lang w:val="pt-BR" w:eastAsia="pt-BR"/>
        </w:rPr>
        <w:t xml:space="preserve"> impedido de ir e vir, por ter que dá satisfação ao Estado sob pena de sanção patrimonial. Bom relembrar que </w:t>
      </w:r>
      <w:proofErr w:type="gramStart"/>
      <w:r w:rsidRPr="00406B44">
        <w:rPr>
          <w:rFonts w:eastAsia="Times New Roman"/>
          <w:lang w:val="pt-BR" w:eastAsia="pt-BR"/>
        </w:rPr>
        <w:t>tal principio</w:t>
      </w:r>
      <w:proofErr w:type="gramEnd"/>
      <w:r w:rsidRPr="00406B44">
        <w:rPr>
          <w:rFonts w:eastAsia="Times New Roman"/>
          <w:lang w:val="pt-BR" w:eastAsia="pt-BR"/>
        </w:rPr>
        <w:t xml:space="preserve"> não abrange somente o direito da liberdade de ir e vir mas, a liberdade de crença, convicções, de expressa, de pensamento, de associação, tendo o mesmo como “obstáculo” dar satisfação da sua relação particular.( PENA, 2013). Resume-se:</w:t>
      </w:r>
      <w:r w:rsidRPr="00406B44">
        <w:rPr>
          <w:rFonts w:ascii="Arial" w:eastAsia="Times New Roman" w:hAnsi="Arial" w:cs="Arial"/>
          <w:color w:val="666666"/>
          <w:sz w:val="27"/>
          <w:szCs w:val="27"/>
          <w:lang w:val="pt-BR" w:eastAsia="pt-BR"/>
        </w:rPr>
        <w:t> </w:t>
      </w:r>
    </w:p>
    <w:p w:rsid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O legislador, não se atentou à limitação imposta ao Estado pelo princípio da liberdade assegurado aos indivíduos através do texto do artigo 5º da CF/88, em seu </w:t>
      </w:r>
      <w:r w:rsidRPr="00406B44">
        <w:rPr>
          <w:rFonts w:eastAsia="Times New Roman"/>
          <w:i/>
          <w:iCs/>
          <w:sz w:val="20"/>
          <w:szCs w:val="20"/>
          <w:lang w:val="pt-BR" w:eastAsia="pt-BR"/>
        </w:rPr>
        <w:t>caput</w:t>
      </w:r>
      <w:r w:rsidRPr="00406B44">
        <w:rPr>
          <w:rFonts w:eastAsia="Times New Roman"/>
          <w:sz w:val="20"/>
          <w:szCs w:val="20"/>
          <w:lang w:val="pt-BR" w:eastAsia="pt-BR"/>
        </w:rPr>
        <w:t xml:space="preserve">, editando norma que fere a liberdade de escolher estar casado e/ou solteiro. Pois, tentar aprisionar duas pessoas num relacionamento falido 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sob pena</w:t>
      </w:r>
      <w:proofErr w:type="gramEnd"/>
      <w:r w:rsidRPr="00406B44">
        <w:rPr>
          <w:rFonts w:eastAsia="Times New Roman"/>
          <w:sz w:val="20"/>
          <w:szCs w:val="20"/>
          <w:lang w:val="pt-BR" w:eastAsia="pt-BR"/>
        </w:rPr>
        <w:t xml:space="preserve"> de imputação de sanção patrimonial caracteriza gritante lesão ao princípio da liberdade do cidadão, inibindo-o de deixar o enlace conjugal para somente evitar as já ditas sanções. </w:t>
      </w:r>
      <w:r>
        <w:rPr>
          <w:rFonts w:eastAsia="Times New Roman"/>
          <w:sz w:val="20"/>
          <w:szCs w:val="20"/>
          <w:lang w:eastAsia="pt-BR"/>
        </w:rPr>
        <w:t>(PENA, 2011)</w:t>
      </w:r>
    </w:p>
    <w:p w:rsidR="00406B44" w:rsidRDefault="00406B44" w:rsidP="00406B44">
      <w:pPr>
        <w:shd w:val="clear" w:color="auto" w:fill="FFFFFF"/>
        <w:spacing w:line="360" w:lineRule="auto"/>
        <w:jc w:val="both"/>
        <w:rPr>
          <w:rFonts w:eastAsiaTheme="minorHAnsi"/>
          <w:sz w:val="20"/>
          <w:szCs w:val="20"/>
        </w:rPr>
      </w:pPr>
    </w:p>
    <w:p w:rsidR="00406B44" w:rsidRPr="00406B44" w:rsidRDefault="00406B44" w:rsidP="00406B44">
      <w:pPr>
        <w:shd w:val="clear" w:color="auto" w:fill="FFFFFF"/>
        <w:spacing w:line="360" w:lineRule="auto"/>
        <w:jc w:val="both"/>
        <w:rPr>
          <w:b/>
          <w:lang w:val="pt-BR"/>
        </w:rPr>
      </w:pPr>
      <w:r w:rsidRPr="00406B44">
        <w:rPr>
          <w:b/>
          <w:lang w:val="pt-BR"/>
        </w:rPr>
        <w:t>3.3 DA DIMINUIÇÃO DE PRAZO PRA USUCAPIR IMÓVEL URBANO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b/>
          <w:lang w:val="pt-BR"/>
        </w:rPr>
      </w:pPr>
      <w:r w:rsidRPr="00406B44">
        <w:rPr>
          <w:b/>
          <w:lang w:val="pt-BR"/>
        </w:rPr>
        <w:tab/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b/>
          <w:lang w:val="pt-BR"/>
        </w:rPr>
        <w:tab/>
      </w:r>
      <w:r w:rsidRPr="00406B44">
        <w:rPr>
          <w:lang w:val="pt-BR"/>
        </w:rPr>
        <w:t xml:space="preserve">Mesmo de atrelados tantos pontos, </w:t>
      </w:r>
      <w:proofErr w:type="gramStart"/>
      <w:r w:rsidRPr="00406B44">
        <w:rPr>
          <w:lang w:val="pt-BR"/>
        </w:rPr>
        <w:t>parece impossível</w:t>
      </w:r>
      <w:proofErr w:type="gramEnd"/>
      <w:r w:rsidRPr="00406B44">
        <w:rPr>
          <w:lang w:val="pt-BR"/>
        </w:rPr>
        <w:t xml:space="preserve"> que o legislador tenha a ter mais uma falha, porém, </w:t>
      </w:r>
      <w:proofErr w:type="spellStart"/>
      <w:r w:rsidRPr="00406B44">
        <w:rPr>
          <w:lang w:val="pt-BR"/>
        </w:rPr>
        <w:t>cansávelmente</w:t>
      </w:r>
      <w:proofErr w:type="spellEnd"/>
      <w:r w:rsidRPr="00406B44">
        <w:rPr>
          <w:lang w:val="pt-BR"/>
        </w:rPr>
        <w:t xml:space="preserve"> venho destacar mais uma. O artigo 1.240 assim prevê: “aquele que exercer por, </w:t>
      </w:r>
      <w:proofErr w:type="gramStart"/>
      <w:r w:rsidRPr="00406B44">
        <w:rPr>
          <w:lang w:val="pt-BR"/>
        </w:rPr>
        <w:t>2</w:t>
      </w:r>
      <w:proofErr w:type="gramEnd"/>
      <w:r w:rsidRPr="00406B44">
        <w:rPr>
          <w:lang w:val="pt-BR"/>
        </w:rPr>
        <w:t xml:space="preserve"> (dois anos) ininterruptamente e sem oposição...”, impondo assim um prazo temporal de 2 (dois anos) para legalidade de usucapir. (PENA, 2013)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lang w:val="pt-BR"/>
        </w:rPr>
        <w:tab/>
        <w:t xml:space="preserve">Anteriormente, já vimos outras modalidades de usucapião, e vemos que aqui houve uma grande discrepância quanto ao tempo, tendo assim uma forma inovadora de somente </w:t>
      </w:r>
      <w:proofErr w:type="gramStart"/>
      <w:r w:rsidRPr="00406B44">
        <w:rPr>
          <w:lang w:val="pt-BR"/>
        </w:rPr>
        <w:t>2</w:t>
      </w:r>
      <w:proofErr w:type="gramEnd"/>
      <w:r w:rsidRPr="00406B44">
        <w:rPr>
          <w:lang w:val="pt-BR"/>
        </w:rPr>
        <w:t xml:space="preserve">(dois) para garantira essa nova modalidade de usucapião. De acordo com a Constituição Federal, a mesma exige um prazo de até cinco </w:t>
      </w:r>
      <w:proofErr w:type="gramStart"/>
      <w:r w:rsidRPr="00406B44">
        <w:rPr>
          <w:lang w:val="pt-BR"/>
        </w:rPr>
        <w:t>anos.</w:t>
      </w:r>
      <w:proofErr w:type="gramEnd"/>
      <w:r w:rsidRPr="00406B44">
        <w:rPr>
          <w:lang w:val="pt-BR"/>
        </w:rPr>
        <w:t>(PENA, 2013)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lang w:val="pt-BR"/>
        </w:rPr>
      </w:pPr>
      <w:r w:rsidRPr="00406B44">
        <w:rPr>
          <w:lang w:val="pt-BR"/>
        </w:rPr>
        <w:tab/>
        <w:t xml:space="preserve">Primeiramente, essa modalidade de usucapião está envolto de relações matrimoniais. Se se falando de direito de família, a luz de tantos problemas, torna-se totalmente absurdo conceder um prazo de somente </w:t>
      </w:r>
      <w:proofErr w:type="gramStart"/>
      <w:r w:rsidRPr="00406B44">
        <w:rPr>
          <w:lang w:val="pt-BR"/>
        </w:rPr>
        <w:t>2</w:t>
      </w:r>
      <w:proofErr w:type="gramEnd"/>
      <w:r w:rsidRPr="00406B44">
        <w:rPr>
          <w:lang w:val="pt-BR"/>
        </w:rPr>
        <w:t xml:space="preserve"> (dois) anos, pois quando tratamos de termino da </w:t>
      </w:r>
      <w:proofErr w:type="spellStart"/>
      <w:r w:rsidRPr="00406B44">
        <w:rPr>
          <w:lang w:val="pt-BR"/>
        </w:rPr>
        <w:t>conjugalidade</w:t>
      </w:r>
      <w:proofErr w:type="spellEnd"/>
      <w:r w:rsidRPr="00406B44">
        <w:rPr>
          <w:lang w:val="pt-BR"/>
        </w:rPr>
        <w:t xml:space="preserve">, na maioria das vezes se trata de questões emocionais, afetivas, como o ato de sair de casa torna-se um ato irracional e o fator “ divorcio” sequer é cogitado, pelo simples fato de ambas as partes ansiarem por uma possível conciliação. Não faz menos sentido tal prazo ser consoante com a realidade brasileira, reitera Neto: </w:t>
      </w:r>
    </w:p>
    <w:p w:rsidR="00406B44" w:rsidRPr="00406B44" w:rsidRDefault="00406B44" w:rsidP="00406B44">
      <w:pPr>
        <w:shd w:val="clear" w:color="auto" w:fill="FFFFFF"/>
        <w:spacing w:line="285" w:lineRule="atLeast"/>
        <w:ind w:left="2268"/>
        <w:jc w:val="both"/>
        <w:rPr>
          <w:rFonts w:ascii="Arial" w:eastAsia="Times New Roman" w:hAnsi="Arial" w:cs="Arial"/>
          <w:color w:val="666666"/>
          <w:lang w:val="pt-BR" w:eastAsia="pt-BR"/>
        </w:rPr>
      </w:pP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>
        <w:rPr>
          <w:rFonts w:eastAsia="Times New Roman"/>
          <w:sz w:val="20"/>
          <w:szCs w:val="20"/>
          <w:lang w:val="pt-PT" w:eastAsia="pt-BR"/>
        </w:rPr>
        <w:t> É pouco </w:t>
      </w:r>
      <w:r w:rsidRPr="00406B44">
        <w:rPr>
          <w:rFonts w:eastAsia="Times New Roman"/>
          <w:sz w:val="20"/>
          <w:szCs w:val="20"/>
          <w:lang w:val="pt-BR" w:eastAsia="pt-BR"/>
        </w:rPr>
        <w:t>razoável</w:t>
      </w:r>
      <w:r>
        <w:rPr>
          <w:rFonts w:eastAsia="Times New Roman"/>
          <w:sz w:val="20"/>
          <w:szCs w:val="20"/>
          <w:lang w:val="pt-PT" w:eastAsia="pt-BR"/>
        </w:rPr>
        <w:t> e extremada a cominação legal de usucapião de imóvel urbano destinado ao uso da família, pelo decurso do prazo de apenas dois anos, eis que interferirá diretamente no regime de bens vigente, desprezando-o e causando sérios prejuízos ao retirante, além de possivelmenet instigar, ainda mais, o litígio entre os cônjuges. </w:t>
      </w:r>
      <w:r w:rsidRPr="00406B44">
        <w:rPr>
          <w:rFonts w:eastAsia="Times New Roman"/>
          <w:sz w:val="20"/>
          <w:szCs w:val="20"/>
          <w:lang w:val="pt-BR" w:eastAsia="pt-BR"/>
        </w:rPr>
        <w:t>(NETO, 2011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)</w:t>
      </w:r>
      <w:proofErr w:type="gramEnd"/>
    </w:p>
    <w:p w:rsidR="00406B44" w:rsidRPr="00406B44" w:rsidRDefault="00406B44" w:rsidP="00406B44">
      <w:pPr>
        <w:shd w:val="clear" w:color="auto" w:fill="FFFFFF"/>
        <w:tabs>
          <w:tab w:val="left" w:pos="1134"/>
        </w:tabs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ab/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eastAsia="Times New Roman"/>
          <w:lang w:val="pt-BR" w:eastAsia="pt-BR"/>
        </w:rPr>
        <w:tab/>
        <w:t xml:space="preserve">Em segundo plano, porém não menos importante, vamos findar mostrando mais uma vez a inconstitucionalidade do presente artigo objeto de estudo. Como já explanado, estamos lidando com uma norma infraconstitucional, e por isso que deve ser enquadrado no </w:t>
      </w:r>
      <w:r w:rsidRPr="00406B44">
        <w:rPr>
          <w:rFonts w:eastAsia="Times New Roman"/>
          <w:lang w:val="pt-BR" w:eastAsia="pt-BR"/>
        </w:rPr>
        <w:lastRenderedPageBreak/>
        <w:t xml:space="preserve">Estatuto da Cidade, que por ser lei complementar, de forma hierárquica deveria se encontra acima das normas infraconstitucionais. Sabemos então que o artigo deve seguir a régia da Constituição Federal, do Código Civil, e ainda o Estatuto da Cidade, mais não é o que acontece, o artigo 1.240 não se amolda aos ditames que o artigo 183 da CF/88 e o art. 9º do Estatuto da Cidade </w:t>
      </w:r>
      <w:proofErr w:type="gramStart"/>
      <w:r w:rsidRPr="00406B44">
        <w:rPr>
          <w:rFonts w:eastAsia="Times New Roman"/>
          <w:lang w:val="pt-BR" w:eastAsia="pt-BR"/>
        </w:rPr>
        <w:t xml:space="preserve">( </w:t>
      </w:r>
      <w:proofErr w:type="gramEnd"/>
      <w:r w:rsidRPr="00406B44">
        <w:rPr>
          <w:rFonts w:eastAsia="Times New Roman"/>
          <w:lang w:val="pt-BR" w:eastAsia="pt-BR"/>
        </w:rPr>
        <w:t>Lei nº 10257 de 10 de julho de 2001) prevê:</w:t>
      </w:r>
    </w:p>
    <w:p w:rsidR="00406B44" w:rsidRPr="00406B44" w:rsidRDefault="00406B44" w:rsidP="00406B44">
      <w:pPr>
        <w:shd w:val="clear" w:color="auto" w:fill="FFFFFF"/>
        <w:spacing w:line="285" w:lineRule="atLeast"/>
        <w:ind w:firstLine="708"/>
        <w:jc w:val="both"/>
        <w:rPr>
          <w:rFonts w:ascii="Arial" w:eastAsia="Times New Roman" w:hAnsi="Arial" w:cs="Arial"/>
          <w:color w:val="666666"/>
          <w:lang w:val="pt-BR" w:eastAsia="pt-BR"/>
        </w:rPr>
      </w:pPr>
      <w:r>
        <w:rPr>
          <w:rFonts w:ascii="Arial" w:eastAsia="Times New Roman" w:hAnsi="Arial" w:cs="Arial"/>
          <w:color w:val="666666"/>
          <w:sz w:val="27"/>
          <w:szCs w:val="27"/>
          <w:lang w:val="pt-PT" w:eastAsia="pt-BR"/>
        </w:rPr>
        <w:t> 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 xml:space="preserve">Art. 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9</w:t>
      </w:r>
      <w:r w:rsidRPr="00406B44">
        <w:rPr>
          <w:rFonts w:eastAsia="Times New Roman"/>
          <w:sz w:val="20"/>
          <w:szCs w:val="20"/>
          <w:u w:val="single"/>
          <w:vertAlign w:val="superscript"/>
          <w:lang w:val="pt-BR" w:eastAsia="pt-BR"/>
        </w:rPr>
        <w:t>o</w:t>
      </w:r>
      <w:r w:rsidRPr="00406B44">
        <w:rPr>
          <w:rFonts w:eastAsia="Times New Roman"/>
          <w:sz w:val="20"/>
          <w:szCs w:val="20"/>
          <w:lang w:val="pt-BR" w:eastAsia="pt-BR"/>
        </w:rPr>
        <w:t>Aquele</w:t>
      </w:r>
      <w:proofErr w:type="gramEnd"/>
      <w:r w:rsidRPr="00406B44">
        <w:rPr>
          <w:rFonts w:eastAsia="Times New Roman"/>
          <w:sz w:val="20"/>
          <w:szCs w:val="20"/>
          <w:lang w:val="pt-BR" w:eastAsia="pt-BR"/>
        </w:rPr>
        <w:t xml:space="preserve"> que possuir como sua área ou edificação urbana de até duzentos e </w:t>
      </w:r>
      <w:proofErr w:type="spellStart"/>
      <w:r w:rsidRPr="00406B44">
        <w:rPr>
          <w:rFonts w:eastAsia="Times New Roman"/>
          <w:sz w:val="20"/>
          <w:szCs w:val="20"/>
          <w:lang w:val="pt-BR" w:eastAsia="pt-BR"/>
        </w:rPr>
        <w:t>cinqüenta</w:t>
      </w:r>
      <w:proofErr w:type="spellEnd"/>
      <w:r w:rsidRPr="00406B44">
        <w:rPr>
          <w:rFonts w:eastAsia="Times New Roman"/>
          <w:sz w:val="20"/>
          <w:szCs w:val="20"/>
          <w:lang w:val="pt-BR" w:eastAsia="pt-BR"/>
        </w:rPr>
        <w:t xml:space="preserve"> metros quadrados, por cinco anos, ininterruptamente e sem oposição, utilizando-a para sua moradia ou de sua família, adquirir-lhe-á o domínio, desde que não seja proprietário de outro imóvel urbano ou rural.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§ 1</w:t>
      </w:r>
      <w:r w:rsidRPr="00406B44">
        <w:rPr>
          <w:rFonts w:eastAsia="Times New Roman"/>
          <w:sz w:val="20"/>
          <w:szCs w:val="20"/>
          <w:u w:val="single"/>
          <w:vertAlign w:val="superscript"/>
          <w:lang w:val="pt-BR" w:eastAsia="pt-BR"/>
        </w:rPr>
        <w:t>o</w:t>
      </w:r>
      <w:r w:rsidRPr="00406B44">
        <w:rPr>
          <w:rFonts w:eastAsia="Times New Roman"/>
          <w:sz w:val="20"/>
          <w:szCs w:val="20"/>
          <w:lang w:val="pt-BR" w:eastAsia="pt-BR"/>
        </w:rPr>
        <w:t> O título de domínio será conferido ao homem ou à mulher, ou a ambos, independentemente do estado civil.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§ 2</w:t>
      </w:r>
      <w:r w:rsidRPr="00406B44">
        <w:rPr>
          <w:rFonts w:eastAsia="Times New Roman"/>
          <w:sz w:val="20"/>
          <w:szCs w:val="20"/>
          <w:u w:val="single"/>
          <w:vertAlign w:val="superscript"/>
          <w:lang w:val="pt-BR" w:eastAsia="pt-BR"/>
        </w:rPr>
        <w:t>o</w:t>
      </w:r>
      <w:r w:rsidRPr="00406B44">
        <w:rPr>
          <w:rFonts w:eastAsia="Times New Roman"/>
          <w:sz w:val="20"/>
          <w:szCs w:val="20"/>
          <w:lang w:val="pt-BR" w:eastAsia="pt-BR"/>
        </w:rPr>
        <w:t> O direito de que trata este artigo não será reconhecido ao mesmo possuidor mais de uma vez.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eastAsia="Times New Roman"/>
          <w:sz w:val="20"/>
          <w:szCs w:val="20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>§ 3</w:t>
      </w:r>
      <w:r w:rsidRPr="00406B44">
        <w:rPr>
          <w:rFonts w:eastAsia="Times New Roman"/>
          <w:sz w:val="20"/>
          <w:szCs w:val="20"/>
          <w:u w:val="single"/>
          <w:vertAlign w:val="superscript"/>
          <w:lang w:val="pt-BR" w:eastAsia="pt-BR"/>
        </w:rPr>
        <w:t>o</w:t>
      </w:r>
      <w:r w:rsidRPr="00406B44">
        <w:rPr>
          <w:rFonts w:eastAsia="Times New Roman"/>
          <w:sz w:val="20"/>
          <w:szCs w:val="20"/>
          <w:lang w:val="pt-BR" w:eastAsia="pt-BR"/>
        </w:rPr>
        <w:t xml:space="preserve"> Para os efeitos deste artigo, o herdeiro legítimo continua, de pleno direito, 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a</w:t>
      </w:r>
      <w:proofErr w:type="gramEnd"/>
      <w:r w:rsidRPr="00406B44">
        <w:rPr>
          <w:rFonts w:eastAsia="Times New Roman"/>
          <w:sz w:val="20"/>
          <w:szCs w:val="20"/>
          <w:lang w:val="pt-BR" w:eastAsia="pt-BR"/>
        </w:rPr>
        <w:t xml:space="preserve"> 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posse</w:t>
      </w:r>
      <w:proofErr w:type="gramEnd"/>
      <w:r w:rsidRPr="00406B44">
        <w:rPr>
          <w:rFonts w:eastAsia="Times New Roman"/>
          <w:sz w:val="20"/>
          <w:szCs w:val="20"/>
          <w:lang w:val="pt-BR" w:eastAsia="pt-BR"/>
        </w:rPr>
        <w:t xml:space="preserve"> de seu antecessor, desde que já resida no imóvel por ocasião da abertura da sucessão.</w:t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285" w:lineRule="atLeast"/>
        <w:jc w:val="both"/>
        <w:rPr>
          <w:rFonts w:eastAsia="Times New Roman"/>
          <w:color w:val="666666"/>
          <w:lang w:val="pt-BR" w:eastAsia="pt-BR"/>
        </w:rPr>
      </w:pPr>
      <w:r w:rsidRPr="00406B44">
        <w:rPr>
          <w:rFonts w:eastAsia="Times New Roman"/>
          <w:color w:val="666666"/>
          <w:lang w:val="pt-BR" w:eastAsia="pt-BR"/>
        </w:rPr>
        <w:tab/>
      </w:r>
    </w:p>
    <w:p w:rsidR="00406B44" w:rsidRPr="00406B44" w:rsidRDefault="00406B44" w:rsidP="00406B44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eastAsia="Times New Roman"/>
          <w:color w:val="666666"/>
          <w:lang w:val="pt-BR" w:eastAsia="pt-BR"/>
        </w:rPr>
        <w:tab/>
      </w:r>
      <w:r w:rsidRPr="00406B44">
        <w:rPr>
          <w:rFonts w:eastAsia="Times New Roman"/>
          <w:lang w:val="pt-BR" w:eastAsia="pt-BR"/>
        </w:rPr>
        <w:t xml:space="preserve">Tendo como parâmetro o artigo 183 da CF/88, o artigo 9º da lei acima apresentada e o equivocado artigo 1.240-A do CC/02, não nos resta mais duvida sobre sua inconstitucionalidade, pois de acordo com o Principio da hierarquia das normas deve àqueles prevalecer sobre esse ultimo, tendo essa inovação de prazo de </w:t>
      </w:r>
      <w:proofErr w:type="gramStart"/>
      <w:r w:rsidRPr="00406B44">
        <w:rPr>
          <w:rFonts w:eastAsia="Times New Roman"/>
          <w:lang w:val="pt-BR" w:eastAsia="pt-BR"/>
        </w:rPr>
        <w:t>2</w:t>
      </w:r>
      <w:proofErr w:type="gramEnd"/>
      <w:r w:rsidRPr="00406B44">
        <w:rPr>
          <w:rFonts w:eastAsia="Times New Roman"/>
          <w:lang w:val="pt-BR" w:eastAsia="pt-BR"/>
        </w:rPr>
        <w:t>(dois) anos como ponto tão inovador que o torna inconstitucional. Compreende José Fernando Simão sobre a redução de prazo:</w:t>
      </w:r>
    </w:p>
    <w:p w:rsidR="00406B44" w:rsidRPr="00406B44" w:rsidRDefault="00406B44" w:rsidP="00406B44">
      <w:pPr>
        <w:shd w:val="clear" w:color="auto" w:fill="FFFFFF"/>
        <w:ind w:left="2268"/>
        <w:jc w:val="both"/>
        <w:rPr>
          <w:rFonts w:ascii="Arial" w:eastAsia="Times New Roman" w:hAnsi="Arial" w:cs="Arial"/>
          <w:color w:val="666666"/>
          <w:lang w:val="pt-BR" w:eastAsia="pt-BR"/>
        </w:rPr>
      </w:pPr>
      <w:r w:rsidRPr="00406B44">
        <w:rPr>
          <w:rFonts w:eastAsia="Times New Roman"/>
          <w:sz w:val="20"/>
          <w:szCs w:val="20"/>
          <w:lang w:val="pt-BR" w:eastAsia="pt-BR"/>
        </w:rPr>
        <w:t xml:space="preserve">A lei presume no meu sentir de maneira equivocada, que quando o imóvel é familiar deve o prejudicado pela posse exclusiva do outro cônjuge ou companheiro tomar medidas mais rápidas, esquecendo-se que o fim da </w:t>
      </w:r>
      <w:proofErr w:type="spellStart"/>
      <w:r w:rsidRPr="00406B44">
        <w:rPr>
          <w:rFonts w:eastAsia="Times New Roman"/>
          <w:sz w:val="20"/>
          <w:szCs w:val="20"/>
          <w:lang w:val="pt-BR" w:eastAsia="pt-BR"/>
        </w:rPr>
        <w:t>conjugalidade</w:t>
      </w:r>
      <w:proofErr w:type="spellEnd"/>
      <w:r w:rsidRPr="00406B44">
        <w:rPr>
          <w:rFonts w:eastAsia="Times New Roman"/>
          <w:sz w:val="20"/>
          <w:szCs w:val="20"/>
          <w:lang w:val="pt-BR" w:eastAsia="pt-BR"/>
        </w:rPr>
        <w:t xml:space="preserve"> envolve questões emocionais e afetivas que impedem, muitas vezes, rápida tomada de decisão. É o luto pelo fim do relacionamento. (PENA, apud SIMÃO, 2013) </w:t>
      </w:r>
      <w:proofErr w:type="gramStart"/>
      <w:r w:rsidRPr="00406B44">
        <w:rPr>
          <w:rFonts w:eastAsia="Times New Roman"/>
          <w:sz w:val="20"/>
          <w:szCs w:val="20"/>
          <w:lang w:val="pt-BR" w:eastAsia="pt-BR"/>
        </w:rPr>
        <w:t> </w:t>
      </w:r>
    </w:p>
    <w:p w:rsidR="00A22953" w:rsidRPr="00406B44" w:rsidRDefault="00A22953" w:rsidP="006069B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proofErr w:type="gramEnd"/>
    </w:p>
    <w:p w:rsidR="00036385" w:rsidRDefault="00036385" w:rsidP="004D1223">
      <w:pPr>
        <w:pStyle w:val="Ttulo1"/>
        <w:shd w:val="clear" w:color="auto" w:fill="FFFFFF"/>
        <w:spacing w:before="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CONCLUSÃO</w:t>
      </w:r>
    </w:p>
    <w:p w:rsidR="00036385" w:rsidRDefault="00036385" w:rsidP="002A458C">
      <w:pPr>
        <w:pStyle w:val="Ttulo1"/>
        <w:shd w:val="clear" w:color="auto" w:fill="FFFFFF"/>
        <w:tabs>
          <w:tab w:val="left" w:pos="1134"/>
        </w:tabs>
        <w:spacing w:before="0" w:line="360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>Não paire duvidas quanto à probelmatica do objeto do presente artigo. Essa nova modalidade de usucap</w:t>
      </w:r>
      <w:r w:rsidR="002A458C">
        <w:rPr>
          <w:b w:val="0"/>
          <w:color w:val="auto"/>
          <w:sz w:val="24"/>
          <w:szCs w:val="24"/>
        </w:rPr>
        <w:t>i</w:t>
      </w:r>
      <w:r>
        <w:rPr>
          <w:b w:val="0"/>
          <w:color w:val="auto"/>
          <w:sz w:val="24"/>
          <w:szCs w:val="24"/>
        </w:rPr>
        <w:t>ão, opondo o ex-conjude a sanção de prestar esclarecimentos ao Estado, põe em check todo o avançao legislativo que a Emenda Constitucinal nº66 de 2010 tinha superado.</w:t>
      </w:r>
    </w:p>
    <w:p w:rsidR="002A458C" w:rsidRDefault="002A458C" w:rsidP="002A458C">
      <w:pPr>
        <w:pStyle w:val="Ttulo1"/>
        <w:shd w:val="clear" w:color="auto" w:fill="FFFFFF"/>
        <w:tabs>
          <w:tab w:val="left" w:pos="1134"/>
        </w:tabs>
        <w:spacing w:before="0" w:line="360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  <w:t>Essa</w:t>
      </w:r>
      <w:r w:rsidR="00036385">
        <w:rPr>
          <w:b w:val="0"/>
          <w:color w:val="auto"/>
          <w:sz w:val="24"/>
          <w:szCs w:val="24"/>
        </w:rPr>
        <w:t xml:space="preserve"> nova modalidade de usucapião</w:t>
      </w:r>
      <w:r>
        <w:rPr>
          <w:b w:val="0"/>
          <w:color w:val="auto"/>
          <w:sz w:val="24"/>
          <w:szCs w:val="24"/>
        </w:rPr>
        <w:t>,</w:t>
      </w:r>
      <w:r w:rsidR="00036385">
        <w:rPr>
          <w:b w:val="0"/>
          <w:color w:val="auto"/>
          <w:sz w:val="24"/>
          <w:szCs w:val="24"/>
        </w:rPr>
        <w:t xml:space="preserve"> nasceu no arcabouço de vicios,</w:t>
      </w:r>
      <w:r>
        <w:rPr>
          <w:b w:val="0"/>
          <w:color w:val="auto"/>
          <w:sz w:val="24"/>
          <w:szCs w:val="24"/>
        </w:rPr>
        <w:t xml:space="preserve"> o restou configurou</w:t>
      </w:r>
      <w:r w:rsidR="00036385">
        <w:rPr>
          <w:b w:val="0"/>
          <w:color w:val="auto"/>
          <w:sz w:val="24"/>
          <w:szCs w:val="24"/>
        </w:rPr>
        <w:t xml:space="preserve"> a incostitucionaldiade material quanto ao requ</w:t>
      </w:r>
      <w:r>
        <w:rPr>
          <w:b w:val="0"/>
          <w:color w:val="auto"/>
          <w:sz w:val="24"/>
          <w:szCs w:val="24"/>
        </w:rPr>
        <w:t>isito alecando do abando do lar</w:t>
      </w:r>
      <w:r w:rsidR="00036385">
        <w:rPr>
          <w:b w:val="0"/>
          <w:color w:val="auto"/>
          <w:sz w:val="24"/>
          <w:szCs w:val="24"/>
        </w:rPr>
        <w:t xml:space="preserve">, fazendo </w:t>
      </w:r>
      <w:r>
        <w:rPr>
          <w:b w:val="0"/>
          <w:color w:val="auto"/>
          <w:sz w:val="24"/>
          <w:szCs w:val="24"/>
        </w:rPr>
        <w:t xml:space="preserve">renascer a discussao da culpa quanto </w:t>
      </w:r>
      <w:proofErr w:type="gramStart"/>
      <w:r>
        <w:rPr>
          <w:b w:val="0"/>
          <w:color w:val="auto"/>
          <w:sz w:val="24"/>
          <w:szCs w:val="24"/>
        </w:rPr>
        <w:t>a</w:t>
      </w:r>
      <w:proofErr w:type="gramEnd"/>
      <w:r>
        <w:rPr>
          <w:b w:val="0"/>
          <w:color w:val="auto"/>
          <w:sz w:val="24"/>
          <w:szCs w:val="24"/>
        </w:rPr>
        <w:t xml:space="preserve"> separação matrominial, assim como feriu o direito a liberdade, quando esqueceu de prevê em ambito rural essa nova modalidade de usucapir, e findou-se com a questão da discrepancia do prazo. </w:t>
      </w:r>
      <w:proofErr w:type="gramStart"/>
      <w:r>
        <w:rPr>
          <w:b w:val="0"/>
          <w:color w:val="auto"/>
          <w:sz w:val="24"/>
          <w:szCs w:val="24"/>
        </w:rPr>
        <w:t>Todos os requisitos confrontou</w:t>
      </w:r>
      <w:proofErr w:type="gramEnd"/>
      <w:r>
        <w:rPr>
          <w:b w:val="0"/>
          <w:color w:val="auto"/>
          <w:sz w:val="24"/>
          <w:szCs w:val="24"/>
        </w:rPr>
        <w:t xml:space="preserve"> veemente a Consituição Federal.</w:t>
      </w:r>
    </w:p>
    <w:p w:rsidR="009A392D" w:rsidRPr="003E0D84" w:rsidRDefault="003D2001" w:rsidP="002A458C">
      <w:pPr>
        <w:pStyle w:val="Ttulo1"/>
        <w:shd w:val="clear" w:color="auto" w:fill="FFFFFF"/>
        <w:tabs>
          <w:tab w:val="left" w:pos="1134"/>
        </w:tabs>
        <w:spacing w:before="0" w:line="360" w:lineRule="auto"/>
        <w:jc w:val="both"/>
        <w:rPr>
          <w:b w:val="0"/>
          <w:bCs w:val="0"/>
          <w:color w:val="auto"/>
          <w:sz w:val="24"/>
          <w:szCs w:val="24"/>
        </w:rPr>
      </w:pPr>
      <w:r w:rsidRPr="003E0D84">
        <w:rPr>
          <w:color w:val="auto"/>
          <w:sz w:val="24"/>
          <w:szCs w:val="24"/>
        </w:rPr>
        <w:lastRenderedPageBreak/>
        <w:t>REFERÊ</w:t>
      </w:r>
      <w:r w:rsidR="00E233FA" w:rsidRPr="003E0D84">
        <w:rPr>
          <w:color w:val="auto"/>
          <w:sz w:val="24"/>
          <w:szCs w:val="24"/>
        </w:rPr>
        <w:t>NCIAS</w:t>
      </w:r>
    </w:p>
    <w:p w:rsidR="002A458C" w:rsidRPr="0003725D" w:rsidRDefault="002A458C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COELHO, Fábio Ulhoa. </w:t>
      </w:r>
      <w:r w:rsidRPr="000372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Curso de direito civil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Vol. 4. Direito das coisas, direito autora. 4ª ed. São Paulo: </w:t>
      </w:r>
      <w:proofErr w:type="gramStart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Saraiva,</w:t>
      </w:r>
      <w:proofErr w:type="gramEnd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2012.</w:t>
      </w:r>
    </w:p>
    <w:p w:rsidR="002A458C" w:rsidRPr="0003725D" w:rsidRDefault="002A458C" w:rsidP="0003725D">
      <w:pPr>
        <w:pStyle w:val="Corp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FREITAS, Douglas Philips. </w:t>
      </w:r>
      <w:r w:rsidRPr="000372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Usucapião e Direito de Familia. Comentários ao art. 1240-A do Codigo Civil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. Jusnavigandi, Teresina, 2011. Disponível em:</w:t>
      </w:r>
      <w:r w:rsidRPr="0003725D">
        <w:rPr>
          <w:rStyle w:val="url"/>
          <w:rFonts w:ascii="Times New Roman" w:hAnsi="Times New Roman" w:cs="Times New Roman"/>
          <w:color w:val="0746A8"/>
          <w:sz w:val="24"/>
          <w:szCs w:val="24"/>
        </w:rPr>
        <w:t xml:space="preserve"> </w:t>
      </w:r>
      <w:r w:rsidRPr="0003725D">
        <w:rPr>
          <w:rStyle w:val="url"/>
          <w:rFonts w:ascii="Times New Roman" w:hAnsi="Times New Roman" w:cs="Times New Roman"/>
          <w:color w:val="auto"/>
          <w:sz w:val="24"/>
          <w:szCs w:val="24"/>
        </w:rPr>
        <w:t>&lt;</w:t>
      </w:r>
      <w:r w:rsidRPr="0003725D">
        <w:rPr>
          <w:rStyle w:val="url"/>
          <w:rFonts w:ascii="Times New Roman" w:hAnsi="Times New Roman" w:cs="Times New Roman"/>
          <w:color w:val="auto"/>
          <w:sz w:val="24"/>
          <w:szCs w:val="24"/>
        </w:rPr>
        <w:t>http://jus.com.br/artigos/20060</w:t>
      </w:r>
      <w:r w:rsidRPr="0003725D">
        <w:rPr>
          <w:rStyle w:val="url"/>
          <w:rFonts w:ascii="Times New Roman" w:hAnsi="Times New Roman" w:cs="Times New Roman"/>
          <w:color w:val="auto"/>
          <w:sz w:val="24"/>
          <w:szCs w:val="24"/>
        </w:rPr>
        <w:t>&gt;</w:t>
      </w:r>
      <w:r w:rsidRPr="0003725D">
        <w:rPr>
          <w:rFonts w:ascii="Times New Roman" w:hAnsi="Times New Roman" w:cs="Times New Roman"/>
          <w:color w:val="auto"/>
          <w:sz w:val="24"/>
          <w:szCs w:val="24"/>
        </w:rPr>
        <w:t>. Acesso em:</w:t>
      </w:r>
      <w:r w:rsidRPr="0003725D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proofErr w:type="gramStart"/>
      <w:r w:rsidRPr="0003725D">
        <w:rPr>
          <w:rStyle w:val="timeaccess"/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Pr="0003725D">
        <w:rPr>
          <w:rStyle w:val="timeaccess"/>
          <w:rFonts w:ascii="Times New Roman" w:hAnsi="Times New Roman" w:cs="Times New Roman"/>
          <w:color w:val="auto"/>
          <w:sz w:val="24"/>
          <w:szCs w:val="24"/>
        </w:rPr>
        <w:t xml:space="preserve"> de setembro</w:t>
      </w:r>
      <w:r w:rsidRPr="0003725D">
        <w:rPr>
          <w:rStyle w:val="timeaccess"/>
          <w:rFonts w:ascii="Times New Roman" w:hAnsi="Times New Roman" w:cs="Times New Roman"/>
          <w:color w:val="auto"/>
          <w:sz w:val="24"/>
          <w:szCs w:val="24"/>
        </w:rPr>
        <w:t>. 2013</w:t>
      </w:r>
      <w:r w:rsidRPr="0003725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3725D" w:rsidRDefault="0003725D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Pr="0003725D" w:rsidRDefault="002A458C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GONÇALVES, Carlos Roberto. </w:t>
      </w:r>
      <w:r w:rsidRPr="000372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Direito civil brasileiro:</w:t>
      </w:r>
      <w:r w:rsidRPr="0003725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direito das coisas. Vol. 5. 7ª ed. São Paulo: </w:t>
      </w:r>
      <w:proofErr w:type="gramStart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Saraiva,</w:t>
      </w:r>
      <w:proofErr w:type="gramEnd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2012.</w:t>
      </w:r>
    </w:p>
    <w:p w:rsidR="002A458C" w:rsidRPr="0003725D" w:rsidRDefault="002A458C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__________________________. </w:t>
      </w:r>
      <w:r w:rsidRPr="000372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Direito civil brasileiro:</w:t>
      </w:r>
      <w:r w:rsidRPr="0003725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direito das coisas. Vol. 6. 7ª ed. São Paulo: </w:t>
      </w:r>
      <w:proofErr w:type="gramStart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Saraiva,</w:t>
      </w:r>
      <w:proofErr w:type="gramEnd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2012.</w:t>
      </w:r>
    </w:p>
    <w:p w:rsidR="0003725D" w:rsidRPr="0003725D" w:rsidRDefault="0003725D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GUAZZELLI, M., </w:t>
      </w:r>
      <w:r w:rsidRPr="000372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Usucapião por abandono do Lar Conjugal: Repercussões no Direito de Família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, Revista IBDFAM, n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º 28, junho-julho/2012, p. 105.</w:t>
      </w:r>
    </w:p>
    <w:p w:rsidR="002A458C" w:rsidRPr="0003725D" w:rsidRDefault="002A458C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LISBOA, Roberto Senise. </w:t>
      </w:r>
      <w:r w:rsidRPr="000372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Manual de Direito Civil: Direitos Reais e Direitos Intelectuais.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7ª ed. São Paulo.</w:t>
      </w:r>
    </w:p>
    <w:p w:rsidR="002A458C" w:rsidRPr="0003725D" w:rsidRDefault="002A458C" w:rsidP="0003725D">
      <w:pPr>
        <w:pStyle w:val="Body1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MENDES, Gilmar Ferreira; BRANCO, Paulo Gustavo Gonet. </w:t>
      </w:r>
      <w:r w:rsidRPr="000372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Curso de direito constitucional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. 7ª ed. rev. e atual. São Paulo: Saraiva 2012.</w:t>
      </w:r>
    </w:p>
    <w:p w:rsidR="002A458C" w:rsidRPr="0003725D" w:rsidRDefault="002A458C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  <w:lang w:val="pt-BR"/>
        </w:rPr>
      </w:pPr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MONTEIRO, Washington de Barros. Curso de direito civil. Vol. 3. São Paulo: </w:t>
      </w:r>
      <w:proofErr w:type="gramStart"/>
      <w:r w:rsidRPr="0003725D">
        <w:rPr>
          <w:b w:val="0"/>
          <w:bCs w:val="0"/>
          <w:color w:val="auto"/>
          <w:sz w:val="24"/>
          <w:szCs w:val="24"/>
          <w:lang w:val="pt-BR"/>
        </w:rPr>
        <w:t>Saraiva,</w:t>
      </w:r>
      <w:proofErr w:type="gramEnd"/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 2000.</w:t>
      </w:r>
    </w:p>
    <w:p w:rsidR="0003725D" w:rsidRDefault="0003725D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  <w:lang w:val="pt-BR"/>
        </w:rPr>
      </w:pPr>
    </w:p>
    <w:p w:rsidR="0003725D" w:rsidRPr="0003725D" w:rsidRDefault="0003725D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  <w:lang w:val="pt-BR"/>
        </w:rPr>
      </w:pPr>
      <w:r w:rsidRPr="0003725D">
        <w:rPr>
          <w:b w:val="0"/>
          <w:bCs w:val="0"/>
          <w:color w:val="auto"/>
          <w:sz w:val="24"/>
          <w:szCs w:val="24"/>
          <w:lang w:val="pt-BR"/>
        </w:rPr>
        <w:t>MORAES, Alexandre de.</w:t>
      </w:r>
      <w:r w:rsidRPr="0003725D">
        <w:rPr>
          <w:b w:val="0"/>
          <w:bCs w:val="0"/>
          <w:color w:val="auto"/>
          <w:sz w:val="24"/>
          <w:szCs w:val="24"/>
          <w:lang w:val="pt-BR"/>
        </w:rPr>
        <w:t> </w:t>
      </w:r>
      <w:r w:rsidRPr="0003725D">
        <w:rPr>
          <w:color w:val="auto"/>
          <w:sz w:val="24"/>
          <w:szCs w:val="24"/>
          <w:lang w:val="pt-BR"/>
        </w:rPr>
        <w:t>Direito Constitucional.</w:t>
      </w:r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 23. </w:t>
      </w:r>
      <w:proofErr w:type="gramStart"/>
      <w:r w:rsidRPr="0003725D">
        <w:rPr>
          <w:b w:val="0"/>
          <w:bCs w:val="0"/>
          <w:color w:val="auto"/>
          <w:sz w:val="24"/>
          <w:szCs w:val="24"/>
          <w:lang w:val="pt-BR"/>
        </w:rPr>
        <w:t>ed.</w:t>
      </w:r>
      <w:proofErr w:type="gramEnd"/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 São Paulo: Atlas, 2008.</w:t>
      </w:r>
    </w:p>
    <w:p w:rsidR="0003725D" w:rsidRDefault="0003725D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  <w:lang w:val="pt-BR"/>
        </w:rPr>
      </w:pPr>
    </w:p>
    <w:p w:rsidR="002A458C" w:rsidRPr="0003725D" w:rsidRDefault="002A458C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  <w:lang w:val="pt-BR"/>
        </w:rPr>
      </w:pPr>
      <w:r w:rsidRPr="0003725D">
        <w:rPr>
          <w:b w:val="0"/>
          <w:bCs w:val="0"/>
          <w:color w:val="auto"/>
          <w:sz w:val="24"/>
          <w:szCs w:val="24"/>
          <w:lang w:val="pt-BR"/>
        </w:rPr>
        <w:t>NETO, A.L.B</w:t>
      </w:r>
      <w:r w:rsidRPr="0003725D">
        <w:rPr>
          <w:bCs w:val="0"/>
          <w:color w:val="auto"/>
          <w:sz w:val="24"/>
          <w:szCs w:val="24"/>
          <w:lang w:val="pt-BR"/>
        </w:rPr>
        <w:t>. A nova usucapião e o abandono do lar</w:t>
      </w:r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. </w:t>
      </w:r>
      <w:proofErr w:type="spellStart"/>
      <w:proofErr w:type="gramStart"/>
      <w:r w:rsidRPr="0003725D">
        <w:rPr>
          <w:b w:val="0"/>
          <w:bCs w:val="0"/>
          <w:color w:val="auto"/>
          <w:sz w:val="24"/>
          <w:szCs w:val="24"/>
          <w:lang w:val="pt-BR"/>
        </w:rPr>
        <w:t>JusNavigandi</w:t>
      </w:r>
      <w:proofErr w:type="spellEnd"/>
      <w:proofErr w:type="gramEnd"/>
      <w:r w:rsidRPr="0003725D">
        <w:rPr>
          <w:b w:val="0"/>
          <w:bCs w:val="0"/>
          <w:color w:val="auto"/>
          <w:sz w:val="24"/>
          <w:szCs w:val="24"/>
          <w:lang w:val="pt-BR"/>
        </w:rPr>
        <w:t>.</w:t>
      </w:r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 xml:space="preserve"> </w:t>
      </w:r>
      <w:proofErr w:type="gramStart"/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>Teresina,</w:t>
      </w:r>
      <w:proofErr w:type="gramEnd"/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>2011.</w:t>
      </w:r>
      <w:r w:rsidRPr="0003725D">
        <w:rPr>
          <w:b w:val="0"/>
          <w:bCs w:val="0"/>
          <w:color w:val="auto"/>
          <w:sz w:val="24"/>
          <w:szCs w:val="24"/>
          <w:lang w:val="pt-BR"/>
        </w:rPr>
        <w:t xml:space="preserve"> Disponível em: </w:t>
      </w:r>
      <w:hyperlink r:id="rId8" w:tgtFrame="_blank" w:history="1">
        <w:r w:rsidRPr="0003725D">
          <w:rPr>
            <w:b w:val="0"/>
            <w:bCs w:val="0"/>
            <w:sz w:val="24"/>
            <w:szCs w:val="24"/>
            <w:lang w:val="pt-BR"/>
          </w:rPr>
          <w:t>http://jus.com.br/revista/texto/19661</w:t>
        </w:r>
      </w:hyperlink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 xml:space="preserve"> Acesso em: </w:t>
      </w:r>
      <w:proofErr w:type="gramStart"/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>4</w:t>
      </w:r>
      <w:proofErr w:type="gramEnd"/>
      <w:r w:rsidR="0003725D" w:rsidRPr="0003725D">
        <w:rPr>
          <w:b w:val="0"/>
          <w:bCs w:val="0"/>
          <w:color w:val="auto"/>
          <w:sz w:val="24"/>
          <w:szCs w:val="24"/>
          <w:lang w:val="pt-BR"/>
        </w:rPr>
        <w:t xml:space="preserve"> de setembro de 2013</w:t>
      </w:r>
    </w:p>
    <w:p w:rsidR="0003725D" w:rsidRDefault="0003725D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</w:rPr>
      </w:pPr>
    </w:p>
    <w:p w:rsidR="002A458C" w:rsidRPr="0003725D" w:rsidRDefault="002A458C" w:rsidP="0003725D">
      <w:pPr>
        <w:pStyle w:val="Ttulo1"/>
        <w:shd w:val="clear" w:color="auto" w:fill="FFFFFF"/>
        <w:spacing w:before="0" w:line="360" w:lineRule="auto"/>
        <w:jc w:val="both"/>
        <w:rPr>
          <w:b w:val="0"/>
          <w:bCs w:val="0"/>
          <w:color w:val="auto"/>
          <w:sz w:val="24"/>
          <w:szCs w:val="24"/>
        </w:rPr>
      </w:pPr>
      <w:r w:rsidRPr="0003725D">
        <w:rPr>
          <w:b w:val="0"/>
          <w:bCs w:val="0"/>
          <w:color w:val="auto"/>
          <w:sz w:val="24"/>
          <w:szCs w:val="24"/>
        </w:rPr>
        <w:t xml:space="preserve">PENA, Stephanie Lais Santos. </w:t>
      </w:r>
      <w:r w:rsidRPr="0003725D">
        <w:rPr>
          <w:color w:val="auto"/>
          <w:sz w:val="24"/>
          <w:szCs w:val="24"/>
        </w:rPr>
        <w:t>Aspectos inconstitucionais da usucapião familiar</w:t>
      </w:r>
      <w:r w:rsidRPr="0003725D">
        <w:rPr>
          <w:b w:val="0"/>
          <w:bCs w:val="0"/>
          <w:color w:val="auto"/>
          <w:sz w:val="24"/>
          <w:szCs w:val="24"/>
        </w:rPr>
        <w:t>. Disponível em: &lt;</w:t>
      </w:r>
      <w:r w:rsidRPr="0003725D">
        <w:rPr>
          <w:b w:val="0"/>
          <w:bCs w:val="0"/>
          <w:color w:val="auto"/>
          <w:sz w:val="24"/>
          <w:szCs w:val="24"/>
          <w:u w:val="single"/>
        </w:rPr>
        <w:t>http://www.jurisway.org.br/v2/dhall.asp?</w:t>
      </w:r>
      <w:proofErr w:type="gramStart"/>
      <w:r w:rsidRPr="0003725D">
        <w:rPr>
          <w:b w:val="0"/>
          <w:bCs w:val="0"/>
          <w:color w:val="auto"/>
          <w:sz w:val="24"/>
          <w:szCs w:val="24"/>
          <w:u w:val="single"/>
        </w:rPr>
        <w:t>id_dh</w:t>
      </w:r>
      <w:proofErr w:type="gramEnd"/>
      <w:r w:rsidRPr="0003725D">
        <w:rPr>
          <w:b w:val="0"/>
          <w:bCs w:val="0"/>
          <w:color w:val="auto"/>
          <w:sz w:val="24"/>
          <w:szCs w:val="24"/>
          <w:u w:val="single"/>
        </w:rPr>
        <w:t>=10202&gt;</w:t>
      </w:r>
      <w:r w:rsidRPr="0003725D">
        <w:rPr>
          <w:b w:val="0"/>
          <w:bCs w:val="0"/>
          <w:color w:val="auto"/>
          <w:sz w:val="24"/>
          <w:szCs w:val="24"/>
        </w:rPr>
        <w:t>. Acesso em: 22 de agosto de 2013.</w:t>
      </w:r>
    </w:p>
    <w:p w:rsidR="002A458C" w:rsidRPr="0003725D" w:rsidRDefault="002A458C" w:rsidP="0003725D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PEREIRA</w:t>
      </w:r>
      <w:proofErr w:type="gramStart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, Caio</w:t>
      </w:r>
      <w:proofErr w:type="gramEnd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Mário Silva. </w:t>
      </w:r>
      <w:r w:rsidRPr="000372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Instituições de direito civil.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Vol. 4. Rio de Janeiro: Forense, 2004.</w:t>
      </w:r>
    </w:p>
    <w:p w:rsidR="0003725D" w:rsidRDefault="0003725D" w:rsidP="0003725D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3725D" w:rsidRPr="0003725D" w:rsidRDefault="0003725D" w:rsidP="0003725D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SIMÃO, José Fernando. </w:t>
      </w:r>
      <w:r w:rsidRPr="000372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Usucapião familiar: problema ou solução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. Disponível em:&lt;</w:t>
      </w:r>
      <w:hyperlink r:id="rId9" w:tgtFrame="_blank" w:history="1">
        <w:r w:rsidRPr="0003725D">
          <w:rPr>
            <w:rFonts w:ascii="Times New Roman" w:hAnsi="Times New Roman" w:cs="Times New Roman"/>
            <w:sz w:val="24"/>
            <w:szCs w:val="24"/>
          </w:rPr>
          <w:t>http://www.professorsimao.com.br/artigos_simao_cf0711.html</w:t>
        </w:r>
      </w:hyperlink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&gt;. Acesso em: </w:t>
      </w:r>
      <w:r w:rsidRPr="0003725D">
        <w:rPr>
          <w:rFonts w:ascii="Times New Roman" w:eastAsia="Times New Roman" w:hAnsi="Times New Roman" w:cs="Times New Roman"/>
          <w:color w:val="auto"/>
          <w:sz w:val="24"/>
          <w:szCs w:val="24"/>
        </w:rPr>
        <w:t>04 de setembro de 2013.</w:t>
      </w:r>
    </w:p>
    <w:p w:rsidR="002A458C" w:rsidRPr="0003725D" w:rsidRDefault="002A458C" w:rsidP="0003725D">
      <w:pPr>
        <w:pStyle w:val="Corp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A458C" w:rsidRPr="0003725D" w:rsidRDefault="002A458C" w:rsidP="0003725D">
      <w:pPr>
        <w:pStyle w:val="Corp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25D">
        <w:rPr>
          <w:rFonts w:ascii="Times New Roman" w:hAnsi="Times New Roman" w:cs="Times New Roman"/>
          <w:color w:val="auto"/>
          <w:sz w:val="24"/>
          <w:szCs w:val="24"/>
        </w:rPr>
        <w:t xml:space="preserve">SOUZA, Juarez </w:t>
      </w:r>
      <w:proofErr w:type="spellStart"/>
      <w:r w:rsidRPr="0003725D">
        <w:rPr>
          <w:rFonts w:ascii="Times New Roman" w:hAnsi="Times New Roman" w:cs="Times New Roman"/>
          <w:color w:val="auto"/>
          <w:sz w:val="24"/>
          <w:szCs w:val="24"/>
        </w:rPr>
        <w:t>Giacobbo</w:t>
      </w:r>
      <w:proofErr w:type="spellEnd"/>
      <w:r w:rsidRPr="0003725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372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O </w:t>
      </w:r>
      <w:proofErr w:type="spellStart"/>
      <w:r w:rsidRPr="0003725D">
        <w:rPr>
          <w:rFonts w:ascii="Times New Roman" w:hAnsi="Times New Roman" w:cs="Times New Roman"/>
          <w:b/>
          <w:color w:val="auto"/>
          <w:sz w:val="24"/>
          <w:szCs w:val="24"/>
        </w:rPr>
        <w:t>advendo</w:t>
      </w:r>
      <w:proofErr w:type="spellEnd"/>
      <w:r w:rsidRPr="000372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artigo 1.240-A no Código Civil: Análise jurídica e doutrinária.</w:t>
      </w:r>
      <w:r w:rsidRPr="0003725D">
        <w:rPr>
          <w:rFonts w:ascii="Times New Roman" w:hAnsi="Times New Roman" w:cs="Times New Roman"/>
          <w:color w:val="auto"/>
          <w:sz w:val="24"/>
          <w:szCs w:val="24"/>
        </w:rPr>
        <w:t xml:space="preserve"> Disponível em: &lt;</w:t>
      </w:r>
      <w:hyperlink r:id="rId10" w:history="1">
        <w:r w:rsidRPr="0003725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http://www.professorallan.com.br/UserFiles/Arquivo/Artigo/usucapiao_familiar_simao.pdf</w:t>
        </w:r>
      </w:hyperlink>
      <w:r w:rsidRPr="0003725D">
        <w:rPr>
          <w:rFonts w:ascii="Times New Roman" w:hAnsi="Times New Roman" w:cs="Times New Roman"/>
          <w:color w:val="auto"/>
          <w:sz w:val="24"/>
          <w:szCs w:val="24"/>
        </w:rPr>
        <w:t>&gt;. Acesso em 04/11/2013.</w:t>
      </w:r>
    </w:p>
    <w:p w:rsidR="002A458C" w:rsidRPr="0003725D" w:rsidRDefault="002A458C" w:rsidP="0003725D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:rsidR="002A458C" w:rsidRPr="0003725D" w:rsidRDefault="002A458C" w:rsidP="0003725D">
      <w:pPr>
        <w:pStyle w:val="Corp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03725D">
        <w:rPr>
          <w:rFonts w:ascii="Times New Roman" w:hAnsi="Times New Roman" w:cs="Times New Roman"/>
          <w:sz w:val="24"/>
          <w:szCs w:val="24"/>
        </w:rPr>
        <w:t xml:space="preserve">WESENDONCK, </w:t>
      </w:r>
      <w:proofErr w:type="spellStart"/>
      <w:r w:rsidRPr="0003725D">
        <w:rPr>
          <w:rFonts w:ascii="Times New Roman" w:hAnsi="Times New Roman" w:cs="Times New Roman"/>
          <w:sz w:val="24"/>
          <w:szCs w:val="24"/>
        </w:rPr>
        <w:t>Tula</w:t>
      </w:r>
      <w:proofErr w:type="spellEnd"/>
      <w:r w:rsidRPr="0003725D">
        <w:rPr>
          <w:rFonts w:ascii="Times New Roman" w:hAnsi="Times New Roman" w:cs="Times New Roman"/>
          <w:sz w:val="24"/>
          <w:szCs w:val="24"/>
        </w:rPr>
        <w:t xml:space="preserve">. </w:t>
      </w:r>
      <w:r w:rsidRPr="0003725D">
        <w:rPr>
          <w:rFonts w:ascii="Times New Roman" w:hAnsi="Times New Roman" w:cs="Times New Roman"/>
          <w:b/>
          <w:sz w:val="24"/>
          <w:szCs w:val="24"/>
        </w:rPr>
        <w:t>Usucapião familiar: uma forma de solução de conflitos no direito de família ou (</w:t>
      </w:r>
      <w:proofErr w:type="spellStart"/>
      <w:r w:rsidRPr="0003725D">
        <w:rPr>
          <w:rFonts w:ascii="Times New Roman" w:hAnsi="Times New Roman" w:cs="Times New Roman"/>
          <w:b/>
          <w:sz w:val="24"/>
          <w:szCs w:val="24"/>
        </w:rPr>
        <w:t>re</w:t>
      </w:r>
      <w:proofErr w:type="spellEnd"/>
      <w:proofErr w:type="gramStart"/>
      <w:r w:rsidRPr="0003725D">
        <w:rPr>
          <w:rFonts w:ascii="Times New Roman" w:hAnsi="Times New Roman" w:cs="Times New Roman"/>
          <w:b/>
          <w:sz w:val="24"/>
          <w:szCs w:val="24"/>
        </w:rPr>
        <w:t>)criação</w:t>
      </w:r>
      <w:proofErr w:type="gramEnd"/>
      <w:r w:rsidRPr="0003725D">
        <w:rPr>
          <w:rFonts w:ascii="Times New Roman" w:hAnsi="Times New Roman" w:cs="Times New Roman"/>
          <w:b/>
          <w:sz w:val="24"/>
          <w:szCs w:val="24"/>
        </w:rPr>
        <w:t xml:space="preserve"> de outros?</w:t>
      </w:r>
      <w:r w:rsidRPr="0003725D">
        <w:rPr>
          <w:rFonts w:ascii="Times New Roman" w:hAnsi="Times New Roman" w:cs="Times New Roman"/>
          <w:sz w:val="24"/>
          <w:szCs w:val="24"/>
        </w:rPr>
        <w:t>. Disponível em: &lt;</w:t>
      </w:r>
      <w:hyperlink r:id="rId11" w:history="1">
        <w:r w:rsidRPr="0003725D">
          <w:rPr>
            <w:rStyle w:val="Hyperlink"/>
            <w:rFonts w:ascii="Times New Roman" w:hAnsi="Times New Roman" w:cs="Times New Roman"/>
            <w:sz w:val="24"/>
            <w:szCs w:val="24"/>
          </w:rPr>
          <w:t>http://www.idb-fdul.com/uploaded/files/RIDB_001_0573_0604.pdf</w:t>
        </w:r>
      </w:hyperlink>
      <w:r w:rsidRPr="0003725D">
        <w:rPr>
          <w:rStyle w:val="Hyperlink"/>
          <w:rFonts w:ascii="Times New Roman" w:hAnsi="Times New Roman" w:cs="Times New Roman"/>
          <w:sz w:val="24"/>
          <w:szCs w:val="24"/>
        </w:rPr>
        <w:t>&gt;.</w:t>
      </w:r>
      <w:r w:rsidRPr="0003725D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Acesso em </w:t>
      </w:r>
    </w:p>
    <w:p w:rsidR="002A458C" w:rsidRDefault="002A458C" w:rsidP="002A458C">
      <w:pPr>
        <w:pStyle w:val="Corpo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4D1223">
      <w:pPr>
        <w:pStyle w:val="Body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A458C" w:rsidRDefault="002A458C" w:rsidP="002A458C">
      <w:pPr>
        <w:jc w:val="both"/>
      </w:pPr>
    </w:p>
    <w:p w:rsidR="002A458C" w:rsidRPr="002A458C" w:rsidRDefault="002A458C" w:rsidP="002A458C">
      <w:pPr>
        <w:jc w:val="both"/>
        <w:rPr>
          <w:rFonts w:eastAsiaTheme="minorHAnsi"/>
          <w:lang w:val="pt-BR"/>
        </w:rPr>
      </w:pPr>
    </w:p>
    <w:p w:rsidR="002A458C" w:rsidRDefault="002A458C" w:rsidP="004D1223">
      <w:pPr>
        <w:pStyle w:val="Corp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A458C" w:rsidRPr="003E0D84" w:rsidRDefault="002A458C" w:rsidP="0003725D">
      <w:pPr>
        <w:pStyle w:val="Corpo"/>
        <w:pBdr>
          <w:top w:val="nil"/>
        </w:pBd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2A458C" w:rsidRPr="003E0D84" w:rsidSect="00406B44">
      <w:headerReference w:type="default" r:id="rId12"/>
      <w:footerReference w:type="default" r:id="rId13"/>
      <w:pgSz w:w="11900" w:h="16840"/>
      <w:pgMar w:top="1701" w:right="170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51" w:rsidRDefault="00084C51">
      <w:r>
        <w:separator/>
      </w:r>
    </w:p>
  </w:endnote>
  <w:endnote w:type="continuationSeparator" w:id="0">
    <w:p w:rsidR="00084C51" w:rsidRDefault="0008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2D" w:rsidRDefault="009A392D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51" w:rsidRDefault="00084C51">
      <w:r>
        <w:separator/>
      </w:r>
    </w:p>
  </w:footnote>
  <w:footnote w:type="continuationSeparator" w:id="0">
    <w:p w:rsidR="00084C51" w:rsidRDefault="00084C51">
      <w:r>
        <w:continuationSeparator/>
      </w:r>
    </w:p>
  </w:footnote>
  <w:footnote w:type="continuationNotice" w:id="1">
    <w:p w:rsidR="00084C51" w:rsidRDefault="00084C51"/>
  </w:footnote>
  <w:footnote w:id="2">
    <w:p w:rsidR="009A392D" w:rsidRPr="00C57BF9" w:rsidRDefault="00E233FA" w:rsidP="00406B44">
      <w:pPr>
        <w:pStyle w:val="Textodenotaderodap"/>
      </w:pPr>
      <w:r w:rsidRPr="00C57BF9">
        <w:rPr>
          <w:rFonts w:ascii="Times New Roman" w:eastAsia="Times New Roman" w:hAnsi="Times New Roman" w:cs="Times New Roman"/>
          <w:vertAlign w:val="superscript"/>
        </w:rPr>
        <w:footnoteRef/>
      </w:r>
      <w:r w:rsidRPr="00C57BF9">
        <w:t xml:space="preserve"> </w:t>
      </w:r>
      <w:r w:rsidRPr="00C57BF9">
        <w:rPr>
          <w:rFonts w:ascii="Times New Roman" w:eastAsia="Times New Roman" w:hAnsi="Times New Roman" w:cs="Times New Roman"/>
        </w:rPr>
        <w:t xml:space="preserve">Paper apresentado </w:t>
      </w:r>
      <w:proofErr w:type="gramStart"/>
      <w:r w:rsidRPr="00C57BF9">
        <w:rPr>
          <w:rFonts w:ascii="Times New Roman" w:eastAsia="Times New Roman" w:hAnsi="Times New Roman" w:cs="Times New Roman"/>
        </w:rPr>
        <w:t>a</w:t>
      </w:r>
      <w:proofErr w:type="gramEnd"/>
      <w:r w:rsidRPr="00C57BF9">
        <w:rPr>
          <w:rFonts w:ascii="Times New Roman" w:eastAsia="Times New Roman" w:hAnsi="Times New Roman" w:cs="Times New Roman"/>
        </w:rPr>
        <w:t xml:space="preserve"> disciplina de Direitos Reais, da Unidade Superior Dom Bosco – UNDB.</w:t>
      </w:r>
    </w:p>
  </w:footnote>
  <w:footnote w:id="3">
    <w:p w:rsidR="009A392D" w:rsidRPr="00C57BF9" w:rsidRDefault="00E233FA" w:rsidP="00406B44">
      <w:pPr>
        <w:pStyle w:val="SemEspaamento"/>
        <w:jc w:val="both"/>
        <w:rPr>
          <w:sz w:val="20"/>
          <w:szCs w:val="20"/>
        </w:rPr>
      </w:pPr>
      <w:r w:rsidRPr="00C57BF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footnoteRef/>
      </w:r>
      <w:r w:rsidRPr="00C57BF9">
        <w:rPr>
          <w:sz w:val="20"/>
          <w:szCs w:val="20"/>
        </w:rPr>
        <w:t xml:space="preserve"> </w:t>
      </w:r>
      <w:r w:rsidRPr="00C57BF9">
        <w:rPr>
          <w:rFonts w:ascii="Times New Roman" w:eastAsia="Times New Roman" w:hAnsi="Times New Roman" w:cs="Times New Roman"/>
          <w:sz w:val="20"/>
          <w:szCs w:val="20"/>
        </w:rPr>
        <w:t>Aluna do 5º período do Curso de Direito, UNDB, sarah_bazilio@hotmail.com.</w:t>
      </w:r>
    </w:p>
  </w:footnote>
  <w:footnote w:id="4">
    <w:p w:rsidR="009A392D" w:rsidRDefault="00E233FA" w:rsidP="00406B44">
      <w:pPr>
        <w:pStyle w:val="Textodenotaderodap"/>
      </w:pPr>
      <w:r w:rsidRPr="00C57BF9">
        <w:rPr>
          <w:rFonts w:ascii="Times New Roman" w:eastAsia="Times New Roman" w:hAnsi="Times New Roman" w:cs="Times New Roman"/>
          <w:vertAlign w:val="superscript"/>
        </w:rPr>
        <w:footnoteRef/>
      </w:r>
      <w:r w:rsidRPr="00C57BF9">
        <w:t xml:space="preserve"> </w:t>
      </w:r>
      <w:r w:rsidRPr="00C57BF9">
        <w:rPr>
          <w:rFonts w:ascii="Times New Roman" w:eastAsia="Times New Roman" w:hAnsi="Times New Roman" w:cs="Times New Roman"/>
        </w:rPr>
        <w:t>Aluna do5º período do Curso de Direito, UNDB, thiele_araujo0@hotmail.com</w:t>
      </w:r>
      <w:r w:rsidR="00C57BF9">
        <w:rPr>
          <w:rFonts w:ascii="Times New Roman" w:eastAsia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2D" w:rsidRDefault="009A392D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A392D"/>
    <w:rsid w:val="00036385"/>
    <w:rsid w:val="0003725D"/>
    <w:rsid w:val="00067F98"/>
    <w:rsid w:val="00081011"/>
    <w:rsid w:val="00084C51"/>
    <w:rsid w:val="00094BED"/>
    <w:rsid w:val="001117B4"/>
    <w:rsid w:val="00120F30"/>
    <w:rsid w:val="001527C9"/>
    <w:rsid w:val="001A0540"/>
    <w:rsid w:val="001A0A5B"/>
    <w:rsid w:val="001F7219"/>
    <w:rsid w:val="0021580A"/>
    <w:rsid w:val="002366DF"/>
    <w:rsid w:val="002412E3"/>
    <w:rsid w:val="00244D56"/>
    <w:rsid w:val="002A458C"/>
    <w:rsid w:val="003035EA"/>
    <w:rsid w:val="003604CF"/>
    <w:rsid w:val="0037362F"/>
    <w:rsid w:val="003D2001"/>
    <w:rsid w:val="003E0D84"/>
    <w:rsid w:val="00406B44"/>
    <w:rsid w:val="00415063"/>
    <w:rsid w:val="00425ADF"/>
    <w:rsid w:val="00432AF9"/>
    <w:rsid w:val="00451333"/>
    <w:rsid w:val="004C0770"/>
    <w:rsid w:val="004D1223"/>
    <w:rsid w:val="00516A9C"/>
    <w:rsid w:val="00530EBD"/>
    <w:rsid w:val="005511BB"/>
    <w:rsid w:val="005D1F3A"/>
    <w:rsid w:val="006069B0"/>
    <w:rsid w:val="006249B9"/>
    <w:rsid w:val="00635DE6"/>
    <w:rsid w:val="00653BB7"/>
    <w:rsid w:val="006E3D8E"/>
    <w:rsid w:val="006F5C4C"/>
    <w:rsid w:val="00756FBB"/>
    <w:rsid w:val="007659A1"/>
    <w:rsid w:val="007A527B"/>
    <w:rsid w:val="00832536"/>
    <w:rsid w:val="00837429"/>
    <w:rsid w:val="00866153"/>
    <w:rsid w:val="008A2AE9"/>
    <w:rsid w:val="008B4D34"/>
    <w:rsid w:val="00951BA3"/>
    <w:rsid w:val="00960704"/>
    <w:rsid w:val="009A392D"/>
    <w:rsid w:val="009B6C06"/>
    <w:rsid w:val="009E3031"/>
    <w:rsid w:val="009E3A3E"/>
    <w:rsid w:val="00A22953"/>
    <w:rsid w:val="00A73B26"/>
    <w:rsid w:val="00A76DE8"/>
    <w:rsid w:val="00B00C5B"/>
    <w:rsid w:val="00B5448B"/>
    <w:rsid w:val="00B673A7"/>
    <w:rsid w:val="00B71659"/>
    <w:rsid w:val="00B94B49"/>
    <w:rsid w:val="00BF2721"/>
    <w:rsid w:val="00C255E1"/>
    <w:rsid w:val="00C471AD"/>
    <w:rsid w:val="00C57BF9"/>
    <w:rsid w:val="00C941C6"/>
    <w:rsid w:val="00CF26FC"/>
    <w:rsid w:val="00CF2911"/>
    <w:rsid w:val="00D22FCE"/>
    <w:rsid w:val="00D954DE"/>
    <w:rsid w:val="00DB7D98"/>
    <w:rsid w:val="00DE2A4B"/>
    <w:rsid w:val="00E233FA"/>
    <w:rsid w:val="00E3752A"/>
    <w:rsid w:val="00E81E84"/>
    <w:rsid w:val="00EB1B70"/>
    <w:rsid w:val="00F57FBD"/>
    <w:rsid w:val="00FC3F1D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odenotaderodap">
    <w:name w:val="footnote text"/>
    <w:rPr>
      <w:rFonts w:ascii="Calibri" w:eastAsia="Calibri" w:hAnsi="Calibri" w:cs="Calibri"/>
      <w:color w:val="000000"/>
      <w:u w:color="000000"/>
      <w:lang w:val="pt-PT"/>
    </w:rPr>
  </w:style>
  <w:style w:type="paragraph" w:styleId="SemEspaamento">
    <w:name w:val="No Spacing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1E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1E84"/>
    <w:rPr>
      <w:rFonts w:ascii="Courier New" w:eastAsia="Times New Roman" w:hAnsi="Courier New" w:cs="Courier New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6069B0"/>
    <w:rPr>
      <w:b/>
      <w:bCs/>
    </w:rPr>
  </w:style>
  <w:style w:type="paragraph" w:customStyle="1" w:styleId="Default">
    <w:name w:val="Default"/>
    <w:rsid w:val="00067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cxmsonormal">
    <w:name w:val="ecxmsonormal"/>
    <w:basedOn w:val="Normal"/>
    <w:rsid w:val="00406B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apple-converted-space">
    <w:name w:val="apple-converted-space"/>
    <w:basedOn w:val="Fontepargpadro"/>
    <w:rsid w:val="002A458C"/>
  </w:style>
  <w:style w:type="character" w:customStyle="1" w:styleId="url">
    <w:name w:val="url"/>
    <w:basedOn w:val="Fontepargpadro"/>
    <w:rsid w:val="002A458C"/>
  </w:style>
  <w:style w:type="character" w:customStyle="1" w:styleId="timeaccess">
    <w:name w:val="timeaccess"/>
    <w:basedOn w:val="Fontepargpadro"/>
    <w:rsid w:val="002A4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odenotaderodap">
    <w:name w:val="footnote text"/>
    <w:rPr>
      <w:rFonts w:ascii="Calibri" w:eastAsia="Calibri" w:hAnsi="Calibri" w:cs="Calibri"/>
      <w:color w:val="000000"/>
      <w:u w:color="000000"/>
      <w:lang w:val="pt-PT"/>
    </w:rPr>
  </w:style>
  <w:style w:type="paragraph" w:styleId="SemEspaamento">
    <w:name w:val="No Spacing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1E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1E84"/>
    <w:rPr>
      <w:rFonts w:ascii="Courier New" w:eastAsia="Times New Roman" w:hAnsi="Courier New" w:cs="Courier New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6069B0"/>
    <w:rPr>
      <w:b/>
      <w:bCs/>
    </w:rPr>
  </w:style>
  <w:style w:type="paragraph" w:customStyle="1" w:styleId="Default">
    <w:name w:val="Default"/>
    <w:rsid w:val="00067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cxmsonormal">
    <w:name w:val="ecxmsonormal"/>
    <w:basedOn w:val="Normal"/>
    <w:rsid w:val="00406B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apple-converted-space">
    <w:name w:val="apple-converted-space"/>
    <w:basedOn w:val="Fontepargpadro"/>
    <w:rsid w:val="002A458C"/>
  </w:style>
  <w:style w:type="character" w:customStyle="1" w:styleId="url">
    <w:name w:val="url"/>
    <w:basedOn w:val="Fontepargpadro"/>
    <w:rsid w:val="002A458C"/>
  </w:style>
  <w:style w:type="character" w:customStyle="1" w:styleId="timeaccess">
    <w:name w:val="timeaccess"/>
    <w:basedOn w:val="Fontepargpadro"/>
    <w:rsid w:val="002A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texto/196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db-fdul.com/uploaded/files/RIDB_001_0573_060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ofessorallan.com.br/UserFiles/Arquivo/Artigo/usucapiao_familiar_sima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essorsimao.com.br/artigos_simao_cf071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5315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RAIMUNDO</dc:creator>
  <cp:lastModifiedBy>JOSÉ RAIMUNDO</cp:lastModifiedBy>
  <cp:revision>2</cp:revision>
  <dcterms:created xsi:type="dcterms:W3CDTF">2013-11-04T20:59:00Z</dcterms:created>
  <dcterms:modified xsi:type="dcterms:W3CDTF">2013-11-04T20:59:00Z</dcterms:modified>
</cp:coreProperties>
</file>