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943" w:rsidRPr="00BC3BF6" w:rsidRDefault="00BC3BF6" w:rsidP="00791943">
      <w:pPr>
        <w:spacing w:line="360" w:lineRule="auto"/>
        <w:jc w:val="center"/>
        <w:rPr>
          <w:rFonts w:ascii="Times New Roman" w:hAnsi="Times New Roman" w:cs="Times New Roman"/>
          <w:b/>
          <w:sz w:val="28"/>
          <w:szCs w:val="28"/>
        </w:rPr>
      </w:pPr>
      <w:r w:rsidRPr="00BC3BF6">
        <w:rPr>
          <w:rFonts w:ascii="Times New Roman" w:hAnsi="Times New Roman" w:cs="Times New Roman"/>
          <w:b/>
          <w:noProof/>
          <w:sz w:val="28"/>
          <w:szCs w:val="28"/>
          <w:lang w:eastAsia="pt-BR"/>
        </w:rPr>
        <w:t>NEGÓCIO JURÍDICO PROCESSUAL E CALENDÁRIO PROCESSUAL</w:t>
      </w:r>
    </w:p>
    <w:p w:rsidR="00791943" w:rsidRPr="00125F3F" w:rsidRDefault="00125F3F" w:rsidP="00791943">
      <w:pPr>
        <w:spacing w:after="0" w:line="240" w:lineRule="auto"/>
        <w:jc w:val="right"/>
        <w:rPr>
          <w:rFonts w:ascii="Times New Roman" w:hAnsi="Times New Roman" w:cs="Times New Roman"/>
          <w:i/>
          <w:sz w:val="20"/>
          <w:szCs w:val="24"/>
        </w:rPr>
      </w:pPr>
      <w:r>
        <w:rPr>
          <w:rFonts w:ascii="Times New Roman" w:hAnsi="Times New Roman" w:cs="Times New Roman"/>
          <w:i/>
          <w:sz w:val="20"/>
          <w:szCs w:val="24"/>
        </w:rPr>
        <w:t>Nacor Paulo Pereira dos Santos</w:t>
      </w:r>
      <w:r>
        <w:rPr>
          <w:rStyle w:val="Refdenotaderodap"/>
          <w:rFonts w:ascii="Times New Roman" w:hAnsi="Times New Roman" w:cs="Times New Roman"/>
          <w:i/>
          <w:sz w:val="20"/>
          <w:szCs w:val="24"/>
        </w:rPr>
        <w:footnoteReference w:id="1"/>
      </w:r>
    </w:p>
    <w:p w:rsidR="00791943" w:rsidRPr="00125F3F" w:rsidRDefault="00791943" w:rsidP="00791943">
      <w:pPr>
        <w:spacing w:after="0" w:line="240" w:lineRule="auto"/>
        <w:jc w:val="right"/>
        <w:rPr>
          <w:rFonts w:ascii="Times New Roman" w:hAnsi="Times New Roman" w:cs="Times New Roman"/>
          <w:i/>
          <w:sz w:val="20"/>
          <w:szCs w:val="24"/>
        </w:rPr>
      </w:pPr>
      <w:r w:rsidRPr="00125F3F">
        <w:rPr>
          <w:rFonts w:ascii="Times New Roman" w:hAnsi="Times New Roman" w:cs="Times New Roman"/>
          <w:i/>
          <w:sz w:val="20"/>
          <w:szCs w:val="24"/>
        </w:rPr>
        <w:t>Ítalo Gabriel Pereira dos Santos</w:t>
      </w:r>
      <w:r w:rsidRPr="00125F3F">
        <w:rPr>
          <w:rStyle w:val="Refdenotaderodap"/>
          <w:rFonts w:ascii="Times New Roman" w:hAnsi="Times New Roman" w:cs="Times New Roman"/>
          <w:i/>
          <w:sz w:val="20"/>
          <w:szCs w:val="24"/>
        </w:rPr>
        <w:footnoteReference w:id="2"/>
      </w:r>
    </w:p>
    <w:p w:rsidR="00DA1E2C" w:rsidRPr="00125F3F" w:rsidRDefault="00DA1E2C" w:rsidP="00335586">
      <w:pPr>
        <w:tabs>
          <w:tab w:val="left" w:pos="0"/>
          <w:tab w:val="left" w:pos="6955"/>
        </w:tabs>
        <w:spacing w:line="360" w:lineRule="auto"/>
        <w:jc w:val="both"/>
        <w:rPr>
          <w:rFonts w:ascii="Times New Roman" w:hAnsi="Times New Roman" w:cs="Times New Roman"/>
          <w:sz w:val="24"/>
          <w:szCs w:val="24"/>
        </w:rPr>
      </w:pPr>
      <w:r w:rsidRPr="00125F3F">
        <w:rPr>
          <w:rFonts w:ascii="Times New Roman" w:hAnsi="Times New Roman" w:cs="Times New Roman"/>
          <w:sz w:val="24"/>
          <w:szCs w:val="24"/>
        </w:rPr>
        <w:tab/>
      </w:r>
    </w:p>
    <w:p w:rsidR="00335586" w:rsidRPr="00125F3F" w:rsidRDefault="00335586" w:rsidP="00335586">
      <w:pPr>
        <w:tabs>
          <w:tab w:val="left" w:pos="0"/>
          <w:tab w:val="left" w:pos="6955"/>
        </w:tabs>
        <w:spacing w:line="360" w:lineRule="auto"/>
        <w:jc w:val="both"/>
        <w:rPr>
          <w:rFonts w:ascii="Times New Roman" w:hAnsi="Times New Roman" w:cs="Times New Roman"/>
          <w:sz w:val="24"/>
          <w:szCs w:val="24"/>
        </w:rPr>
      </w:pPr>
    </w:p>
    <w:p w:rsidR="00BC3BF6" w:rsidRPr="00DA1E2C" w:rsidRDefault="009B7ABA" w:rsidP="00BC3BF6">
      <w:pPr>
        <w:pStyle w:val="PargrafodaLista"/>
        <w:tabs>
          <w:tab w:val="left" w:pos="0"/>
        </w:tabs>
        <w:spacing w:line="240" w:lineRule="auto"/>
        <w:ind w:left="4536"/>
        <w:jc w:val="both"/>
        <w:rPr>
          <w:rFonts w:ascii="Times New Roman" w:hAnsi="Times New Roman" w:cs="Times New Roman"/>
          <w:sz w:val="20"/>
          <w:szCs w:val="24"/>
        </w:rPr>
      </w:pPr>
      <w:r w:rsidRPr="00DA1E2C">
        <w:rPr>
          <w:rFonts w:ascii="Times New Roman" w:hAnsi="Times New Roman" w:cs="Times New Roman"/>
          <w:b/>
          <w:sz w:val="20"/>
          <w:szCs w:val="24"/>
        </w:rPr>
        <w:t>Sumário</w:t>
      </w:r>
      <w:r w:rsidRPr="00DA1E2C">
        <w:rPr>
          <w:rFonts w:ascii="Times New Roman" w:hAnsi="Times New Roman" w:cs="Times New Roman"/>
          <w:sz w:val="20"/>
          <w:szCs w:val="24"/>
        </w:rPr>
        <w:t xml:space="preserve">: </w:t>
      </w:r>
      <w:r w:rsidR="00D170BC">
        <w:rPr>
          <w:rFonts w:ascii="Times New Roman" w:hAnsi="Times New Roman" w:cs="Times New Roman"/>
          <w:sz w:val="20"/>
          <w:szCs w:val="24"/>
        </w:rPr>
        <w:t>Introdução; I</w:t>
      </w:r>
      <w:r>
        <w:rPr>
          <w:rFonts w:ascii="Times New Roman" w:hAnsi="Times New Roman" w:cs="Times New Roman"/>
          <w:sz w:val="20"/>
          <w:szCs w:val="24"/>
        </w:rPr>
        <w:t xml:space="preserve">- </w:t>
      </w:r>
      <w:r w:rsidRPr="00BC3BF6">
        <w:rPr>
          <w:rFonts w:ascii="Times New Roman" w:hAnsi="Times New Roman" w:cs="Times New Roman"/>
          <w:sz w:val="20"/>
          <w:szCs w:val="24"/>
        </w:rPr>
        <w:t>Da Contraposição De Interesses, Individual E Coletivo, Na Prestação Jurisdicional</w:t>
      </w:r>
      <w:r w:rsidRPr="00DA1E2C">
        <w:rPr>
          <w:rFonts w:ascii="Times New Roman" w:hAnsi="Times New Roman" w:cs="Times New Roman"/>
          <w:sz w:val="20"/>
          <w:szCs w:val="24"/>
        </w:rPr>
        <w:t xml:space="preserve">; </w:t>
      </w:r>
      <w:r w:rsidR="00D170BC">
        <w:rPr>
          <w:rFonts w:ascii="Times New Roman" w:hAnsi="Times New Roman" w:cs="Times New Roman"/>
          <w:sz w:val="20"/>
          <w:szCs w:val="24"/>
        </w:rPr>
        <w:t>II</w:t>
      </w:r>
      <w:r w:rsidRPr="00DA1E2C">
        <w:rPr>
          <w:rFonts w:ascii="Times New Roman" w:hAnsi="Times New Roman" w:cs="Times New Roman"/>
          <w:sz w:val="20"/>
          <w:szCs w:val="24"/>
        </w:rPr>
        <w:t xml:space="preserve">- </w:t>
      </w:r>
      <w:r w:rsidRPr="009B7ABA">
        <w:rPr>
          <w:rFonts w:ascii="Times New Roman" w:hAnsi="Times New Roman" w:cs="Times New Roman"/>
          <w:sz w:val="20"/>
          <w:szCs w:val="24"/>
        </w:rPr>
        <w:t>Das Ações Individuais E Das Ações Coletivas Na Formatação Do Novo Código De Processo Civil</w:t>
      </w:r>
      <w:r w:rsidR="00BC3BF6">
        <w:rPr>
          <w:rFonts w:ascii="Times New Roman" w:hAnsi="Times New Roman" w:cs="Times New Roman"/>
          <w:sz w:val="20"/>
          <w:szCs w:val="24"/>
        </w:rPr>
        <w:t xml:space="preserve">; </w:t>
      </w:r>
      <w:r w:rsidR="00D170BC">
        <w:rPr>
          <w:rFonts w:ascii="Times New Roman" w:hAnsi="Times New Roman" w:cs="Times New Roman"/>
          <w:sz w:val="20"/>
          <w:szCs w:val="24"/>
        </w:rPr>
        <w:t>III</w:t>
      </w:r>
      <w:r w:rsidR="00BC3BF6">
        <w:rPr>
          <w:rFonts w:ascii="Times New Roman" w:hAnsi="Times New Roman" w:cs="Times New Roman"/>
          <w:sz w:val="20"/>
          <w:szCs w:val="24"/>
        </w:rPr>
        <w:t xml:space="preserve">- </w:t>
      </w:r>
      <w:r w:rsidR="00D170BC" w:rsidRPr="00D170BC">
        <w:rPr>
          <w:rFonts w:ascii="Times New Roman" w:hAnsi="Times New Roman" w:cs="Times New Roman"/>
          <w:sz w:val="20"/>
          <w:szCs w:val="24"/>
        </w:rPr>
        <w:t>Do Modelo Processual Incorporado Pelo Novo Código De Processo Civil</w:t>
      </w:r>
      <w:r w:rsidR="00BC3BF6">
        <w:rPr>
          <w:rFonts w:ascii="Times New Roman" w:hAnsi="Times New Roman" w:cs="Times New Roman"/>
          <w:sz w:val="20"/>
          <w:szCs w:val="24"/>
        </w:rPr>
        <w:t>; Conclusão; Referências</w:t>
      </w:r>
    </w:p>
    <w:p w:rsidR="00DA1E2C" w:rsidRPr="00125F3F" w:rsidRDefault="00DA1E2C" w:rsidP="00DA1E2C">
      <w:pPr>
        <w:pStyle w:val="PargrafodaLista"/>
        <w:tabs>
          <w:tab w:val="left" w:pos="0"/>
        </w:tabs>
        <w:spacing w:line="360" w:lineRule="auto"/>
        <w:ind w:left="1494"/>
        <w:jc w:val="both"/>
        <w:rPr>
          <w:rFonts w:ascii="Times New Roman" w:hAnsi="Times New Roman" w:cs="Times New Roman"/>
          <w:sz w:val="24"/>
          <w:szCs w:val="24"/>
        </w:rPr>
      </w:pPr>
    </w:p>
    <w:p w:rsidR="00DA1E2C" w:rsidRPr="00125F3F" w:rsidRDefault="00DA1E2C" w:rsidP="00DA1E2C">
      <w:pPr>
        <w:pStyle w:val="PargrafodaLista"/>
        <w:tabs>
          <w:tab w:val="left" w:pos="0"/>
        </w:tabs>
        <w:spacing w:line="360" w:lineRule="auto"/>
        <w:ind w:left="1494"/>
        <w:jc w:val="both"/>
        <w:rPr>
          <w:rFonts w:ascii="Times New Roman" w:hAnsi="Times New Roman" w:cs="Times New Roman"/>
          <w:sz w:val="24"/>
          <w:szCs w:val="24"/>
        </w:rPr>
      </w:pPr>
    </w:p>
    <w:p w:rsidR="00BC3BF6" w:rsidRPr="00BC3BF6" w:rsidRDefault="00BC3BF6" w:rsidP="00BC3BF6">
      <w:pPr>
        <w:pStyle w:val="Ttulo1"/>
        <w:spacing w:line="360" w:lineRule="auto"/>
        <w:jc w:val="center"/>
        <w:rPr>
          <w:rFonts w:ascii="Times New Roman" w:hAnsi="Times New Roman" w:cs="Times New Roman"/>
          <w:sz w:val="24"/>
          <w:szCs w:val="24"/>
        </w:rPr>
      </w:pPr>
      <w:r w:rsidRPr="00BC3BF6">
        <w:rPr>
          <w:rFonts w:ascii="Times New Roman" w:hAnsi="Times New Roman" w:cs="Times New Roman"/>
          <w:sz w:val="24"/>
          <w:szCs w:val="24"/>
        </w:rPr>
        <w:t>RESUMO</w:t>
      </w:r>
    </w:p>
    <w:p w:rsidR="00BC3BF6" w:rsidRPr="00BC3BF6" w:rsidRDefault="00BC3BF6" w:rsidP="00BC3BF6">
      <w:pPr>
        <w:spacing w:after="0" w:line="360" w:lineRule="auto"/>
        <w:jc w:val="both"/>
        <w:rPr>
          <w:rFonts w:ascii="Times New Roman" w:hAnsi="Times New Roman" w:cs="Times New Roman"/>
          <w:b/>
          <w:sz w:val="24"/>
          <w:szCs w:val="24"/>
        </w:rPr>
      </w:pPr>
      <w:r w:rsidRPr="00BC3BF6">
        <w:rPr>
          <w:rFonts w:ascii="Times New Roman" w:hAnsi="Times New Roman" w:cs="Times New Roman"/>
          <w:sz w:val="24"/>
          <w:szCs w:val="24"/>
        </w:rPr>
        <w:t xml:space="preserve">Este trabalho tem por finalidade suscitar reflexão sobre a </w:t>
      </w:r>
      <w:r w:rsidRPr="00BC3BF6">
        <w:rPr>
          <w:rFonts w:ascii="Times New Roman" w:hAnsi="Times New Roman" w:cs="Times New Roman"/>
          <w:color w:val="333333"/>
          <w:sz w:val="24"/>
          <w:szCs w:val="24"/>
        </w:rPr>
        <w:t>interferência do controle jurisdicional nas políticas públicas pelo modelo processual cooperativo e dialogal erigido com o  CPC de 2015.</w:t>
      </w:r>
      <w:r>
        <w:rPr>
          <w:rFonts w:ascii="Times New Roman" w:hAnsi="Times New Roman" w:cs="Times New Roman"/>
          <w:color w:val="333333"/>
          <w:sz w:val="24"/>
          <w:szCs w:val="24"/>
        </w:rPr>
        <w:t xml:space="preserve"> </w:t>
      </w:r>
      <w:r w:rsidRPr="00BC3BF6">
        <w:rPr>
          <w:rFonts w:ascii="Times New Roman" w:hAnsi="Times New Roman" w:cs="Times New Roman"/>
          <w:sz w:val="24"/>
          <w:szCs w:val="24"/>
        </w:rPr>
        <w:t>O estudo aqui desenvolvido valeu-se da metodologia de análise dos valores e princípios contemplados no novo Código de Processo Civil como formalidade e essencialidade, ritualística e objetivos a serem atingidos no alcance de uma Ordem Jurídica justa.</w:t>
      </w:r>
      <w:r>
        <w:rPr>
          <w:rFonts w:ascii="Times New Roman" w:hAnsi="Times New Roman" w:cs="Times New Roman"/>
          <w:sz w:val="24"/>
          <w:szCs w:val="24"/>
        </w:rPr>
        <w:t xml:space="preserve"> </w:t>
      </w:r>
      <w:r w:rsidRPr="00BC3BF6">
        <w:rPr>
          <w:rFonts w:ascii="Times New Roman" w:hAnsi="Times New Roman" w:cs="Times New Roman"/>
          <w:sz w:val="24"/>
          <w:szCs w:val="24"/>
        </w:rPr>
        <w:t xml:space="preserve">Identificadas algumas variáveis: o complexo gerenciamento das Políticas Públicas, que não têm adquirido a mutação qualificativa necessária para a satisfação da expectativa dos interessados; a judicialização dos direitos sociais tem encontrado no modelo atual do processo civil um verdadeiro obstáculo, pelo distanciamento das partes; o diálogo e a cooperação apresentam-se como ferramentas para a formatação do conhecimento e resolução dos litígios. </w:t>
      </w:r>
      <w:r>
        <w:rPr>
          <w:rFonts w:ascii="Times New Roman" w:hAnsi="Times New Roman" w:cs="Times New Roman"/>
          <w:sz w:val="24"/>
          <w:szCs w:val="24"/>
        </w:rPr>
        <w:t xml:space="preserve"> </w:t>
      </w:r>
      <w:r w:rsidRPr="00BC3BF6">
        <w:rPr>
          <w:rFonts w:ascii="Times New Roman" w:hAnsi="Times New Roman" w:cs="Times New Roman"/>
          <w:sz w:val="24"/>
          <w:szCs w:val="24"/>
        </w:rPr>
        <w:t>A identificação dos instrumentos processuais que o modelo erigido com o Código de Processo Civil de 2015 alimenta a expectativa de abreviação do tempo de tramitação processual, com reflexos na eficiência da prestação jurisdicional.</w:t>
      </w:r>
    </w:p>
    <w:p w:rsidR="00E33F85" w:rsidRPr="00BC3BF6" w:rsidRDefault="00BC3BF6" w:rsidP="00BC3BF6">
      <w:pPr>
        <w:tabs>
          <w:tab w:val="left" w:pos="0"/>
        </w:tabs>
        <w:spacing w:before="120" w:after="120" w:line="360" w:lineRule="auto"/>
        <w:jc w:val="both"/>
        <w:rPr>
          <w:rFonts w:ascii="Times New Roman" w:hAnsi="Times New Roman" w:cs="Times New Roman"/>
          <w:sz w:val="24"/>
          <w:szCs w:val="24"/>
        </w:rPr>
      </w:pPr>
      <w:r w:rsidRPr="00BC3BF6">
        <w:rPr>
          <w:rFonts w:ascii="Times New Roman" w:hAnsi="Times New Roman" w:cs="Times New Roman"/>
          <w:b/>
          <w:sz w:val="24"/>
          <w:szCs w:val="24"/>
        </w:rPr>
        <w:t>Palavras-chave –</w:t>
      </w:r>
      <w:r w:rsidRPr="00BC3BF6">
        <w:rPr>
          <w:rFonts w:ascii="Times New Roman" w:hAnsi="Times New Roman" w:cs="Times New Roman"/>
          <w:sz w:val="24"/>
          <w:szCs w:val="24"/>
        </w:rPr>
        <w:t xml:space="preserve"> Direitos sociais, Políticas Públicas, judicialização, processo civil.</w:t>
      </w:r>
    </w:p>
    <w:p w:rsidR="00424B6F" w:rsidRPr="00125F3F" w:rsidRDefault="00791943" w:rsidP="00BC3BF6">
      <w:pPr>
        <w:tabs>
          <w:tab w:val="left" w:pos="0"/>
        </w:tabs>
        <w:spacing w:line="360" w:lineRule="auto"/>
        <w:ind w:firstLine="1134"/>
        <w:jc w:val="both"/>
        <w:rPr>
          <w:rFonts w:ascii="Times New Roman" w:hAnsi="Times New Roman" w:cs="Times New Roman"/>
        </w:rPr>
      </w:pPr>
      <w:r w:rsidRPr="00125F3F">
        <w:rPr>
          <w:rFonts w:ascii="Times New Roman" w:hAnsi="Times New Roman" w:cs="Times New Roman"/>
          <w:sz w:val="24"/>
          <w:szCs w:val="24"/>
        </w:rPr>
        <w:tab/>
        <w:t xml:space="preserve"> </w:t>
      </w:r>
      <w:r w:rsidRPr="00125F3F">
        <w:rPr>
          <w:rFonts w:ascii="Times New Roman" w:hAnsi="Times New Roman" w:cs="Times New Roman"/>
          <w:sz w:val="24"/>
          <w:szCs w:val="24"/>
        </w:rPr>
        <w:tab/>
      </w:r>
    </w:p>
    <w:tbl>
      <w:tblPr>
        <w:tblW w:w="0" w:type="auto"/>
        <w:tblInd w:w="-108" w:type="dxa"/>
        <w:tblLayout w:type="fixed"/>
        <w:tblLook w:val="0000" w:firstRow="0" w:lastRow="0" w:firstColumn="0" w:lastColumn="0" w:noHBand="0" w:noVBand="0"/>
      </w:tblPr>
      <w:tblGrid>
        <w:gridCol w:w="10296"/>
      </w:tblGrid>
      <w:tr w:rsidR="00125F3F" w:rsidRPr="00125F3F" w:rsidTr="00E60812">
        <w:tc>
          <w:tcPr>
            <w:tcW w:w="10296" w:type="dxa"/>
            <w:shd w:val="clear" w:color="auto" w:fill="auto"/>
          </w:tcPr>
          <w:p w:rsidR="00125F3F" w:rsidRPr="00125F3F" w:rsidRDefault="00125F3F" w:rsidP="00E60812">
            <w:pPr>
              <w:snapToGrid w:val="0"/>
              <w:rPr>
                <w:rFonts w:ascii="Times New Roman" w:hAnsi="Times New Roman" w:cs="Times New Roman"/>
              </w:rPr>
            </w:pPr>
          </w:p>
        </w:tc>
      </w:tr>
    </w:tbl>
    <w:p w:rsidR="00125F3F" w:rsidRPr="00BC3BF6" w:rsidRDefault="00125F3F" w:rsidP="00BC3BF6">
      <w:pPr>
        <w:pStyle w:val="Author"/>
        <w:spacing w:line="360" w:lineRule="auto"/>
        <w:ind w:firstLine="1134"/>
        <w:jc w:val="both"/>
      </w:pPr>
    </w:p>
    <w:p w:rsidR="00125F3F" w:rsidRPr="00BC3BF6" w:rsidRDefault="00125F3F" w:rsidP="00BC3BF6">
      <w:pPr>
        <w:spacing w:after="0" w:line="360" w:lineRule="auto"/>
        <w:jc w:val="both"/>
        <w:rPr>
          <w:rFonts w:ascii="Times New Roman" w:hAnsi="Times New Roman" w:cs="Times New Roman"/>
          <w:sz w:val="24"/>
          <w:szCs w:val="24"/>
        </w:rPr>
      </w:pPr>
      <w:r w:rsidRPr="00BC3BF6">
        <w:rPr>
          <w:rFonts w:ascii="Times New Roman" w:hAnsi="Times New Roman" w:cs="Times New Roman"/>
          <w:sz w:val="24"/>
          <w:szCs w:val="24"/>
        </w:rPr>
        <w:lastRenderedPageBreak/>
        <w:t xml:space="preserve"> </w:t>
      </w:r>
      <w:r w:rsidRPr="00BC3BF6">
        <w:rPr>
          <w:rFonts w:ascii="Times New Roman" w:hAnsi="Times New Roman" w:cs="Times New Roman"/>
          <w:b/>
          <w:sz w:val="24"/>
          <w:szCs w:val="24"/>
        </w:rPr>
        <w:t>INTRODUÇÃO</w:t>
      </w:r>
    </w:p>
    <w:p w:rsidR="00125F3F" w:rsidRPr="00BC3BF6" w:rsidRDefault="00125F3F" w:rsidP="00BC3BF6">
      <w:pPr>
        <w:spacing w:after="0" w:line="360" w:lineRule="auto"/>
        <w:ind w:firstLine="1134"/>
        <w:jc w:val="both"/>
        <w:rPr>
          <w:rFonts w:ascii="Times New Roman" w:hAnsi="Times New Roman" w:cs="Times New Roman"/>
          <w:sz w:val="24"/>
          <w:szCs w:val="24"/>
        </w:rPr>
      </w:pPr>
    </w:p>
    <w:p w:rsidR="00125F3F" w:rsidRPr="00BC3BF6" w:rsidRDefault="00125F3F" w:rsidP="00BC3BF6">
      <w:pPr>
        <w:spacing w:after="0" w:line="360" w:lineRule="auto"/>
        <w:ind w:firstLine="1134"/>
        <w:jc w:val="both"/>
        <w:rPr>
          <w:rFonts w:ascii="Times New Roman" w:hAnsi="Times New Roman" w:cs="Times New Roman"/>
          <w:sz w:val="24"/>
          <w:szCs w:val="24"/>
        </w:rPr>
      </w:pPr>
      <w:r w:rsidRPr="00BC3BF6">
        <w:rPr>
          <w:rFonts w:ascii="Times New Roman" w:hAnsi="Times New Roman" w:cs="Times New Roman"/>
          <w:sz w:val="24"/>
          <w:szCs w:val="24"/>
        </w:rPr>
        <w:t>Esta reflexão tem o objetivo de tentar compreender as perspectivas operadoras dos órgãos do Poder Judiciário, no limiar da vigência do novo Código de Processo Civil,  pela condução das demandas que versam sobre direitos sociais fundamentais.</w:t>
      </w:r>
    </w:p>
    <w:p w:rsidR="00125F3F" w:rsidRPr="00BC3BF6" w:rsidRDefault="00125F3F" w:rsidP="00BC3BF6">
      <w:pPr>
        <w:spacing w:after="0" w:line="360" w:lineRule="auto"/>
        <w:ind w:firstLine="1134"/>
        <w:jc w:val="both"/>
        <w:rPr>
          <w:rFonts w:ascii="Times New Roman" w:hAnsi="Times New Roman" w:cs="Times New Roman"/>
          <w:sz w:val="24"/>
          <w:szCs w:val="24"/>
        </w:rPr>
      </w:pPr>
      <w:r w:rsidRPr="00BC3BF6">
        <w:rPr>
          <w:rFonts w:ascii="Times New Roman" w:hAnsi="Times New Roman" w:cs="Times New Roman"/>
          <w:sz w:val="24"/>
          <w:szCs w:val="24"/>
        </w:rPr>
        <w:t>Inicialmente, é oportuno frisar que o enfrentamento das controvérsias sobre a implementação dos direitos sociais fundamentais desaguam na esfera do Poder Judiciário através de demandas individuais e coletivas, reclamando intervenções, de algum modo, nas Políticas implementadas pelo Poder Público.</w:t>
      </w:r>
    </w:p>
    <w:p w:rsidR="00125F3F" w:rsidRPr="00BC3BF6" w:rsidRDefault="00125F3F" w:rsidP="00BC3BF6">
      <w:pPr>
        <w:spacing w:after="0" w:line="360" w:lineRule="auto"/>
        <w:ind w:firstLine="1134"/>
        <w:jc w:val="both"/>
        <w:rPr>
          <w:rFonts w:ascii="Times New Roman" w:hAnsi="Times New Roman" w:cs="Times New Roman"/>
          <w:sz w:val="24"/>
          <w:szCs w:val="24"/>
        </w:rPr>
      </w:pPr>
      <w:r w:rsidRPr="00BC3BF6">
        <w:rPr>
          <w:rFonts w:ascii="Times New Roman" w:hAnsi="Times New Roman" w:cs="Times New Roman"/>
          <w:sz w:val="24"/>
          <w:szCs w:val="24"/>
        </w:rPr>
        <w:t xml:space="preserve">Pela sistemática do Código de Processo Civil de 1973, ainda em vigor, propostas as ações, o magistrado determina a citação da parte </w:t>
      </w:r>
      <w:r w:rsidRPr="00BC3BF6">
        <w:rPr>
          <w:rFonts w:ascii="Times New Roman" w:hAnsi="Times New Roman" w:cs="Times New Roman"/>
          <w:i/>
          <w:iCs/>
          <w:sz w:val="24"/>
          <w:szCs w:val="24"/>
        </w:rPr>
        <w:t xml:space="preserve">ex adversa </w:t>
      </w:r>
      <w:r w:rsidRPr="00BC3BF6">
        <w:rPr>
          <w:rFonts w:ascii="Times New Roman" w:hAnsi="Times New Roman" w:cs="Times New Roman"/>
          <w:sz w:val="24"/>
          <w:szCs w:val="24"/>
        </w:rPr>
        <w:t xml:space="preserve">e concede medida liminar ou a antecipação da tutela jurisdicional, verificando a existência de </w:t>
      </w:r>
      <w:r w:rsidRPr="00BC3BF6">
        <w:rPr>
          <w:rFonts w:ascii="Times New Roman" w:hAnsi="Times New Roman" w:cs="Times New Roman"/>
          <w:i/>
          <w:iCs/>
          <w:sz w:val="24"/>
          <w:szCs w:val="24"/>
        </w:rPr>
        <w:t xml:space="preserve">fumus boni iuris </w:t>
      </w:r>
      <w:r w:rsidRPr="00BC3BF6">
        <w:rPr>
          <w:rFonts w:ascii="Times New Roman" w:hAnsi="Times New Roman" w:cs="Times New Roman"/>
          <w:sz w:val="24"/>
          <w:szCs w:val="24"/>
        </w:rPr>
        <w:t>e</w:t>
      </w:r>
      <w:r w:rsidRPr="00BC3BF6">
        <w:rPr>
          <w:rFonts w:ascii="Times New Roman" w:hAnsi="Times New Roman" w:cs="Times New Roman"/>
          <w:i/>
          <w:iCs/>
          <w:sz w:val="24"/>
          <w:szCs w:val="24"/>
        </w:rPr>
        <w:t xml:space="preserve"> periculum</w:t>
      </w:r>
      <w:r w:rsidRPr="00BC3BF6">
        <w:rPr>
          <w:rFonts w:ascii="Times New Roman" w:hAnsi="Times New Roman" w:cs="Times New Roman"/>
          <w:sz w:val="24"/>
          <w:szCs w:val="24"/>
        </w:rPr>
        <w:t xml:space="preserve"> </w:t>
      </w:r>
      <w:r w:rsidRPr="00BC3BF6">
        <w:rPr>
          <w:rFonts w:ascii="Times New Roman" w:hAnsi="Times New Roman" w:cs="Times New Roman"/>
          <w:i/>
          <w:iCs/>
          <w:sz w:val="24"/>
          <w:szCs w:val="24"/>
        </w:rPr>
        <w:t>in mora</w:t>
      </w:r>
      <w:r w:rsidRPr="00BC3BF6">
        <w:rPr>
          <w:rFonts w:ascii="Times New Roman" w:hAnsi="Times New Roman" w:cs="Times New Roman"/>
          <w:sz w:val="24"/>
          <w:szCs w:val="24"/>
        </w:rPr>
        <w:t xml:space="preserve"> ou, pela configuração dada pelo art. 273, existência de</w:t>
      </w:r>
      <w:r w:rsidRPr="00BC3BF6">
        <w:rPr>
          <w:rFonts w:ascii="Times New Roman" w:hAnsi="Times New Roman" w:cs="Times New Roman"/>
          <w:b/>
          <w:sz w:val="24"/>
          <w:szCs w:val="24"/>
        </w:rPr>
        <w:t xml:space="preserve"> </w:t>
      </w:r>
      <w:r w:rsidRPr="00BC3BF6">
        <w:rPr>
          <w:rFonts w:ascii="Times New Roman" w:hAnsi="Times New Roman" w:cs="Times New Roman"/>
          <w:sz w:val="24"/>
          <w:szCs w:val="24"/>
        </w:rPr>
        <w:t>prova inequívoca, convencimento da verossimilhança da alegação do autor, diante de fundado receio de dano irreparável ou de difícil reparação ou de caracterização de abuso de direito de defesa ou  manifesto propósito protelatório do réu, respectivamente.</w:t>
      </w:r>
    </w:p>
    <w:p w:rsidR="00125F3F" w:rsidRPr="00BC3BF6" w:rsidRDefault="00125F3F" w:rsidP="00BC3BF6">
      <w:pPr>
        <w:spacing w:after="0" w:line="360" w:lineRule="auto"/>
        <w:ind w:firstLine="1134"/>
        <w:jc w:val="both"/>
        <w:rPr>
          <w:rFonts w:ascii="Times New Roman" w:hAnsi="Times New Roman" w:cs="Times New Roman"/>
          <w:sz w:val="24"/>
          <w:szCs w:val="24"/>
        </w:rPr>
      </w:pPr>
      <w:r w:rsidRPr="00BC3BF6">
        <w:rPr>
          <w:rFonts w:ascii="Times New Roman" w:hAnsi="Times New Roman" w:cs="Times New Roman"/>
          <w:sz w:val="24"/>
          <w:szCs w:val="24"/>
        </w:rPr>
        <w:t xml:space="preserve">Com a antecipação da tutela jurisdicional, o feito processual, comumente, é deixado no bojo dos milhares de processos que se arrastam pela tão conhecida, e odiada, morosidade do Poder Judiciário, da qual nós, operadores do Ministério Público brasileiro, participamos, quase sempre por falta de instrumentos processuais ou por estarmos habituados ao </w:t>
      </w:r>
      <w:r w:rsidRPr="00BC3BF6">
        <w:rPr>
          <w:rFonts w:ascii="Times New Roman" w:hAnsi="Times New Roman" w:cs="Times New Roman"/>
          <w:i/>
          <w:iCs/>
          <w:sz w:val="24"/>
          <w:szCs w:val="24"/>
        </w:rPr>
        <w:t xml:space="preserve">modus operandi </w:t>
      </w:r>
      <w:r w:rsidRPr="00BC3BF6">
        <w:rPr>
          <w:rFonts w:ascii="Times New Roman" w:hAnsi="Times New Roman" w:cs="Times New Roman"/>
          <w:sz w:val="24"/>
          <w:szCs w:val="24"/>
        </w:rPr>
        <w:t>imposto pela técnica processual vigente.</w:t>
      </w:r>
    </w:p>
    <w:p w:rsidR="00125F3F" w:rsidRPr="00BC3BF6" w:rsidRDefault="00125F3F" w:rsidP="00BC3BF6">
      <w:pPr>
        <w:spacing w:after="0" w:line="360" w:lineRule="auto"/>
        <w:ind w:firstLine="1134"/>
        <w:jc w:val="both"/>
        <w:rPr>
          <w:rFonts w:ascii="Times New Roman" w:hAnsi="Times New Roman" w:cs="Times New Roman"/>
          <w:sz w:val="24"/>
          <w:szCs w:val="24"/>
        </w:rPr>
      </w:pPr>
      <w:r w:rsidRPr="00BC3BF6">
        <w:rPr>
          <w:rFonts w:ascii="Times New Roman" w:hAnsi="Times New Roman" w:cs="Times New Roman"/>
          <w:sz w:val="24"/>
          <w:szCs w:val="24"/>
        </w:rPr>
        <w:t>Nessas circunstâncias, tratando-se de ação individual, por conta do conhecido efeito multiplicador, outras ações individuais são propostas, sem que ocorra um adequado tratamento pelos operadores do Direito que contemple a análise da Política Pública em que o direito social fundamental esteja inserido.</w:t>
      </w:r>
    </w:p>
    <w:p w:rsidR="00125F3F" w:rsidRPr="00BC3BF6" w:rsidRDefault="00125F3F" w:rsidP="00BC3BF6">
      <w:pPr>
        <w:spacing w:after="0" w:line="360" w:lineRule="auto"/>
        <w:ind w:firstLine="1134"/>
        <w:jc w:val="both"/>
        <w:rPr>
          <w:rFonts w:ascii="Times New Roman" w:hAnsi="Times New Roman" w:cs="Times New Roman"/>
          <w:sz w:val="24"/>
          <w:szCs w:val="24"/>
        </w:rPr>
      </w:pPr>
      <w:r w:rsidRPr="00BC3BF6">
        <w:rPr>
          <w:rFonts w:ascii="Times New Roman" w:hAnsi="Times New Roman" w:cs="Times New Roman"/>
          <w:sz w:val="24"/>
          <w:szCs w:val="24"/>
        </w:rPr>
        <w:t>Em se tratando de ação coletiva, a concessão de medida liminar ou a antecipação da tutela jurisdicional possibilita a intervenção do Estado-Juiz no escopo de resguardar o mencionado direito social fundamental, quase sempre sem compreender as peculiaridades da Política Pública implementada pelo Administrador Público, enquanto a  solução definitiva do litígio irá aguardar o trâmite, também, moroso que a cultura judiciária brasileira consolidou no decorrer do tempo.</w:t>
      </w:r>
    </w:p>
    <w:p w:rsidR="00125F3F" w:rsidRPr="00BC3BF6" w:rsidRDefault="00125F3F" w:rsidP="00BC3BF6">
      <w:pPr>
        <w:spacing w:after="0" w:line="360" w:lineRule="auto"/>
        <w:ind w:firstLine="1134"/>
        <w:jc w:val="both"/>
        <w:rPr>
          <w:rFonts w:ascii="Times New Roman" w:hAnsi="Times New Roman" w:cs="Times New Roman"/>
          <w:sz w:val="24"/>
          <w:szCs w:val="24"/>
        </w:rPr>
      </w:pPr>
      <w:r w:rsidRPr="00BC3BF6">
        <w:rPr>
          <w:rFonts w:ascii="Times New Roman" w:hAnsi="Times New Roman" w:cs="Times New Roman"/>
          <w:sz w:val="24"/>
          <w:szCs w:val="24"/>
        </w:rPr>
        <w:t xml:space="preserve">Isso tudo apenas agrava o problema da implementação dos direitos sociais fundamentais, que se configura pelo princípio de universalidade, enquanto </w:t>
      </w:r>
      <w:r w:rsidRPr="00BC3BF6">
        <w:rPr>
          <w:rFonts w:ascii="Times New Roman" w:hAnsi="Times New Roman" w:cs="Times New Roman"/>
          <w:b/>
          <w:bCs/>
          <w:sz w:val="24"/>
          <w:szCs w:val="24"/>
        </w:rPr>
        <w:t>suprema virtude da inclusão social</w:t>
      </w:r>
      <w:r w:rsidRPr="00BC3BF6">
        <w:rPr>
          <w:rFonts w:ascii="Times New Roman" w:hAnsi="Times New Roman" w:cs="Times New Roman"/>
          <w:sz w:val="24"/>
          <w:szCs w:val="24"/>
        </w:rPr>
        <w:t xml:space="preserve">, contudo imerso em grandes desafios que se apresentam desde a limitação dos recursos públicos, passando muitas </w:t>
      </w:r>
      <w:r w:rsidRPr="00BC3BF6">
        <w:rPr>
          <w:rFonts w:ascii="Times New Roman" w:hAnsi="Times New Roman" w:cs="Times New Roman"/>
          <w:sz w:val="24"/>
          <w:szCs w:val="24"/>
        </w:rPr>
        <w:lastRenderedPageBreak/>
        <w:t xml:space="preserve">vezes por alegações do Administrador Público de configuração da situação conhecida como a reserva do possível, esbarrando em orçamentos contaminados por corrupção, má gestão financeira e orçamentária, que se testam perante os próprios limites que se apresentam, na esfera da garantia dos direitos sociais fundamentais, ao que deve ser conceituado como sendo dura realidade de sub investimento pela escassez de recursos financeiros. </w:t>
      </w:r>
    </w:p>
    <w:p w:rsidR="00125F3F" w:rsidRPr="00BC3BF6" w:rsidRDefault="00125F3F" w:rsidP="00BC3BF6">
      <w:pPr>
        <w:spacing w:after="0" w:line="360" w:lineRule="auto"/>
        <w:ind w:firstLine="1134"/>
        <w:jc w:val="both"/>
        <w:rPr>
          <w:rFonts w:ascii="Times New Roman" w:hAnsi="Times New Roman" w:cs="Times New Roman"/>
          <w:sz w:val="24"/>
          <w:szCs w:val="24"/>
        </w:rPr>
      </w:pPr>
    </w:p>
    <w:p w:rsidR="00125F3F" w:rsidRPr="00125F3F" w:rsidRDefault="00125F3F" w:rsidP="00125F3F">
      <w:pPr>
        <w:ind w:firstLine="1134"/>
        <w:rPr>
          <w:rFonts w:ascii="Times New Roman" w:hAnsi="Times New Roman" w:cs="Times New Roman"/>
        </w:rPr>
      </w:pPr>
    </w:p>
    <w:p w:rsidR="00125F3F" w:rsidRPr="00BC3BF6" w:rsidRDefault="00125F3F" w:rsidP="00BC3BF6">
      <w:pPr>
        <w:spacing w:after="0" w:line="360" w:lineRule="auto"/>
        <w:ind w:firstLine="1134"/>
        <w:jc w:val="both"/>
        <w:rPr>
          <w:rFonts w:ascii="Times New Roman" w:hAnsi="Times New Roman" w:cs="Times New Roman"/>
          <w:sz w:val="24"/>
          <w:szCs w:val="24"/>
        </w:rPr>
      </w:pPr>
    </w:p>
    <w:p w:rsidR="00125F3F" w:rsidRPr="00BC3BF6" w:rsidRDefault="009B7ABA" w:rsidP="00BC3BF6">
      <w:pPr>
        <w:spacing w:after="0" w:line="360" w:lineRule="auto"/>
        <w:ind w:firstLine="113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w:t>
      </w:r>
      <w:r w:rsidR="00125F3F" w:rsidRPr="00BC3BF6">
        <w:rPr>
          <w:rFonts w:ascii="Times New Roman" w:hAnsi="Times New Roman" w:cs="Times New Roman"/>
          <w:b/>
          <w:bCs/>
          <w:color w:val="000000"/>
          <w:sz w:val="24"/>
          <w:szCs w:val="24"/>
        </w:rPr>
        <w:t xml:space="preserve"> – DA CONTRAPOSIÇÃO DE INTERESSES, INDIVIDUAL E COLETIVO, NA PRESTAÇÃO JURISDICIONAL </w:t>
      </w:r>
    </w:p>
    <w:p w:rsidR="00125F3F" w:rsidRPr="00BC3BF6" w:rsidRDefault="00125F3F" w:rsidP="00BC3BF6">
      <w:pPr>
        <w:pStyle w:val="Corpodetexto"/>
        <w:spacing w:after="0" w:line="360" w:lineRule="auto"/>
        <w:ind w:firstLine="1134"/>
        <w:rPr>
          <w:b/>
          <w:bCs/>
          <w:color w:val="000000"/>
        </w:rPr>
      </w:pPr>
    </w:p>
    <w:p w:rsidR="00125F3F" w:rsidRPr="00BC3BF6" w:rsidRDefault="00125F3F" w:rsidP="00BC3BF6">
      <w:pPr>
        <w:spacing w:after="0" w:line="360" w:lineRule="auto"/>
        <w:ind w:firstLine="1134"/>
        <w:jc w:val="both"/>
        <w:rPr>
          <w:rFonts w:ascii="Times New Roman" w:eastAsia="TimesNewRomanPSMT" w:hAnsi="Times New Roman" w:cs="Times New Roman"/>
          <w:color w:val="000000"/>
          <w:sz w:val="24"/>
          <w:szCs w:val="24"/>
        </w:rPr>
      </w:pPr>
      <w:r w:rsidRPr="00BC3BF6">
        <w:rPr>
          <w:rFonts w:ascii="Times New Roman" w:eastAsia="TimesNewRomanPSMT" w:hAnsi="Times New Roman" w:cs="Times New Roman"/>
          <w:color w:val="000000"/>
          <w:sz w:val="24"/>
          <w:szCs w:val="24"/>
        </w:rPr>
        <w:t>A coleta de informações extraídas de ações individuais em trâmite na Comarca da Capital do Estado do Maranhão (atual comarca da Ilha de São Luís), em pesquisa qualitativa por amostragem, autoriza concluir que o jurisdicionado formata a sua pretensão de satisfação dos interesses sem visualizar ou sem se preocupar com o contexto das Políticas Públicas em que seu direito está inserido.</w:t>
      </w:r>
    </w:p>
    <w:p w:rsidR="00125F3F" w:rsidRPr="00BC3BF6" w:rsidRDefault="00125F3F" w:rsidP="00BC3BF6">
      <w:pPr>
        <w:spacing w:after="0" w:line="360" w:lineRule="auto"/>
        <w:ind w:firstLine="1134"/>
        <w:jc w:val="both"/>
        <w:rPr>
          <w:rFonts w:ascii="Times New Roman" w:eastAsia="TimesNewRomanPSMT" w:hAnsi="Times New Roman" w:cs="Times New Roman"/>
          <w:color w:val="000000"/>
          <w:sz w:val="24"/>
          <w:szCs w:val="24"/>
        </w:rPr>
      </w:pPr>
      <w:r w:rsidRPr="00BC3BF6">
        <w:rPr>
          <w:rFonts w:ascii="Times New Roman" w:eastAsia="TimesNewRomanPSMT" w:hAnsi="Times New Roman" w:cs="Times New Roman"/>
          <w:color w:val="000000"/>
          <w:sz w:val="24"/>
          <w:szCs w:val="24"/>
        </w:rPr>
        <w:t xml:space="preserve">Observe-se que, não raro, o volume financeiro das multas diárias somado à expectativa das indenizações por eventuais e supostos danos morais podem iludir o jurisdicionado à possibilidade de obtenção de vantagem que lhe preencheria a satisfação de enriquecimento. </w:t>
      </w:r>
    </w:p>
    <w:p w:rsidR="00125F3F" w:rsidRPr="00BC3BF6" w:rsidRDefault="00125F3F" w:rsidP="00BC3BF6">
      <w:pPr>
        <w:spacing w:after="0" w:line="360" w:lineRule="auto"/>
        <w:ind w:firstLine="1134"/>
        <w:jc w:val="both"/>
        <w:rPr>
          <w:rFonts w:ascii="Times New Roman" w:eastAsia="TimesNewRomanPSMT" w:hAnsi="Times New Roman" w:cs="Times New Roman"/>
          <w:color w:val="000000"/>
          <w:sz w:val="24"/>
          <w:szCs w:val="24"/>
        </w:rPr>
      </w:pPr>
      <w:r w:rsidRPr="00BC3BF6">
        <w:rPr>
          <w:rFonts w:ascii="Times New Roman" w:eastAsia="TimesNewRomanPSMT" w:hAnsi="Times New Roman" w:cs="Times New Roman"/>
          <w:color w:val="000000"/>
          <w:sz w:val="24"/>
          <w:szCs w:val="24"/>
        </w:rPr>
        <w:t>Não se pode desprezar o fato de que alguns jurisdicionados, que, historicamente já experimentam toda sorte de dificuldades, em realidade difícil e, às vezes, miserável, que não lhe fará muita diferença em continuar com as suas enfermidades sociais fundamentais, enquanto lhe afagar o sonho de obtenção de vantagem pecuniária por eventual acúmulo de multa diária no tardar do cumprimento de decisões liminares ou antecipatórias da tutela jurisdicional.</w:t>
      </w:r>
    </w:p>
    <w:p w:rsidR="00125F3F" w:rsidRPr="00BC3BF6" w:rsidRDefault="00125F3F" w:rsidP="00BC3BF6">
      <w:pPr>
        <w:spacing w:after="0" w:line="360" w:lineRule="auto"/>
        <w:ind w:firstLine="1134"/>
        <w:jc w:val="both"/>
        <w:rPr>
          <w:rFonts w:ascii="Times New Roman" w:eastAsia="TimesNewRomanPSMT" w:hAnsi="Times New Roman" w:cs="Times New Roman"/>
          <w:color w:val="000000"/>
          <w:sz w:val="24"/>
          <w:szCs w:val="24"/>
        </w:rPr>
      </w:pPr>
      <w:r w:rsidRPr="00BC3BF6">
        <w:rPr>
          <w:rFonts w:ascii="Times New Roman" w:eastAsia="TimesNewRomanPSMT" w:hAnsi="Times New Roman" w:cs="Times New Roman"/>
          <w:color w:val="000000"/>
          <w:sz w:val="24"/>
          <w:szCs w:val="24"/>
        </w:rPr>
        <w:t>Ora, isso é muito relevante para o Ordenamento Jurídico pátrio pelas consequências  impostas pelas regras estabelecidas pelo Código de Processo Civil de 1973, que apresenta uma dinâmica eminentemente formalista que distancia os operadores jurídicos do contexto da realidade das Políticas Públicas de que a sociedade necessita.</w:t>
      </w:r>
    </w:p>
    <w:p w:rsidR="00125F3F" w:rsidRPr="00BC3BF6" w:rsidRDefault="00125F3F" w:rsidP="00BC3BF6">
      <w:pPr>
        <w:spacing w:after="0" w:line="360" w:lineRule="auto"/>
        <w:ind w:firstLine="1134"/>
        <w:jc w:val="both"/>
        <w:rPr>
          <w:rFonts w:ascii="Times New Roman" w:eastAsia="TimesNewRomanPSMT" w:hAnsi="Times New Roman" w:cs="Times New Roman"/>
          <w:color w:val="000000"/>
          <w:sz w:val="24"/>
          <w:szCs w:val="24"/>
        </w:rPr>
      </w:pPr>
      <w:r w:rsidRPr="00BC3BF6">
        <w:rPr>
          <w:rFonts w:ascii="Times New Roman" w:eastAsia="TimesNewRomanPSMT" w:hAnsi="Times New Roman" w:cs="Times New Roman"/>
          <w:color w:val="000000"/>
          <w:sz w:val="24"/>
          <w:szCs w:val="24"/>
        </w:rPr>
        <w:t xml:space="preserve">A audiência preliminar prevista no art. 331 do Código de 1973 não tem sido valorada para a composição dos litígios envolventes dos direitos sociais fundamentais, mormente pela tese sustentada, de regra, pelos patronos das Fazendas Públicas de que os interesses fazendários são indisponíveis o que afastaria a possibilidade de se transacionar, abdicado-se de oportunidade de compreensão da Política </w:t>
      </w:r>
      <w:r w:rsidRPr="00BC3BF6">
        <w:rPr>
          <w:rFonts w:ascii="Times New Roman" w:eastAsia="TimesNewRomanPSMT" w:hAnsi="Times New Roman" w:cs="Times New Roman"/>
          <w:color w:val="000000"/>
          <w:sz w:val="24"/>
          <w:szCs w:val="24"/>
        </w:rPr>
        <w:lastRenderedPageBreak/>
        <w:t>Pública e, até mesmo, de satisfação das pretensões autorais com o atendimento do direito social fundamental, mediante a prestação do serviço público reclamado. Essa situação costuma dar azo ao surgimento de penalidades pecuniárias decorrentes do acúmulo de multas diárias, sem falar na aludida hipótese de expectativa de enriquecimento por supostas e eventuais reparações de danos morais.</w:t>
      </w:r>
    </w:p>
    <w:p w:rsidR="00125F3F" w:rsidRPr="00BC3BF6" w:rsidRDefault="00125F3F" w:rsidP="00BC3BF6">
      <w:pPr>
        <w:spacing w:after="0" w:line="360" w:lineRule="auto"/>
        <w:ind w:firstLine="1134"/>
        <w:jc w:val="both"/>
        <w:rPr>
          <w:rFonts w:ascii="Times New Roman" w:eastAsia="TimesNewRomanPSMT" w:hAnsi="Times New Roman" w:cs="Times New Roman"/>
          <w:color w:val="000000"/>
          <w:sz w:val="24"/>
          <w:szCs w:val="24"/>
        </w:rPr>
      </w:pPr>
      <w:r w:rsidRPr="00BC3BF6">
        <w:rPr>
          <w:rFonts w:ascii="Times New Roman" w:eastAsia="TimesNewRomanPSMT" w:hAnsi="Times New Roman" w:cs="Times New Roman"/>
          <w:color w:val="000000"/>
          <w:sz w:val="24"/>
          <w:szCs w:val="24"/>
        </w:rPr>
        <w:t>Inevitavelmente, a particularidade da implementação dos direitos sociais fundamentais de forma atomizada por meio da judicialização apresenta-se contrária à perspectiva de garantia dos direitos pelo princípio da universalidade vocacionada naturalmente pela formação, formatação e refazimento das Políticas Públicas em sua dinâmica.</w:t>
      </w:r>
    </w:p>
    <w:p w:rsidR="00125F3F" w:rsidRPr="00BC3BF6" w:rsidRDefault="00125F3F" w:rsidP="00BC3BF6">
      <w:pPr>
        <w:spacing w:after="0" w:line="360" w:lineRule="auto"/>
        <w:ind w:firstLine="1134"/>
        <w:jc w:val="both"/>
        <w:rPr>
          <w:rFonts w:ascii="Times New Roman" w:eastAsia="TimesNewRomanPSMT" w:hAnsi="Times New Roman" w:cs="Times New Roman"/>
          <w:sz w:val="24"/>
          <w:szCs w:val="24"/>
        </w:rPr>
      </w:pPr>
      <w:r w:rsidRPr="00BC3BF6">
        <w:rPr>
          <w:rFonts w:ascii="Times New Roman" w:eastAsia="TimesNewRomanPSMT" w:hAnsi="Times New Roman" w:cs="Times New Roman"/>
          <w:color w:val="000000"/>
          <w:sz w:val="24"/>
          <w:szCs w:val="24"/>
        </w:rPr>
        <w:t>Apenas de forma ilustrativa pode se dizer que até se pode contemplar a problemática posta em pauta à luz dos princípios da lógica dialética gestada por Hegel pelo esforço d</w:t>
      </w:r>
      <w:r w:rsidRPr="00BC3BF6">
        <w:rPr>
          <w:rFonts w:ascii="Times New Roman" w:eastAsia="TimesNewRomanPSMT" w:hAnsi="Times New Roman" w:cs="Times New Roman"/>
          <w:sz w:val="24"/>
          <w:szCs w:val="24"/>
        </w:rPr>
        <w:t>o conhecimento dos obstáculos existentes na implementação dos direitos sociais fundamentais pela captação da dinâmica da realidade que os contorna como uma universalidade ou totalidade, cuja reprodução dessa dinâmica pelas diversas demandas atomizadas são meras particularidades, que pretendem satisfazer os direitos sociais, quase sempre, divorciadas do contexto da Política respectiva.</w:t>
      </w:r>
    </w:p>
    <w:p w:rsidR="00125F3F" w:rsidRPr="00BC3BF6" w:rsidRDefault="00125F3F" w:rsidP="00BC3BF6">
      <w:pPr>
        <w:spacing w:after="0" w:line="360" w:lineRule="auto"/>
        <w:ind w:firstLine="1134"/>
        <w:jc w:val="both"/>
        <w:rPr>
          <w:rFonts w:ascii="Times New Roman" w:eastAsia="TimesNewRomanPSMT" w:hAnsi="Times New Roman" w:cs="Times New Roman"/>
          <w:b/>
          <w:bCs/>
          <w:color w:val="000000"/>
          <w:sz w:val="24"/>
          <w:szCs w:val="24"/>
        </w:rPr>
      </w:pPr>
      <w:r w:rsidRPr="00BC3BF6">
        <w:rPr>
          <w:rFonts w:ascii="Times New Roman" w:eastAsia="TimesNewRomanPSMT" w:hAnsi="Times New Roman" w:cs="Times New Roman"/>
          <w:sz w:val="24"/>
          <w:szCs w:val="24"/>
        </w:rPr>
        <w:t>Assim sendo compreendido o atendimento dos direitos sociais fundamentais por meio de demanda judicial atomizada, ainda que louvável o salvamento do bem-estar individual por esse meio, o enfrentamento dos intermináveis problemas por estratégias particularizadas põe em risco a existência do próprio direito, enquanto Política Pública, em sua universalidade.</w:t>
      </w:r>
    </w:p>
    <w:p w:rsidR="00125F3F" w:rsidRPr="00125F3F" w:rsidRDefault="00125F3F" w:rsidP="00125F3F">
      <w:pPr>
        <w:ind w:firstLine="1129"/>
        <w:rPr>
          <w:rFonts w:ascii="Times New Roman" w:eastAsia="TimesNewRomanPSMT" w:hAnsi="Times New Roman" w:cs="Times New Roman"/>
          <w:b/>
          <w:bCs/>
          <w:color w:val="000000"/>
          <w:sz w:val="21"/>
          <w:szCs w:val="21"/>
        </w:rPr>
      </w:pPr>
    </w:p>
    <w:p w:rsidR="00125F3F" w:rsidRPr="00BC3BF6" w:rsidRDefault="009B7ABA" w:rsidP="00BC3BF6">
      <w:pPr>
        <w:spacing w:after="0" w:line="360" w:lineRule="auto"/>
        <w:ind w:firstLine="1134"/>
        <w:jc w:val="both"/>
        <w:rPr>
          <w:rFonts w:ascii="Times New Roman" w:hAnsi="Times New Roman" w:cs="Times New Roman"/>
          <w:sz w:val="24"/>
          <w:szCs w:val="24"/>
        </w:rPr>
      </w:pPr>
      <w:r>
        <w:rPr>
          <w:rFonts w:ascii="Times New Roman" w:hAnsi="Times New Roman" w:cs="Times New Roman"/>
          <w:b/>
          <w:bCs/>
          <w:sz w:val="24"/>
          <w:szCs w:val="24"/>
        </w:rPr>
        <w:t>II</w:t>
      </w:r>
      <w:r w:rsidR="00125F3F" w:rsidRPr="00BC3BF6">
        <w:rPr>
          <w:rFonts w:ascii="Times New Roman" w:hAnsi="Times New Roman" w:cs="Times New Roman"/>
          <w:b/>
          <w:bCs/>
          <w:sz w:val="24"/>
          <w:szCs w:val="24"/>
        </w:rPr>
        <w:t xml:space="preserve"> - DAS AÇÕES INDIVIDUAIS E DAS AÇÕES COLETIVAS NA FORMATAÇÃO DO NOVO CÓDIGO DE PROCESSO CIVIL</w:t>
      </w:r>
    </w:p>
    <w:p w:rsidR="00125F3F" w:rsidRPr="00BC3BF6" w:rsidRDefault="00125F3F" w:rsidP="00BC3BF6">
      <w:pPr>
        <w:spacing w:after="0" w:line="360" w:lineRule="auto"/>
        <w:ind w:firstLine="1134"/>
        <w:jc w:val="both"/>
        <w:rPr>
          <w:rFonts w:ascii="Times New Roman" w:hAnsi="Times New Roman" w:cs="Times New Roman"/>
          <w:sz w:val="24"/>
          <w:szCs w:val="24"/>
        </w:rPr>
      </w:pPr>
    </w:p>
    <w:p w:rsidR="00125F3F" w:rsidRPr="00BC3BF6" w:rsidRDefault="00125F3F" w:rsidP="00BC3BF6">
      <w:pPr>
        <w:spacing w:after="0" w:line="360" w:lineRule="auto"/>
        <w:ind w:firstLine="1134"/>
        <w:jc w:val="both"/>
        <w:rPr>
          <w:rFonts w:ascii="Times New Roman" w:hAnsi="Times New Roman" w:cs="Times New Roman"/>
          <w:color w:val="000000"/>
          <w:sz w:val="24"/>
          <w:szCs w:val="24"/>
        </w:rPr>
      </w:pPr>
      <w:r w:rsidRPr="00BC3BF6">
        <w:rPr>
          <w:rFonts w:ascii="Times New Roman" w:hAnsi="Times New Roman" w:cs="Times New Roman"/>
          <w:sz w:val="24"/>
          <w:szCs w:val="24"/>
        </w:rPr>
        <w:t xml:space="preserve">No Código de Processo Civil projetado foi pensada a possibilidade de conversão das ações individuais em coletivas, mediante incidente processual que poderia ser desencadeado pelo Ministério Público, pela Defensoria Pública ou pelos legitimados para a propositura de ação civil pública nos termos do art. 5º da Lei nº 7.347/1985: </w:t>
      </w:r>
      <w:r w:rsidRPr="00BC3BF6">
        <w:rPr>
          <w:rFonts w:ascii="Times New Roman" w:hAnsi="Times New Roman" w:cs="Times New Roman"/>
          <w:color w:val="000000"/>
          <w:sz w:val="24"/>
          <w:szCs w:val="24"/>
        </w:rPr>
        <w:t>a União, os Estados, o Distrito Federal e os Municípios; a autarquia, empresa pública, fundação ou sociedade de economia mista; e associação que estivesse constituída há pelo menos 1 (um) ano nos termos da lei civil e contemplasse dentre suas finalidades institucionais, a proteção ao patrimônio público e social, ao meio ambiente, ao consumidor, à ordem econômica, à livre concorrência, aos direitos de grupos raciais, étnicos ou religiosos ou ao patrimônio artístico, estético, histórico, turístico e paisagístico.</w:t>
      </w:r>
    </w:p>
    <w:p w:rsidR="00125F3F" w:rsidRPr="00BC3BF6" w:rsidRDefault="00125F3F" w:rsidP="00BC3BF6">
      <w:pPr>
        <w:spacing w:after="0" w:line="360" w:lineRule="auto"/>
        <w:ind w:firstLine="1134"/>
        <w:jc w:val="both"/>
        <w:rPr>
          <w:rFonts w:ascii="Times New Roman" w:eastAsia="Arial" w:hAnsi="Times New Roman" w:cs="Times New Roman"/>
          <w:color w:val="000000"/>
          <w:sz w:val="24"/>
          <w:szCs w:val="24"/>
        </w:rPr>
      </w:pPr>
      <w:r w:rsidRPr="00BC3BF6">
        <w:rPr>
          <w:rFonts w:ascii="Times New Roman" w:hAnsi="Times New Roman" w:cs="Times New Roman"/>
          <w:color w:val="000000"/>
          <w:sz w:val="24"/>
          <w:szCs w:val="24"/>
        </w:rPr>
        <w:lastRenderedPageBreak/>
        <w:t xml:space="preserve">O Poder Legislativo finalizou os trabalhos de elaboração do Novo Código aprovando o Projeto com a seguinte redação do art. 333: </w:t>
      </w:r>
    </w:p>
    <w:p w:rsidR="00125F3F" w:rsidRPr="00125F3F" w:rsidRDefault="00125F3F" w:rsidP="00BC3BF6">
      <w:pPr>
        <w:pStyle w:val="Corpodetexto"/>
        <w:widowControl/>
        <w:spacing w:after="0"/>
        <w:ind w:left="2251" w:firstLine="0"/>
        <w:rPr>
          <w:color w:val="000000"/>
          <w:sz w:val="20"/>
          <w:szCs w:val="20"/>
        </w:rPr>
      </w:pPr>
      <w:r w:rsidRPr="00125F3F">
        <w:rPr>
          <w:color w:val="000000"/>
          <w:sz w:val="20"/>
          <w:szCs w:val="20"/>
        </w:rPr>
        <w:t>Art. 333.  Atendidos os pressupostos da relevância social e da dificuldade de formação do litisconsórcio, o juiz, a requerimento do Ministério Público ou da Defensoria Pública, ouvido o autor, poderá converter em coletiva a ação individual que veicule pedido que: </w:t>
      </w:r>
    </w:p>
    <w:p w:rsidR="00125F3F" w:rsidRPr="00125F3F" w:rsidRDefault="00125F3F" w:rsidP="00BC3BF6">
      <w:pPr>
        <w:pStyle w:val="Corpodetexto"/>
        <w:widowControl/>
        <w:spacing w:after="0"/>
        <w:ind w:left="2251" w:firstLine="0"/>
        <w:rPr>
          <w:color w:val="000000"/>
          <w:sz w:val="20"/>
          <w:szCs w:val="20"/>
        </w:rPr>
      </w:pPr>
      <w:r w:rsidRPr="00125F3F">
        <w:rPr>
          <w:color w:val="000000"/>
          <w:sz w:val="20"/>
          <w:szCs w:val="20"/>
        </w:rPr>
        <w:t>I - tenha alcance coletivo, em razão da tutela de bem jurídico difuso ou coletivo, assim entendidos aqueles definidos pelo art. 81, parágrafo único, incisos I e II, da Lei n</w:t>
      </w:r>
      <w:r w:rsidRPr="00125F3F">
        <w:rPr>
          <w:color w:val="000000"/>
          <w:position w:val="4"/>
          <w:sz w:val="20"/>
          <w:szCs w:val="20"/>
          <w:u w:val="single"/>
        </w:rPr>
        <w:t>o</w:t>
      </w:r>
      <w:r w:rsidRPr="00125F3F">
        <w:rPr>
          <w:color w:val="000000"/>
          <w:sz w:val="20"/>
          <w:szCs w:val="20"/>
        </w:rPr>
        <w:t> 8.078, de 11 de setembro de 1990 (Código de Defesa do Consumidor), e cuja ofensa afete, a um só tempo, as esferas jurídicas do indivíduo e da coletividade; </w:t>
      </w:r>
    </w:p>
    <w:p w:rsidR="00125F3F" w:rsidRPr="00125F3F" w:rsidRDefault="00125F3F" w:rsidP="00BC3BF6">
      <w:pPr>
        <w:pStyle w:val="Corpodetexto"/>
        <w:widowControl/>
        <w:spacing w:after="0"/>
        <w:ind w:left="2251" w:firstLine="0"/>
        <w:rPr>
          <w:color w:val="000000"/>
          <w:sz w:val="20"/>
          <w:szCs w:val="20"/>
        </w:rPr>
      </w:pPr>
      <w:r w:rsidRPr="00125F3F">
        <w:rPr>
          <w:color w:val="000000"/>
          <w:sz w:val="20"/>
          <w:szCs w:val="20"/>
        </w:rPr>
        <w:t>II - tenha por objetivo a solução de conflito de interesse relativo a uma mesma relação jurídica plurilateral, cuja solução, por sua natureza ou por disposição de lei, deva ser necessariamente uniforme, assegurando-se tratamento isonômico para todos os membros do grupo. </w:t>
      </w:r>
    </w:p>
    <w:p w:rsidR="00125F3F" w:rsidRPr="00125F3F" w:rsidRDefault="00125F3F" w:rsidP="00BC3BF6">
      <w:pPr>
        <w:pStyle w:val="Corpodetexto"/>
        <w:widowControl/>
        <w:spacing w:after="0"/>
        <w:ind w:left="2251" w:firstLine="0"/>
        <w:rPr>
          <w:color w:val="000000"/>
          <w:sz w:val="20"/>
          <w:szCs w:val="20"/>
        </w:rPr>
      </w:pPr>
      <w:r w:rsidRPr="00125F3F">
        <w:rPr>
          <w:color w:val="000000"/>
          <w:sz w:val="20"/>
          <w:szCs w:val="20"/>
        </w:rPr>
        <w:t>§ 1</w:t>
      </w:r>
      <w:r w:rsidRPr="00125F3F">
        <w:rPr>
          <w:color w:val="000000"/>
          <w:position w:val="4"/>
          <w:sz w:val="20"/>
          <w:szCs w:val="20"/>
          <w:u w:val="single"/>
        </w:rPr>
        <w:t>o</w:t>
      </w:r>
      <w:r w:rsidRPr="00125F3F">
        <w:rPr>
          <w:color w:val="000000"/>
          <w:sz w:val="20"/>
          <w:szCs w:val="20"/>
        </w:rPr>
        <w:t> Além do Ministério Público e da Defensoria Pública, podem requerer a conversão os legitimados referidos no art. 5</w:t>
      </w:r>
      <w:r w:rsidRPr="00125F3F">
        <w:rPr>
          <w:color w:val="000000"/>
          <w:position w:val="4"/>
          <w:sz w:val="20"/>
          <w:szCs w:val="20"/>
          <w:u w:val="single"/>
        </w:rPr>
        <w:t>o</w:t>
      </w:r>
      <w:r w:rsidRPr="00125F3F">
        <w:rPr>
          <w:color w:val="000000"/>
          <w:sz w:val="20"/>
          <w:szCs w:val="20"/>
        </w:rPr>
        <w:t> da Lei n</w:t>
      </w:r>
      <w:r w:rsidRPr="00125F3F">
        <w:rPr>
          <w:color w:val="000000"/>
          <w:position w:val="4"/>
          <w:sz w:val="20"/>
          <w:szCs w:val="20"/>
          <w:u w:val="single"/>
        </w:rPr>
        <w:t>o</w:t>
      </w:r>
      <w:r w:rsidRPr="00125F3F">
        <w:rPr>
          <w:color w:val="000000"/>
          <w:sz w:val="20"/>
          <w:szCs w:val="20"/>
        </w:rPr>
        <w:t> 7.347, de 24 de julho de 1985, e no art. 82 da Lei n</w:t>
      </w:r>
      <w:r w:rsidRPr="00125F3F">
        <w:rPr>
          <w:color w:val="000000"/>
          <w:position w:val="4"/>
          <w:sz w:val="20"/>
          <w:szCs w:val="20"/>
          <w:u w:val="single"/>
        </w:rPr>
        <w:t>o</w:t>
      </w:r>
      <w:r w:rsidRPr="00125F3F">
        <w:rPr>
          <w:color w:val="000000"/>
          <w:sz w:val="20"/>
          <w:szCs w:val="20"/>
        </w:rPr>
        <w:t> 8.078, de 11 de setembro de 1990 (Código de Defesa do Consumidor). </w:t>
      </w:r>
    </w:p>
    <w:p w:rsidR="00125F3F" w:rsidRPr="00125F3F" w:rsidRDefault="00125F3F" w:rsidP="00BC3BF6">
      <w:pPr>
        <w:pStyle w:val="Corpodetexto"/>
        <w:widowControl/>
        <w:spacing w:after="0"/>
        <w:ind w:left="2251" w:firstLine="0"/>
        <w:rPr>
          <w:color w:val="000000"/>
          <w:sz w:val="20"/>
          <w:szCs w:val="20"/>
        </w:rPr>
      </w:pPr>
      <w:r w:rsidRPr="00125F3F">
        <w:rPr>
          <w:color w:val="000000"/>
          <w:sz w:val="20"/>
          <w:szCs w:val="20"/>
        </w:rPr>
        <w:t>§ 2</w:t>
      </w:r>
      <w:r w:rsidRPr="00125F3F">
        <w:rPr>
          <w:color w:val="000000"/>
          <w:position w:val="4"/>
          <w:sz w:val="20"/>
          <w:szCs w:val="20"/>
          <w:u w:val="single"/>
        </w:rPr>
        <w:t>o</w:t>
      </w:r>
      <w:r w:rsidRPr="00125F3F">
        <w:rPr>
          <w:color w:val="000000"/>
          <w:sz w:val="20"/>
          <w:szCs w:val="20"/>
        </w:rPr>
        <w:t> A conversão não pode implicar a formação de processo coletivo para a tutela de direitos individuais homogêneos. </w:t>
      </w:r>
    </w:p>
    <w:p w:rsidR="00125F3F" w:rsidRPr="00125F3F" w:rsidRDefault="00125F3F" w:rsidP="00BC3BF6">
      <w:pPr>
        <w:pStyle w:val="Corpodetexto"/>
        <w:widowControl/>
        <w:spacing w:after="0"/>
        <w:ind w:left="2251" w:firstLine="0"/>
        <w:rPr>
          <w:color w:val="000000"/>
          <w:sz w:val="20"/>
          <w:szCs w:val="20"/>
        </w:rPr>
      </w:pPr>
      <w:r w:rsidRPr="00125F3F">
        <w:rPr>
          <w:color w:val="000000"/>
          <w:sz w:val="20"/>
          <w:szCs w:val="20"/>
        </w:rPr>
        <w:t>§ 3</w:t>
      </w:r>
      <w:r w:rsidRPr="00125F3F">
        <w:rPr>
          <w:color w:val="000000"/>
          <w:position w:val="4"/>
          <w:sz w:val="20"/>
          <w:szCs w:val="20"/>
          <w:u w:val="single"/>
        </w:rPr>
        <w:t>o</w:t>
      </w:r>
      <w:r w:rsidRPr="00125F3F">
        <w:rPr>
          <w:color w:val="000000"/>
          <w:sz w:val="20"/>
          <w:szCs w:val="20"/>
        </w:rPr>
        <w:t> Não se admite a conversão, ainda, se: </w:t>
      </w:r>
    </w:p>
    <w:p w:rsidR="00125F3F" w:rsidRPr="00125F3F" w:rsidRDefault="00125F3F" w:rsidP="00BC3BF6">
      <w:pPr>
        <w:pStyle w:val="Corpodetexto"/>
        <w:widowControl/>
        <w:spacing w:after="0"/>
        <w:ind w:left="2251" w:firstLine="0"/>
        <w:rPr>
          <w:color w:val="000000"/>
          <w:sz w:val="20"/>
          <w:szCs w:val="20"/>
        </w:rPr>
      </w:pPr>
      <w:r w:rsidRPr="00125F3F">
        <w:rPr>
          <w:color w:val="000000"/>
          <w:sz w:val="20"/>
          <w:szCs w:val="20"/>
        </w:rPr>
        <w:t>I - já iniciada, no processo individual, a audiência de instrução e julgamento; ou </w:t>
      </w:r>
    </w:p>
    <w:p w:rsidR="00125F3F" w:rsidRPr="00125F3F" w:rsidRDefault="00125F3F" w:rsidP="00BC3BF6">
      <w:pPr>
        <w:pStyle w:val="Corpodetexto"/>
        <w:widowControl/>
        <w:spacing w:after="0"/>
        <w:ind w:left="2251" w:firstLine="0"/>
        <w:rPr>
          <w:color w:val="000000"/>
          <w:sz w:val="20"/>
          <w:szCs w:val="20"/>
        </w:rPr>
      </w:pPr>
      <w:r w:rsidRPr="00125F3F">
        <w:rPr>
          <w:color w:val="000000"/>
          <w:sz w:val="20"/>
          <w:szCs w:val="20"/>
        </w:rPr>
        <w:t>II - houver processo coletivo pendente com o mesmo objeto; ou </w:t>
      </w:r>
    </w:p>
    <w:p w:rsidR="00125F3F" w:rsidRPr="00125F3F" w:rsidRDefault="00125F3F" w:rsidP="00BC3BF6">
      <w:pPr>
        <w:pStyle w:val="Corpodetexto"/>
        <w:widowControl/>
        <w:spacing w:after="0"/>
        <w:ind w:left="2251" w:firstLine="0"/>
        <w:rPr>
          <w:color w:val="000000"/>
          <w:sz w:val="20"/>
          <w:szCs w:val="20"/>
        </w:rPr>
      </w:pPr>
      <w:r w:rsidRPr="00125F3F">
        <w:rPr>
          <w:color w:val="000000"/>
          <w:sz w:val="20"/>
          <w:szCs w:val="20"/>
        </w:rPr>
        <w:t>III - o juízo não tiver competência para o processo coletivo que seria formado. </w:t>
      </w:r>
    </w:p>
    <w:p w:rsidR="00125F3F" w:rsidRPr="00125F3F" w:rsidRDefault="00125F3F" w:rsidP="00BC3BF6">
      <w:pPr>
        <w:pStyle w:val="Corpodetexto"/>
        <w:widowControl/>
        <w:spacing w:after="0"/>
        <w:ind w:left="2251" w:firstLine="0"/>
        <w:rPr>
          <w:color w:val="000000"/>
          <w:sz w:val="20"/>
          <w:szCs w:val="20"/>
        </w:rPr>
      </w:pPr>
      <w:r w:rsidRPr="00125F3F">
        <w:rPr>
          <w:color w:val="000000"/>
          <w:sz w:val="20"/>
          <w:szCs w:val="20"/>
        </w:rPr>
        <w:t>§ 4</w:t>
      </w:r>
      <w:r w:rsidRPr="00125F3F">
        <w:rPr>
          <w:color w:val="000000"/>
          <w:position w:val="4"/>
          <w:sz w:val="20"/>
          <w:szCs w:val="20"/>
          <w:u w:val="single"/>
        </w:rPr>
        <w:t>o</w:t>
      </w:r>
      <w:r w:rsidRPr="00125F3F">
        <w:rPr>
          <w:color w:val="000000"/>
          <w:sz w:val="20"/>
          <w:szCs w:val="20"/>
        </w:rPr>
        <w:t> Determinada a conversão, o juiz intimará o autor do requerimento para que, no prazo fixado, adite ou emende a petição inicial, para adaptá-la à tutela coletiva. </w:t>
      </w:r>
    </w:p>
    <w:p w:rsidR="00125F3F" w:rsidRPr="00125F3F" w:rsidRDefault="00125F3F" w:rsidP="00BC3BF6">
      <w:pPr>
        <w:pStyle w:val="Corpodetexto"/>
        <w:widowControl/>
        <w:spacing w:after="0"/>
        <w:ind w:left="2251" w:firstLine="0"/>
        <w:rPr>
          <w:color w:val="000000"/>
          <w:sz w:val="20"/>
          <w:szCs w:val="20"/>
        </w:rPr>
      </w:pPr>
      <w:r w:rsidRPr="00125F3F">
        <w:rPr>
          <w:color w:val="000000"/>
          <w:sz w:val="20"/>
          <w:szCs w:val="20"/>
        </w:rPr>
        <w:t>§ 5</w:t>
      </w:r>
      <w:r w:rsidRPr="00125F3F">
        <w:rPr>
          <w:color w:val="000000"/>
          <w:position w:val="4"/>
          <w:sz w:val="20"/>
          <w:szCs w:val="20"/>
          <w:u w:val="single"/>
        </w:rPr>
        <w:t>o</w:t>
      </w:r>
      <w:r w:rsidRPr="00125F3F">
        <w:rPr>
          <w:color w:val="000000"/>
          <w:sz w:val="20"/>
          <w:szCs w:val="20"/>
        </w:rPr>
        <w:t> Havendo aditamento ou emenda da petição inicial, o juiz determinará a intimação do réu para, querendo, manifestar-se no prazo de 15 (quinze) dias. </w:t>
      </w:r>
    </w:p>
    <w:p w:rsidR="00125F3F" w:rsidRPr="00125F3F" w:rsidRDefault="00125F3F" w:rsidP="00BC3BF6">
      <w:pPr>
        <w:pStyle w:val="Corpodetexto"/>
        <w:widowControl/>
        <w:spacing w:after="0"/>
        <w:ind w:left="2251" w:firstLine="0"/>
        <w:rPr>
          <w:color w:val="000000"/>
          <w:sz w:val="20"/>
          <w:szCs w:val="20"/>
        </w:rPr>
      </w:pPr>
      <w:r w:rsidRPr="00125F3F">
        <w:rPr>
          <w:color w:val="000000"/>
          <w:sz w:val="20"/>
          <w:szCs w:val="20"/>
        </w:rPr>
        <w:t>§ 6</w:t>
      </w:r>
      <w:r w:rsidRPr="00125F3F">
        <w:rPr>
          <w:color w:val="000000"/>
          <w:position w:val="4"/>
          <w:sz w:val="20"/>
          <w:szCs w:val="20"/>
          <w:u w:val="single"/>
        </w:rPr>
        <w:t>o</w:t>
      </w:r>
      <w:r w:rsidRPr="00125F3F">
        <w:rPr>
          <w:color w:val="000000"/>
          <w:sz w:val="20"/>
          <w:szCs w:val="20"/>
        </w:rPr>
        <w:t> O autor originário da ação individual atuará na condição de litisconsorte unitário do legitimado para condução do processo coletivo. </w:t>
      </w:r>
    </w:p>
    <w:p w:rsidR="00125F3F" w:rsidRPr="00125F3F" w:rsidRDefault="00125F3F" w:rsidP="00BC3BF6">
      <w:pPr>
        <w:pStyle w:val="Corpodetexto"/>
        <w:widowControl/>
        <w:spacing w:after="0"/>
        <w:ind w:left="2251" w:firstLine="0"/>
        <w:rPr>
          <w:color w:val="000000"/>
          <w:sz w:val="20"/>
          <w:szCs w:val="20"/>
        </w:rPr>
      </w:pPr>
      <w:r w:rsidRPr="00125F3F">
        <w:rPr>
          <w:color w:val="000000"/>
          <w:sz w:val="20"/>
          <w:szCs w:val="20"/>
        </w:rPr>
        <w:t>§ 7</w:t>
      </w:r>
      <w:r w:rsidRPr="00125F3F">
        <w:rPr>
          <w:color w:val="000000"/>
          <w:position w:val="4"/>
          <w:sz w:val="20"/>
          <w:szCs w:val="20"/>
          <w:u w:val="single"/>
        </w:rPr>
        <w:t>o</w:t>
      </w:r>
      <w:r w:rsidRPr="00125F3F">
        <w:rPr>
          <w:color w:val="000000"/>
          <w:sz w:val="20"/>
          <w:szCs w:val="20"/>
        </w:rPr>
        <w:t> O autor originário não é responsável por nenhuma despesa processual decorrente da conversão do processo individual em coletivo. </w:t>
      </w:r>
    </w:p>
    <w:p w:rsidR="00125F3F" w:rsidRPr="00125F3F" w:rsidRDefault="00125F3F" w:rsidP="00BC3BF6">
      <w:pPr>
        <w:pStyle w:val="Corpodetexto"/>
        <w:widowControl/>
        <w:spacing w:after="0"/>
        <w:ind w:left="2251" w:firstLine="0"/>
        <w:rPr>
          <w:color w:val="000000"/>
          <w:sz w:val="20"/>
          <w:szCs w:val="20"/>
        </w:rPr>
      </w:pPr>
      <w:r w:rsidRPr="00125F3F">
        <w:rPr>
          <w:color w:val="000000"/>
          <w:sz w:val="20"/>
          <w:szCs w:val="20"/>
        </w:rPr>
        <w:t>§ 8</w:t>
      </w:r>
      <w:r w:rsidRPr="00125F3F">
        <w:rPr>
          <w:color w:val="000000"/>
          <w:position w:val="4"/>
          <w:sz w:val="20"/>
          <w:szCs w:val="20"/>
          <w:u w:val="single"/>
        </w:rPr>
        <w:t>o</w:t>
      </w:r>
      <w:r w:rsidRPr="00125F3F">
        <w:rPr>
          <w:color w:val="000000"/>
          <w:sz w:val="20"/>
          <w:szCs w:val="20"/>
        </w:rPr>
        <w:t> Após a conversão, observar-se-ão as regras do processo coletivo. </w:t>
      </w:r>
    </w:p>
    <w:p w:rsidR="00125F3F" w:rsidRPr="00125F3F" w:rsidRDefault="00125F3F" w:rsidP="00BC3BF6">
      <w:pPr>
        <w:pStyle w:val="Corpodetexto"/>
        <w:widowControl/>
        <w:spacing w:after="0"/>
        <w:ind w:left="2251" w:firstLine="0"/>
        <w:rPr>
          <w:color w:val="000000"/>
          <w:sz w:val="20"/>
          <w:szCs w:val="20"/>
        </w:rPr>
      </w:pPr>
      <w:r w:rsidRPr="00125F3F">
        <w:rPr>
          <w:color w:val="000000"/>
          <w:sz w:val="20"/>
          <w:szCs w:val="20"/>
        </w:rPr>
        <w:t>§ 9</w:t>
      </w:r>
      <w:r w:rsidRPr="00125F3F">
        <w:rPr>
          <w:color w:val="000000"/>
          <w:position w:val="4"/>
          <w:sz w:val="20"/>
          <w:szCs w:val="20"/>
          <w:u w:val="single"/>
        </w:rPr>
        <w:t>o</w:t>
      </w:r>
      <w:r w:rsidRPr="00125F3F">
        <w:rPr>
          <w:color w:val="000000"/>
          <w:sz w:val="20"/>
          <w:szCs w:val="20"/>
        </w:rPr>
        <w:t> A conversão poderá ocorrer mesmo que o autor tenha cumulado pedido de natureza estritamente individual, hipótese em que o processamento desse pedido dar-se-á em autos apartados. </w:t>
      </w:r>
    </w:p>
    <w:p w:rsidR="00125F3F" w:rsidRPr="00125F3F" w:rsidRDefault="00125F3F" w:rsidP="00BC3BF6">
      <w:pPr>
        <w:pStyle w:val="Corpodetexto"/>
        <w:widowControl/>
        <w:spacing w:after="0"/>
        <w:ind w:left="2251" w:firstLine="0"/>
      </w:pPr>
      <w:r w:rsidRPr="00125F3F">
        <w:rPr>
          <w:color w:val="000000"/>
          <w:sz w:val="20"/>
          <w:szCs w:val="20"/>
        </w:rPr>
        <w:t xml:space="preserve">§ 10.  O Ministério Público deverá ser ouvido sobre o requerimento previsto no caput, salvo quando </w:t>
      </w:r>
      <w:r w:rsidR="00BC3BF6">
        <w:rPr>
          <w:color w:val="000000"/>
          <w:sz w:val="20"/>
          <w:szCs w:val="20"/>
        </w:rPr>
        <w:t>ele próprio o houver formulado.</w:t>
      </w:r>
    </w:p>
    <w:p w:rsidR="00125F3F" w:rsidRPr="00125F3F" w:rsidRDefault="00125F3F" w:rsidP="00125F3F">
      <w:pPr>
        <w:ind w:firstLine="1134"/>
        <w:rPr>
          <w:rFonts w:ascii="Times New Roman" w:hAnsi="Times New Roman" w:cs="Times New Roman"/>
        </w:rPr>
      </w:pPr>
    </w:p>
    <w:p w:rsidR="00125F3F" w:rsidRPr="00BC3BF6" w:rsidRDefault="00125F3F" w:rsidP="00BC3BF6">
      <w:pPr>
        <w:spacing w:after="0" w:line="360" w:lineRule="auto"/>
        <w:ind w:firstLine="1134"/>
        <w:rPr>
          <w:rFonts w:ascii="Times New Roman" w:eastAsia="Arial" w:hAnsi="Times New Roman" w:cs="Times New Roman"/>
          <w:color w:val="000000"/>
          <w:sz w:val="24"/>
          <w:szCs w:val="24"/>
          <w:shd w:val="clear" w:color="auto" w:fill="FFFFFF"/>
        </w:rPr>
      </w:pPr>
      <w:r w:rsidRPr="00BC3BF6">
        <w:rPr>
          <w:rFonts w:ascii="Times New Roman" w:hAnsi="Times New Roman" w:cs="Times New Roman"/>
          <w:color w:val="000000"/>
          <w:sz w:val="24"/>
          <w:szCs w:val="24"/>
        </w:rPr>
        <w:t>A Presidência da República, no exercício de sua prerrogativa, atendendo à sugestões da Advocacia-Geral da União, vetou o art. 333 do Novo Código de Processo Civil, em cujas razões apresentadas foi alegado que:</w:t>
      </w:r>
    </w:p>
    <w:p w:rsidR="00125F3F" w:rsidRPr="00BC3BF6" w:rsidRDefault="00125F3F" w:rsidP="00BC3BF6">
      <w:pPr>
        <w:spacing w:after="0" w:line="360" w:lineRule="auto"/>
        <w:ind w:left="2264"/>
        <w:rPr>
          <w:rFonts w:ascii="Times New Roman" w:hAnsi="Times New Roman" w:cs="Times New Roman"/>
          <w:sz w:val="24"/>
          <w:szCs w:val="24"/>
        </w:rPr>
      </w:pPr>
      <w:r w:rsidRPr="00125F3F">
        <w:rPr>
          <w:rFonts w:ascii="Times New Roman" w:hAnsi="Times New Roman" w:cs="Times New Roman"/>
          <w:color w:val="000000"/>
          <w:sz w:val="20"/>
          <w:szCs w:val="20"/>
          <w:shd w:val="clear" w:color="auto" w:fill="FFFFFF"/>
        </w:rPr>
        <w:t xml:space="preserve">Da forma como foi redigido, o dispositivo poderia levar à conversão de ação individual em ação coletiva de maneira pouco criteriosa, inclusive em detrimento do interesse das partes. O tema exige disciplina própria para garantir a plena eficácia do instituto. Além disso, o novo Código já contempla mecanismos para tratar demandas repetitivas. No sentido do veto manifestou-se </w:t>
      </w:r>
      <w:r w:rsidRPr="00BC3BF6">
        <w:rPr>
          <w:rFonts w:ascii="Times New Roman" w:hAnsi="Times New Roman" w:cs="Times New Roman"/>
          <w:color w:val="000000"/>
          <w:sz w:val="24"/>
          <w:szCs w:val="24"/>
          <w:shd w:val="clear" w:color="auto" w:fill="FFFFFF"/>
        </w:rPr>
        <w:t>também a Ordem dos Advogados do Brasil - OAB.</w:t>
      </w:r>
    </w:p>
    <w:p w:rsidR="00125F3F" w:rsidRPr="00BC3BF6" w:rsidRDefault="00125F3F" w:rsidP="00BC3BF6">
      <w:pPr>
        <w:pStyle w:val="Corpodetexto"/>
        <w:spacing w:after="0" w:line="360" w:lineRule="auto"/>
        <w:ind w:firstLine="1129"/>
      </w:pPr>
      <w:r w:rsidRPr="00BC3BF6">
        <w:t xml:space="preserve">Em que pese constar da justificativa presidencial de veto o posicionamento favorável da </w:t>
      </w:r>
      <w:r w:rsidRPr="00BC3BF6">
        <w:lastRenderedPageBreak/>
        <w:t>Ordem dos Advogados do Brasil e da Advocacia Geral da União, considera-se que o veto presidencial pode ser entendido como a perda de oportunidade de enfrentamento do problema da fragmentação das Políticas Públicas pela judicialização atomizada de demandas incomunicáveis, propostas pelo jurisdicionado no escopo de lhe ser assegurado o exercício de direito fundamental.</w:t>
      </w:r>
    </w:p>
    <w:p w:rsidR="00125F3F" w:rsidRPr="00BC3BF6" w:rsidRDefault="00125F3F" w:rsidP="00BC3BF6">
      <w:pPr>
        <w:pStyle w:val="Corpodetexto"/>
        <w:spacing w:after="0" w:line="360" w:lineRule="auto"/>
        <w:ind w:firstLine="1129"/>
        <w:rPr>
          <w:rFonts w:eastAsia="TimesNewRomanPSMT"/>
          <w:color w:val="000000"/>
        </w:rPr>
      </w:pPr>
      <w:r w:rsidRPr="00BC3BF6">
        <w:t xml:space="preserve">A conversão seria norteada pelos </w:t>
      </w:r>
      <w:r w:rsidRPr="00BC3BF6">
        <w:rPr>
          <w:color w:val="000000"/>
        </w:rPr>
        <w:t>pressupostos da relevância social aferidos pelo critério de alcance da pretensão autoral para a tutela de bem jurídico difuso, verificados os interesses ou direitos difusos, entendidos por sua  configuração transindividual e natureza indivisível, titularizados por pessoas indeterminadas e ligadas por circunstâncias de fato;  ou coletivo, pela manifestação de interesses ou direitos coletivos, representados pelos atributos de transindividualidade e de natureza indivisível titularizados por grupo, categoria ou classe de pessoas ligadas entre si ou com a parte contrária por uma relação jurídica base</w:t>
      </w:r>
      <w:r w:rsidRPr="00BC3BF6">
        <w:rPr>
          <w:rStyle w:val="Refdenotaderodap"/>
          <w:color w:val="000000"/>
        </w:rPr>
        <w:footnoteReference w:id="3"/>
      </w:r>
      <w:r w:rsidRPr="00BC3BF6">
        <w:rPr>
          <w:color w:val="000000"/>
        </w:rPr>
        <w:t>.</w:t>
      </w:r>
    </w:p>
    <w:p w:rsidR="00125F3F" w:rsidRPr="00BC3BF6" w:rsidRDefault="00125F3F" w:rsidP="00BC3BF6">
      <w:pPr>
        <w:pStyle w:val="Corpodetexto"/>
        <w:spacing w:after="0" w:line="360" w:lineRule="auto"/>
        <w:ind w:firstLine="1129"/>
        <w:rPr>
          <w:rFonts w:eastAsia="TimesNewRomanPSMT"/>
          <w:b/>
          <w:bCs/>
          <w:color w:val="000000"/>
        </w:rPr>
      </w:pPr>
      <w:r w:rsidRPr="00BC3BF6">
        <w:rPr>
          <w:rFonts w:eastAsia="TimesNewRomanPSMT"/>
          <w:color w:val="000000"/>
        </w:rPr>
        <w:t xml:space="preserve">Mesmo um despretensioso olhar sobre o atual dilema da judicialização dos direitos sociais fundamentais, consideradas as soluções difíceis e penosos na compatibilização das dimensões dadas pelas particularidades em contraposição à universalidade, encontram-se situações disjuntivas a desafiar institucionalmente os operadores jurídicos, não apenas do Poder Judiciário mas também do Ministério Público, do ponto de vista da legitimidade de suas posições e proposições no trato dos interesses difusos e coletivos. </w:t>
      </w:r>
    </w:p>
    <w:p w:rsidR="00125F3F" w:rsidRPr="00125F3F" w:rsidRDefault="00125F3F" w:rsidP="00125F3F">
      <w:pPr>
        <w:pStyle w:val="Corpodetexto"/>
        <w:ind w:firstLine="1129"/>
        <w:rPr>
          <w:rFonts w:eastAsia="TimesNewRomanPSMT"/>
          <w:b/>
          <w:bCs/>
          <w:color w:val="000000"/>
        </w:rPr>
      </w:pPr>
    </w:p>
    <w:p w:rsidR="00125F3F" w:rsidRPr="00125F3F" w:rsidRDefault="009B7ABA" w:rsidP="00BC3BF6">
      <w:pPr>
        <w:spacing w:after="0" w:line="360" w:lineRule="auto"/>
        <w:ind w:firstLine="1134"/>
        <w:rPr>
          <w:rFonts w:ascii="Times New Roman" w:eastAsia="TimesNewRomanPSMT" w:hAnsi="Times New Roman" w:cs="Times New Roman"/>
          <w:b/>
          <w:bCs/>
          <w:color w:val="000000"/>
        </w:rPr>
      </w:pPr>
      <w:r>
        <w:rPr>
          <w:rFonts w:ascii="Times New Roman" w:hAnsi="Times New Roman" w:cs="Times New Roman"/>
          <w:b/>
          <w:bCs/>
          <w:color w:val="000000"/>
        </w:rPr>
        <w:t>III</w:t>
      </w:r>
      <w:r w:rsidR="00125F3F" w:rsidRPr="00125F3F">
        <w:rPr>
          <w:rFonts w:ascii="Times New Roman" w:hAnsi="Times New Roman" w:cs="Times New Roman"/>
          <w:b/>
          <w:bCs/>
          <w:color w:val="000000"/>
        </w:rPr>
        <w:t xml:space="preserve"> – DO MODELO PROCESSUAL INCORPORADO PELO NOVO CÓDIGO DE PROCESSO CIVIL</w:t>
      </w:r>
    </w:p>
    <w:p w:rsidR="00125F3F" w:rsidRPr="00125F3F" w:rsidRDefault="00125F3F" w:rsidP="00BC3BF6">
      <w:pPr>
        <w:pStyle w:val="Corpodetexto"/>
        <w:spacing w:after="0" w:line="360" w:lineRule="auto"/>
        <w:ind w:firstLine="1129"/>
        <w:rPr>
          <w:rFonts w:eastAsia="TimesNewRomanPSMT"/>
          <w:b/>
          <w:bCs/>
          <w:color w:val="000000"/>
        </w:rPr>
      </w:pPr>
    </w:p>
    <w:p w:rsidR="00125F3F" w:rsidRPr="00125F3F" w:rsidRDefault="00125F3F" w:rsidP="00BC3BF6">
      <w:pPr>
        <w:pStyle w:val="Corpodetexto"/>
        <w:spacing w:after="0" w:line="360" w:lineRule="auto"/>
        <w:ind w:firstLine="1129"/>
        <w:rPr>
          <w:rFonts w:eastAsia="TimesNewRomanPSMT"/>
          <w:color w:val="000000"/>
        </w:rPr>
      </w:pPr>
      <w:r w:rsidRPr="00125F3F">
        <w:rPr>
          <w:rFonts w:eastAsia="TimesNewRomanPSMT"/>
          <w:color w:val="000000"/>
        </w:rPr>
        <w:t>Nessa apreciação, convém visualizar o poder que o Estado possui de aplicar as normas jurídicas para a resolução dos conflitos de interesse. Dessa assertiva, resulta a compreensão de que ao Estado-Juiz compete o exercício da jurisdição, objetivando a manutenção da Ordem Jurídica por meio da  autoridade da lei.</w:t>
      </w:r>
    </w:p>
    <w:p w:rsidR="00125F3F" w:rsidRPr="00125F3F" w:rsidRDefault="00125F3F" w:rsidP="00BC3BF6">
      <w:pPr>
        <w:pStyle w:val="Corpodetexto"/>
        <w:spacing w:after="0" w:line="360" w:lineRule="auto"/>
        <w:ind w:firstLine="1129"/>
        <w:rPr>
          <w:rFonts w:eastAsia="TimesNewRomanPSMT"/>
          <w:color w:val="000000"/>
        </w:rPr>
      </w:pPr>
      <w:r w:rsidRPr="00125F3F">
        <w:rPr>
          <w:rFonts w:eastAsia="TimesNewRomanPSMT"/>
          <w:color w:val="000000"/>
        </w:rPr>
        <w:t>No momento histórico vivenciado pelo legislador ordinário produtor do novo Código de Processo Civil, encontram-se condições favoráveis ao entendimento de que o acesso à justiça não deve ser interpretado como a mera oportunidade de ingresso no Poder Judiciário com uma pretensão a ser dirimida.</w:t>
      </w:r>
    </w:p>
    <w:p w:rsidR="00125F3F" w:rsidRPr="00125F3F" w:rsidRDefault="00125F3F" w:rsidP="00BC3BF6">
      <w:pPr>
        <w:pStyle w:val="Corpodetexto"/>
        <w:spacing w:after="0" w:line="360" w:lineRule="auto"/>
        <w:ind w:firstLine="1129"/>
        <w:rPr>
          <w:rFonts w:eastAsia="TimesNewRomanPSMT"/>
          <w:color w:val="000000"/>
        </w:rPr>
      </w:pPr>
      <w:r w:rsidRPr="00125F3F">
        <w:rPr>
          <w:rFonts w:eastAsia="TimesNewRomanPSMT"/>
          <w:color w:val="000000"/>
        </w:rPr>
        <w:lastRenderedPageBreak/>
        <w:t>É muito mais! Encontram-se no seio da sociedade ecos do sentimento de que se anceia por um Ordenamento Jurídico em que os operadores institucionais encarregados da prestação jurisdicional se comprometam com resultados mais efetivos.</w:t>
      </w:r>
    </w:p>
    <w:p w:rsidR="00125F3F" w:rsidRPr="00125F3F" w:rsidRDefault="00125F3F" w:rsidP="00BC3BF6">
      <w:pPr>
        <w:pStyle w:val="Corpodetexto"/>
        <w:spacing w:after="0" w:line="360" w:lineRule="auto"/>
        <w:ind w:firstLine="1129"/>
        <w:rPr>
          <w:rFonts w:eastAsia="TimesNewRomanPSMT"/>
          <w:color w:val="000000"/>
        </w:rPr>
      </w:pPr>
      <w:r w:rsidRPr="00125F3F">
        <w:rPr>
          <w:rFonts w:eastAsia="TimesNewRomanPSMT"/>
          <w:color w:val="000000"/>
        </w:rPr>
        <w:t>Vale dizer que, embora se situe no campo da utopia uma verdadeira Ordem Jurídica justa, a sociedade clama por uma prestação jurisdicional que, de certo modo, atenda às pretensões de solução dos conflitos sociais em circunstâncias de razoável administração dos fatores que dizem respeito ao tempo, modo, custo, efetividade e eficiência na prestação jurisdicional.</w:t>
      </w:r>
    </w:p>
    <w:p w:rsidR="00125F3F" w:rsidRDefault="00125F3F" w:rsidP="00BC3BF6">
      <w:pPr>
        <w:pStyle w:val="Corpodetexto"/>
        <w:spacing w:after="0" w:line="360" w:lineRule="auto"/>
        <w:ind w:firstLine="1129"/>
        <w:rPr>
          <w:rFonts w:eastAsia="TimesNewRomanPSMT"/>
          <w:color w:val="000000"/>
        </w:rPr>
      </w:pPr>
      <w:r w:rsidRPr="00125F3F">
        <w:rPr>
          <w:rFonts w:eastAsia="TimesNewRomanPSMT"/>
          <w:color w:val="000000"/>
        </w:rPr>
        <w:t xml:space="preserve">Cuida-se de uma empreitada ambiciosa que, nos ensinamentos de KAZUO WATANABE: </w:t>
      </w:r>
    </w:p>
    <w:p w:rsidR="00BC3BF6" w:rsidRPr="00BC3BF6" w:rsidRDefault="00BC3BF6" w:rsidP="00BC3BF6">
      <w:pPr>
        <w:pStyle w:val="Corpodetexto"/>
        <w:spacing w:after="0" w:line="360" w:lineRule="auto"/>
        <w:ind w:firstLine="1129"/>
        <w:rPr>
          <w:rFonts w:eastAsia="TimesNewRomanPSMT"/>
          <w:color w:val="000000"/>
          <w:sz w:val="20"/>
          <w:szCs w:val="20"/>
        </w:rPr>
      </w:pPr>
    </w:p>
    <w:p w:rsidR="00125F3F" w:rsidRPr="00BC3BF6" w:rsidRDefault="00125F3F" w:rsidP="00125F3F">
      <w:pPr>
        <w:pStyle w:val="Corpodetexto"/>
        <w:ind w:left="2257" w:firstLine="0"/>
        <w:rPr>
          <w:rFonts w:eastAsia="TimesNewRomanPSMT"/>
          <w:color w:val="000000"/>
          <w:sz w:val="20"/>
          <w:szCs w:val="20"/>
        </w:rPr>
      </w:pPr>
      <w:r w:rsidRPr="00BC3BF6">
        <w:rPr>
          <w:rFonts w:eastAsia="TimesNewRomanPSMT"/>
          <w:color w:val="000000"/>
          <w:sz w:val="20"/>
          <w:szCs w:val="20"/>
        </w:rPr>
        <w:t>Não se trata apenas de possibilitar o acesso à Justiça, enquanto instituição estatal, e sim de viabilizar o acesso à ordem jurídica justa. Uma empreitada assim ambiciosa requer, antes de mais nada, uma nova postura mental. Deve-se pensar na ordem jurídica e nas respectivas instituições, pela perspectiva do consumidor, ou seja, do destinatário das normas jurídicas, que é o povo, de sorte que o acesso à Justiça traz à tona não apenas um programa de reforma como também um método de pensamento, como com acerto acentua Mauro Cappelletti. (...) São seus elementos constitutivos: a) o direito de acesso à Justiça é, fundamentalmente, direito de acesso à ordem jurídica justa; b) são dados elementares desse direito: (1) o direito à informação e perfeito conhecimento do direito substancial e à organização de pesquisa permanente a cargo de especialistas e ostentada à aferição constante da adequação entre a ordem jurídica e a realidade sócio-econômica do país; (2) direito de acesso à justiça adequadamente organizada e formada por juízes inseridos na realidade social e comprometidos com o objetivo de realização da ordem jurídica justa; (3) direito à preordenação dos instrumentos processuais capazes de promover a efetiva tutela de direitos; (4) direito à remoção de todos os obstáculos que se anteponham ao acesso efetivo à Justiça com tais características.</w:t>
      </w:r>
      <w:r w:rsidRPr="00BC3BF6">
        <w:rPr>
          <w:rStyle w:val="Refdenotaderodap"/>
          <w:rFonts w:eastAsia="TimesNewRomanPSMT"/>
          <w:color w:val="000000"/>
          <w:sz w:val="20"/>
          <w:szCs w:val="20"/>
        </w:rPr>
        <w:footnoteReference w:id="4"/>
      </w:r>
    </w:p>
    <w:p w:rsidR="00BC3BF6" w:rsidRDefault="00BC3BF6" w:rsidP="00125F3F">
      <w:pPr>
        <w:pStyle w:val="Corpodetexto"/>
        <w:ind w:firstLine="1143"/>
        <w:rPr>
          <w:rFonts w:eastAsia="TimesNewRomanPSMT"/>
          <w:color w:val="000000"/>
        </w:rPr>
      </w:pPr>
    </w:p>
    <w:p w:rsidR="00125F3F" w:rsidRPr="00125F3F" w:rsidRDefault="00125F3F" w:rsidP="00BC3BF6">
      <w:pPr>
        <w:pStyle w:val="Corpodetexto"/>
        <w:spacing w:after="0" w:line="360" w:lineRule="auto"/>
        <w:ind w:firstLine="1143"/>
        <w:rPr>
          <w:rFonts w:eastAsia="TimesNewRomanPSMT"/>
          <w:color w:val="000000"/>
        </w:rPr>
      </w:pPr>
      <w:r w:rsidRPr="00125F3F">
        <w:rPr>
          <w:rFonts w:eastAsia="TimesNewRomanPSMT"/>
          <w:color w:val="000000"/>
        </w:rPr>
        <w:t xml:space="preserve">Resta dizer que o legislador, ao acolher as diversas contribuições dos juristas que se debruçaram na elaboração dos estudos que serviram de referencial ao código Projetado e, agora, sancionado, compreendeu o sentimento da sociedade ao estabelecer regramento no novo Código Processual Civil, apresentando a problemática do acesso à justiça pela contemplação de valores, que se refletem em direitos, para  possibilitar o acesso à uma Ordem Jurídica justa. </w:t>
      </w:r>
    </w:p>
    <w:p w:rsidR="00125F3F" w:rsidRPr="00125F3F" w:rsidRDefault="00125F3F" w:rsidP="00BC3BF6">
      <w:pPr>
        <w:pStyle w:val="Corpodetexto"/>
        <w:spacing w:after="0" w:line="360" w:lineRule="auto"/>
        <w:ind w:firstLine="1129"/>
        <w:rPr>
          <w:rFonts w:eastAsia="TimesNewRomanPSMT"/>
          <w:color w:val="000000"/>
        </w:rPr>
      </w:pPr>
      <w:r w:rsidRPr="00125F3F">
        <w:rPr>
          <w:rFonts w:eastAsia="TimesNewRomanPSMT"/>
          <w:color w:val="000000"/>
        </w:rPr>
        <w:t>O processo civil será ordenado, disciplinado e interpretado de acordo com os valores  e normas fundamentais estabelecidos  na Constituição da República Federativa do Brasil é o que preceitua o art. 1º do novo Código de Processo Civil.</w:t>
      </w:r>
    </w:p>
    <w:p w:rsidR="00125F3F" w:rsidRPr="00125F3F" w:rsidRDefault="00125F3F" w:rsidP="00BC3BF6">
      <w:pPr>
        <w:pStyle w:val="Corpodetexto"/>
        <w:spacing w:after="0" w:line="360" w:lineRule="auto"/>
        <w:ind w:firstLine="1129"/>
        <w:rPr>
          <w:color w:val="000000"/>
        </w:rPr>
      </w:pPr>
      <w:r w:rsidRPr="00125F3F">
        <w:rPr>
          <w:rFonts w:eastAsia="TimesNewRomanPSMT"/>
          <w:color w:val="000000"/>
        </w:rPr>
        <w:t>Não se pode perder a oportunidade de classificar o novo Código de Procedimentos como pretensioso, pois se ousa dar efetividade aos valores da cidadania, d</w:t>
      </w:r>
      <w:r w:rsidRPr="00125F3F">
        <w:rPr>
          <w:color w:val="000000"/>
        </w:rPr>
        <w:t>a dignidade da pessoa humana, dos valores sociais do trabalho e da livre iniciativa.</w:t>
      </w:r>
    </w:p>
    <w:p w:rsidR="00125F3F" w:rsidRPr="00125F3F" w:rsidRDefault="00125F3F" w:rsidP="00BC3BF6">
      <w:pPr>
        <w:pStyle w:val="Corpodetexto"/>
        <w:spacing w:after="0" w:line="360" w:lineRule="auto"/>
        <w:ind w:firstLine="1129"/>
        <w:rPr>
          <w:rFonts w:eastAsia="TimesNewRomanPSMT"/>
          <w:color w:val="000000"/>
        </w:rPr>
      </w:pPr>
      <w:r w:rsidRPr="00125F3F">
        <w:rPr>
          <w:color w:val="000000"/>
        </w:rPr>
        <w:lastRenderedPageBreak/>
        <w:t xml:space="preserve">Os operadores do novo código têm a responsabilidade de se posicionarem no sentido de velar pela solução dos conflitos de forma que os objetivos fundamentais da República Federativa do Brasil sejam perseguidos para o seu alcance quanto à efetiva construção de uma sociedade justa e solidária com o enfrentamento das desigualdades, </w:t>
      </w:r>
      <w:r w:rsidRPr="00125F3F">
        <w:rPr>
          <w:rFonts w:eastAsia="TimesNewRomanPSMT"/>
          <w:color w:val="000000"/>
        </w:rPr>
        <w:t>assegurando-se o exercício dos direitos sociais e individuais fundamentais.</w:t>
      </w:r>
    </w:p>
    <w:p w:rsidR="00125F3F" w:rsidRPr="00125F3F" w:rsidRDefault="00125F3F" w:rsidP="00BC3BF6">
      <w:pPr>
        <w:pStyle w:val="Corpodetexto"/>
        <w:spacing w:after="0" w:line="360" w:lineRule="auto"/>
        <w:ind w:firstLine="1129"/>
        <w:rPr>
          <w:rFonts w:eastAsia="TimesNewRomanPSMT"/>
          <w:color w:val="000000"/>
        </w:rPr>
      </w:pPr>
      <w:r w:rsidRPr="00125F3F">
        <w:rPr>
          <w:rFonts w:eastAsia="TimesNewRomanPSMT"/>
          <w:color w:val="000000"/>
        </w:rPr>
        <w:t>Ora, senhores operadores, o direcionamento da prestação jurisdicional na esfera da garantia dos direitos sociais fundamentais pode mudar com a efetividade dos preceitos insculpidos nos arts. 4º e 6º do novo Código de Conduta Processual</w:t>
      </w:r>
      <w:r w:rsidRPr="00125F3F">
        <w:rPr>
          <w:rStyle w:val="Refdenotaderodap"/>
          <w:rFonts w:eastAsia="TimesNewRomanPSMT"/>
          <w:color w:val="000000"/>
        </w:rPr>
        <w:footnoteReference w:id="5"/>
      </w:r>
      <w:r w:rsidRPr="00125F3F">
        <w:rPr>
          <w:rFonts w:eastAsia="TimesNewRomanPSMT"/>
          <w:color w:val="000000"/>
        </w:rPr>
        <w:t xml:space="preserve"> em combinação com o art. 3º, §§ 2º e 3º, do novo Código</w:t>
      </w:r>
      <w:r w:rsidRPr="00125F3F">
        <w:rPr>
          <w:rStyle w:val="Refdenotaderodap"/>
          <w:rFonts w:eastAsia="TimesNewRomanPSMT"/>
          <w:color w:val="000000"/>
        </w:rPr>
        <w:footnoteReference w:id="6"/>
      </w:r>
      <w:r w:rsidRPr="00125F3F">
        <w:rPr>
          <w:rFonts w:eastAsia="TimesNewRomanPSMT"/>
          <w:color w:val="000000"/>
        </w:rPr>
        <w:t xml:space="preserve"> pelo qual se estimula a resolução dos conflitos de forma dialogada, tendo como referencial os limites e possibilidades dados pelo art. 8º da nova Lei Processual</w:t>
      </w:r>
      <w:r w:rsidRPr="00125F3F">
        <w:rPr>
          <w:rStyle w:val="Refdenotaderodap"/>
          <w:rFonts w:eastAsia="TimesNewRomanPSMT"/>
          <w:color w:val="000000"/>
        </w:rPr>
        <w:footnoteReference w:id="7"/>
      </w:r>
      <w:r w:rsidRPr="00125F3F">
        <w:rPr>
          <w:rFonts w:eastAsia="TimesNewRomanPSMT"/>
          <w:color w:val="000000"/>
        </w:rPr>
        <w:t xml:space="preserve"> para aplicação do ordenamento jurídico, objetivando alcançar os fins sociais e as condições favoráveis ao estabelecimento do bem comum.</w:t>
      </w:r>
    </w:p>
    <w:p w:rsidR="00125F3F" w:rsidRPr="00125F3F" w:rsidRDefault="00125F3F" w:rsidP="00BC3BF6">
      <w:pPr>
        <w:pStyle w:val="Corpodetexto"/>
        <w:spacing w:after="0" w:line="360" w:lineRule="auto"/>
        <w:ind w:firstLine="1129"/>
        <w:rPr>
          <w:rFonts w:eastAsia="TimesNewRomanPSMT"/>
          <w:color w:val="000000"/>
        </w:rPr>
      </w:pPr>
      <w:r w:rsidRPr="00125F3F">
        <w:rPr>
          <w:rFonts w:eastAsia="TimesNewRomanPSMT"/>
          <w:color w:val="000000"/>
        </w:rPr>
        <w:t>Assim desenhadas as bases do modelo processual cooperativo e dialogal estabelecido pelo novo Código de Procedimentos, vale imaginar que, no início, não será fácil para os operadores jurídicos do processo se libertarem das amarras constituídas pelo formalismo excessivo que atualmente está arraigado na cultura das práticas judiciárias que distanciam as partes e os operadores envolvidos na dinâmica do feito processual.</w:t>
      </w:r>
    </w:p>
    <w:p w:rsidR="00125F3F" w:rsidRPr="00125F3F" w:rsidRDefault="00125F3F" w:rsidP="00BC3BF6">
      <w:pPr>
        <w:pStyle w:val="Corpodetexto"/>
        <w:spacing w:after="0" w:line="360" w:lineRule="auto"/>
        <w:ind w:firstLine="1129"/>
        <w:rPr>
          <w:rFonts w:eastAsia="TimesNewRomanPSMT"/>
          <w:color w:val="000000"/>
        </w:rPr>
      </w:pPr>
      <w:r w:rsidRPr="00125F3F">
        <w:rPr>
          <w:rFonts w:eastAsia="TimesNewRomanPSMT"/>
          <w:color w:val="000000"/>
        </w:rPr>
        <w:t xml:space="preserve">Contudo, superadas as dificuldades de adaptação, o </w:t>
      </w:r>
      <w:r w:rsidRPr="00125F3F">
        <w:rPr>
          <w:rFonts w:eastAsia="TimesNewRomanPSMT"/>
          <w:i/>
          <w:iCs/>
          <w:color w:val="000000"/>
        </w:rPr>
        <w:t xml:space="preserve"> modus operandi </w:t>
      </w:r>
      <w:r w:rsidRPr="00125F3F">
        <w:rPr>
          <w:rFonts w:eastAsia="TimesNewRomanPSMT"/>
          <w:color w:val="000000"/>
        </w:rPr>
        <w:t>de condução  das estratégias de resolução dos conflitos pela cooperação e diálogo produzirá bons frutos na garantia dos direitos sociais fundamentais.</w:t>
      </w:r>
    </w:p>
    <w:p w:rsidR="00125F3F" w:rsidRPr="00125F3F" w:rsidRDefault="00125F3F" w:rsidP="00BC3BF6">
      <w:pPr>
        <w:pStyle w:val="Corpodetexto"/>
        <w:spacing w:after="0" w:line="360" w:lineRule="auto"/>
        <w:ind w:firstLine="1129"/>
        <w:rPr>
          <w:rFonts w:eastAsia="TimesNewRomanPSMT"/>
          <w:color w:val="000000"/>
        </w:rPr>
      </w:pPr>
      <w:r w:rsidRPr="00125F3F">
        <w:rPr>
          <w:rFonts w:eastAsia="TimesNewRomanPSMT"/>
          <w:color w:val="000000"/>
        </w:rPr>
        <w:t xml:space="preserve">Se hoje em dia o processo é constituído como sendo uma imensa e intransponível barreira entre as partes, que impossibilita o diálogo e estimula e intensifica a litigiosidade pelas inúmeras providências operadas durante a dinâmica processual, o alvorecer do modelo processual cooperativo e dialogal erigido na formatação do novo Código de Conduta processual faz produzir a expectativa de novos </w:t>
      </w:r>
      <w:r w:rsidRPr="00125F3F">
        <w:rPr>
          <w:rFonts w:eastAsia="TimesNewRomanPSMT"/>
          <w:color w:val="000000"/>
        </w:rPr>
        <w:lastRenderedPageBreak/>
        <w:t>horizontes, em que se permite acreditar em resolução de conflitos na esfera da garantia dos direitos sociais fundamentais por meio de deliberações do Estado-juiz que considere os efeitos das ações individuais na totalidade da Política Pública em que está inclusa a pretensão do jurisdicionado litigante.</w:t>
      </w:r>
    </w:p>
    <w:p w:rsidR="00125F3F" w:rsidRPr="00125F3F" w:rsidRDefault="00125F3F" w:rsidP="00BC3BF6">
      <w:pPr>
        <w:pStyle w:val="Corpodetexto"/>
        <w:spacing w:after="0" w:line="360" w:lineRule="auto"/>
        <w:ind w:firstLine="1129"/>
        <w:rPr>
          <w:rFonts w:eastAsia="TimesNewRomanPSMT"/>
          <w:color w:val="000000"/>
        </w:rPr>
      </w:pPr>
      <w:r w:rsidRPr="00125F3F">
        <w:rPr>
          <w:rFonts w:eastAsia="TimesNewRomanPSMT"/>
          <w:color w:val="000000"/>
        </w:rPr>
        <w:t>Durante as fases conciliatórias que são apresentadas como regra, ressalvada a exceção de desistência por ambas as partes</w:t>
      </w:r>
      <w:r w:rsidRPr="00125F3F">
        <w:rPr>
          <w:rStyle w:val="Refdenotaderodap"/>
          <w:rFonts w:eastAsia="TimesNewRomanPSMT"/>
          <w:color w:val="000000"/>
        </w:rPr>
        <w:footnoteReference w:id="8"/>
      </w:r>
      <w:r w:rsidRPr="00125F3F">
        <w:rPr>
          <w:rFonts w:eastAsia="TimesNewRomanPSMT"/>
          <w:color w:val="000000"/>
        </w:rPr>
        <w:t>, que se constitui como requisito de condução do novo Código Processual, vide art. 234</w:t>
      </w:r>
      <w:r w:rsidRPr="00125F3F">
        <w:rPr>
          <w:rStyle w:val="Refdenotaderodap"/>
          <w:rFonts w:eastAsia="TimesNewRomanPSMT"/>
          <w:color w:val="000000"/>
        </w:rPr>
        <w:footnoteReference w:id="9"/>
      </w:r>
      <w:r w:rsidRPr="00125F3F">
        <w:rPr>
          <w:rFonts w:eastAsia="TimesNewRomanPSMT"/>
          <w:color w:val="000000"/>
        </w:rPr>
        <w:t>, os pontos de litigiosidade serão trabalhados pelos operadores e pelas próprias partes no sentido de sua elisão.</w:t>
      </w:r>
    </w:p>
    <w:p w:rsidR="00125F3F" w:rsidRPr="00125F3F" w:rsidRDefault="00125F3F" w:rsidP="00BC3BF6">
      <w:pPr>
        <w:pStyle w:val="Corpodetexto"/>
        <w:spacing w:after="0" w:line="360" w:lineRule="auto"/>
        <w:ind w:firstLine="1129"/>
        <w:rPr>
          <w:rFonts w:eastAsia="TimesNewRomanPSMT"/>
          <w:color w:val="000000"/>
        </w:rPr>
      </w:pPr>
      <w:r w:rsidRPr="00125F3F">
        <w:rPr>
          <w:rFonts w:eastAsia="TimesNewRomanPSMT"/>
          <w:color w:val="000000"/>
        </w:rPr>
        <w:t>Contudo, no âmbito da resolução dos litígios pertinentes aos direitos sociais fundamentais, em que se acham existentes a ações individuais repetitivas, por meio da instauração de incidente de resolução de demandas repetitivas é possível a realização de audiência pública</w:t>
      </w:r>
      <w:r w:rsidRPr="00125F3F">
        <w:rPr>
          <w:rStyle w:val="Refdenotaderodap"/>
          <w:rFonts w:eastAsia="TimesNewRomanPSMT"/>
          <w:color w:val="000000"/>
        </w:rPr>
        <w:footnoteReference w:id="10"/>
      </w:r>
      <w:r w:rsidRPr="00125F3F">
        <w:rPr>
          <w:rFonts w:eastAsia="TimesNewRomanPSMT"/>
          <w:color w:val="000000"/>
        </w:rPr>
        <w:t>, em que se pode ouvir depoimentos de pessoas com experiência e conhecimento na matéria, ou seja, podem ser ouvidos os profissionais que estão envolvidos na prática da Política Pública respectiva, com o fito de realizar a instrução do feito processual a ser julgado.</w:t>
      </w:r>
    </w:p>
    <w:p w:rsidR="00125F3F" w:rsidRPr="00125F3F" w:rsidRDefault="00125F3F" w:rsidP="00BC3BF6">
      <w:pPr>
        <w:pStyle w:val="Corpodetexto"/>
        <w:spacing w:after="0" w:line="360" w:lineRule="auto"/>
        <w:ind w:firstLine="1129"/>
        <w:rPr>
          <w:rFonts w:eastAsia="TimesNewRomanPSMT"/>
          <w:color w:val="000000"/>
        </w:rPr>
      </w:pPr>
      <w:r w:rsidRPr="00125F3F">
        <w:rPr>
          <w:rFonts w:eastAsia="TimesNewRomanPSMT"/>
          <w:color w:val="000000"/>
        </w:rPr>
        <w:t>Enfim e de qualquer sorte, a Entidade gestora da Política Pública é parte envolvida no litígio, certamente terá o dever de apresentar as razões que qualificam o problema da implementação da Política Pública, em que o jurisdicionado esteja sendo prejudicado no atendimento de suas pretensões.</w:t>
      </w:r>
    </w:p>
    <w:p w:rsidR="00125F3F" w:rsidRPr="00125F3F" w:rsidRDefault="00125F3F" w:rsidP="00BC3BF6">
      <w:pPr>
        <w:pStyle w:val="Corpodetexto"/>
        <w:spacing w:after="0" w:line="360" w:lineRule="auto"/>
        <w:ind w:firstLine="1129"/>
        <w:rPr>
          <w:rFonts w:eastAsia="TimesNewRomanPSMT"/>
          <w:color w:val="000000"/>
        </w:rPr>
      </w:pPr>
      <w:r w:rsidRPr="00125F3F">
        <w:rPr>
          <w:rFonts w:eastAsia="TimesNewRomanPSMT"/>
          <w:color w:val="000000"/>
        </w:rPr>
        <w:t xml:space="preserve">Enquanto hoje em dia o gestor da Entidade Federativa usa [e até abusa] a estratégia de adiar o problema empurrando os ônus financeiros decorrentes da violação do direito social para as futuras gestões </w:t>
      </w:r>
      <w:r w:rsidRPr="00125F3F">
        <w:rPr>
          <w:rFonts w:eastAsia="TimesNewRomanPSMT"/>
          <w:color w:val="000000"/>
        </w:rPr>
        <w:lastRenderedPageBreak/>
        <w:t>[e gerações], até mesmo descumprindo decisões judiciais, ciente de que a morosidade judiciária lhe possibilitará o encerramento do mandato sem o enfrentamento do problema, o modelo processual cooperativo e dialogal permite que as partes envolvidas e os operadores jurídicos do feito sentem-se à mesa redonda e realizem o diálogo, sendo este o ponto de partida para a cooperação das partes para a resolução do conflito.</w:t>
      </w:r>
    </w:p>
    <w:p w:rsidR="00125F3F" w:rsidRPr="00125F3F" w:rsidRDefault="00125F3F" w:rsidP="00BC3BF6">
      <w:pPr>
        <w:pStyle w:val="Corpodetexto"/>
        <w:spacing w:after="0" w:line="360" w:lineRule="auto"/>
        <w:ind w:firstLine="1129"/>
        <w:rPr>
          <w:rFonts w:eastAsia="Arial"/>
          <w:color w:val="000000"/>
        </w:rPr>
      </w:pPr>
      <w:r w:rsidRPr="00125F3F">
        <w:rPr>
          <w:rFonts w:eastAsia="TimesNewRomanPSMT"/>
          <w:color w:val="000000"/>
        </w:rPr>
        <w:t>Chama-se à atenção sobre as peculiaridades de que os direitos sociais fundamentais enquanto totalidade [ou, na lógica dialética hegeliana, uma universidade que se pode contrapor-se às particularidades] são a própria Política Pública, razão por que o atendimento dos fins sociais e das exigências do bem comum, na aplicação do ordenamento jurídico pelo magistrado vai exigir que se considerem os impactos na própria Política Pública questionada.</w:t>
      </w:r>
    </w:p>
    <w:p w:rsidR="00125F3F" w:rsidRPr="00125F3F" w:rsidRDefault="00125F3F" w:rsidP="00BC3BF6">
      <w:pPr>
        <w:pStyle w:val="Corpodetexto"/>
        <w:spacing w:after="0" w:line="360" w:lineRule="auto"/>
        <w:ind w:firstLine="1129"/>
        <w:rPr>
          <w:rFonts w:eastAsia="TimesNewRomanPSMT"/>
          <w:color w:val="000000"/>
        </w:rPr>
      </w:pPr>
      <w:r w:rsidRPr="00125F3F">
        <w:rPr>
          <w:rFonts w:eastAsia="Arial"/>
          <w:color w:val="000000"/>
        </w:rPr>
        <w:t xml:space="preserve"> </w:t>
      </w:r>
      <w:r w:rsidRPr="00125F3F">
        <w:rPr>
          <w:rFonts w:eastAsia="TimesNewRomanPSMT"/>
          <w:color w:val="000000"/>
        </w:rPr>
        <w:t xml:space="preserve">Nessa vertente dialética, a lógica adotada pelo juiz deverá atender às pretensões do jurisdicionado, resguardando-se e promovendo-se a sua dignidade enquanto pessoa humana em observância aos princípios da proporcionalidade, da razoabilidade e da eficiência da própria Política Pública em sua totalidade universal, embora necessariamente apreciada como particularidade na demanda atomizada.  </w:t>
      </w:r>
    </w:p>
    <w:p w:rsidR="00125F3F" w:rsidRPr="00125F3F" w:rsidRDefault="00125F3F" w:rsidP="00BC3BF6">
      <w:pPr>
        <w:pStyle w:val="Corpodetexto"/>
        <w:spacing w:after="0" w:line="360" w:lineRule="auto"/>
        <w:ind w:firstLine="1129"/>
        <w:rPr>
          <w:rFonts w:eastAsia="TimesNewRomanPSMT"/>
          <w:color w:val="000000"/>
        </w:rPr>
      </w:pPr>
      <w:r w:rsidRPr="00125F3F">
        <w:rPr>
          <w:rFonts w:eastAsia="TimesNewRomanPSMT"/>
          <w:color w:val="000000"/>
        </w:rPr>
        <w:t xml:space="preserve">É necessário reconhecer que, à medida em que se superam os obstáculos do </w:t>
      </w:r>
      <w:r w:rsidRPr="00125F3F">
        <w:rPr>
          <w:rFonts w:eastAsia="TimesNewRomanPSMT"/>
          <w:i/>
          <w:iCs/>
          <w:color w:val="000000"/>
        </w:rPr>
        <w:t>habitus</w:t>
      </w:r>
      <w:r w:rsidRPr="00125F3F">
        <w:rPr>
          <w:rStyle w:val="Refdenotaderodap"/>
          <w:rFonts w:eastAsia="TimesNewRomanPSMT"/>
          <w:i/>
          <w:iCs/>
          <w:color w:val="000000"/>
        </w:rPr>
        <w:footnoteReference w:id="11"/>
      </w:r>
      <w:r w:rsidRPr="00125F3F">
        <w:rPr>
          <w:rFonts w:eastAsia="TimesNewRomanPSMT"/>
          <w:i/>
          <w:iCs/>
          <w:color w:val="000000"/>
        </w:rPr>
        <w:t xml:space="preserve"> </w:t>
      </w:r>
      <w:r w:rsidRPr="00125F3F">
        <w:rPr>
          <w:rFonts w:eastAsia="TimesNewRomanPSMT"/>
          <w:color w:val="000000"/>
        </w:rPr>
        <w:t>que se estabeleceu com Código de 1973, a impregnação valorativa e principiológica constitutiva do modelo processual cooperativo e dialogal é favorável à aplicação do ordenamento jurídico para a realização de um controle jurisdicional de polícias públicas mais efetivo, pois, ao recobrar dos operadores o compromisso com a principiologia e a axiologia estabelecida na Carta Constitucional de 1988, a resolução dos litígios que envolvem as garantias dos direitos sociais fundamentais deverá ser por meio de decisão de mérito justa e efetiva, que contemple a coletividade, tida em sua universalidade de pretensões, com o devido tempero dos princípios da proporcionalidade e da razoabilidade para o atendimento dos direitos sociais fundamentais particularizados na pretensão reclamada pelos jurisdicionados.</w:t>
      </w:r>
    </w:p>
    <w:p w:rsidR="00125F3F" w:rsidRPr="00125F3F" w:rsidRDefault="00125F3F" w:rsidP="00BC3BF6">
      <w:pPr>
        <w:pStyle w:val="Corpodetexto"/>
        <w:spacing w:after="0" w:line="360" w:lineRule="auto"/>
        <w:ind w:firstLine="1129"/>
        <w:rPr>
          <w:rFonts w:eastAsia="TimesNewRomanPSMT"/>
          <w:color w:val="000000"/>
        </w:rPr>
      </w:pPr>
      <w:r w:rsidRPr="00125F3F">
        <w:rPr>
          <w:rFonts w:eastAsia="TimesNewRomanPSMT"/>
          <w:color w:val="000000"/>
        </w:rPr>
        <w:t>Isso tudo, enquanto dinâmica cooperativa e prática de diálogo, talhadas no Código de Processo Civil de 2015, não pode ser visto como conflitivo, em alguma medida, com a exigência constitucional, legal e social da razoável duração do processo, eis que o diálogo encurta caminhos, mormente quando são ouvidos os anseios dos sujeitos interessados (partes e operadores).</w:t>
      </w:r>
    </w:p>
    <w:p w:rsidR="00125F3F" w:rsidRPr="00125F3F" w:rsidRDefault="00125F3F" w:rsidP="00BC3BF6">
      <w:pPr>
        <w:pStyle w:val="Corpodetexto"/>
        <w:spacing w:after="0" w:line="360" w:lineRule="auto"/>
        <w:ind w:firstLine="1129"/>
        <w:rPr>
          <w:rFonts w:eastAsia="TimesNewRomanPSMT"/>
          <w:color w:val="333333"/>
          <w:shd w:val="clear" w:color="auto" w:fill="FFFFFF"/>
        </w:rPr>
      </w:pPr>
      <w:r w:rsidRPr="00125F3F">
        <w:rPr>
          <w:rFonts w:eastAsia="TimesNewRomanPSMT"/>
          <w:color w:val="000000"/>
        </w:rPr>
        <w:t xml:space="preserve">Não se deve ter a ilusão de que seja fácil trabalhar com a ferramenta do diálogo, pois, para se chegar às fases da cooperação e da resolução da controvérsia, será necessário o enfrentamento dos </w:t>
      </w:r>
      <w:r w:rsidRPr="00125F3F">
        <w:rPr>
          <w:rFonts w:eastAsia="TimesNewRomanPSMT"/>
          <w:color w:val="000000"/>
        </w:rPr>
        <w:lastRenderedPageBreak/>
        <w:t>conflitos propostos.</w:t>
      </w:r>
    </w:p>
    <w:p w:rsidR="00125F3F" w:rsidRPr="00125F3F" w:rsidRDefault="00125F3F" w:rsidP="00BC3BF6">
      <w:pPr>
        <w:pStyle w:val="Corpodetexto"/>
        <w:spacing w:after="0" w:line="360" w:lineRule="auto"/>
        <w:ind w:firstLine="1129"/>
      </w:pPr>
      <w:r w:rsidRPr="00125F3F">
        <w:rPr>
          <w:rFonts w:eastAsia="TimesNewRomanPSMT"/>
          <w:color w:val="333333"/>
          <w:shd w:val="clear" w:color="auto" w:fill="FFFFFF"/>
        </w:rPr>
        <w:t>O Código de Processo Civil de 2015, à medida em que seja conhecido e reconhecido como  referencial de mudança de paradigmas, será capaz de reduzir o tempo de duração do procedimento civil, dando cumprimento à garantia constitucional da razoável duração do processo, mesmo que as partes não venham a se conciliarem sempre, pois o procedimento cooperativo que ganha corpo no decorrer do diálogo incentivado e implementado pelos operadores permitirá ao Poder Judiciário valorar o mérito dos direitos sociais fundamentais em suas particularidades e universalidade.</w:t>
      </w:r>
    </w:p>
    <w:p w:rsidR="00125F3F" w:rsidRPr="00125F3F" w:rsidRDefault="00125F3F" w:rsidP="00BC3BF6">
      <w:pPr>
        <w:pStyle w:val="Corpodetexto"/>
        <w:spacing w:after="0" w:line="360" w:lineRule="auto"/>
        <w:ind w:firstLine="1129"/>
      </w:pPr>
    </w:p>
    <w:p w:rsidR="00125F3F" w:rsidRPr="00125F3F" w:rsidRDefault="00125F3F" w:rsidP="00BC3BF6">
      <w:pPr>
        <w:pStyle w:val="Corpodetexto"/>
        <w:spacing w:after="0" w:line="360" w:lineRule="auto"/>
        <w:ind w:firstLine="1129"/>
        <w:rPr>
          <w:rFonts w:eastAsia="TimesNewRomanPSMT"/>
          <w:color w:val="333333"/>
          <w:shd w:val="clear" w:color="auto" w:fill="FFFFFF"/>
        </w:rPr>
      </w:pPr>
      <w:r w:rsidRPr="00125F3F">
        <w:rPr>
          <w:rFonts w:eastAsia="TimesNewRomanPSMT"/>
          <w:color w:val="333333"/>
          <w:shd w:val="clear" w:color="auto" w:fill="FFFFFF"/>
        </w:rPr>
        <w:t>Propostas as demandas individuais, o natural efeito multiplicador decorrente da Política Pública desatualizada ou implementada de maneira incompleta, possibilitará, no contexto do surgimento das ações repetitivas, a aplicação das disposições legais dos arts. 976 a 987 do  Código de Processo Civil de 2015, o que permitirá dar maior agilidade ao processo civil.</w:t>
      </w:r>
    </w:p>
    <w:p w:rsidR="00125F3F" w:rsidRPr="00125F3F" w:rsidRDefault="00125F3F" w:rsidP="00BC3BF6">
      <w:pPr>
        <w:pStyle w:val="Corpodetexto"/>
        <w:spacing w:after="0" w:line="360" w:lineRule="auto"/>
        <w:ind w:firstLine="1129"/>
        <w:rPr>
          <w:rFonts w:eastAsia="TimesNewRomanPSMT"/>
          <w:color w:val="000000"/>
          <w:shd w:val="clear" w:color="auto" w:fill="FFFFFF"/>
        </w:rPr>
      </w:pPr>
      <w:r w:rsidRPr="00125F3F">
        <w:rPr>
          <w:rFonts w:eastAsia="TimesNewRomanPSMT"/>
          <w:color w:val="333333"/>
          <w:shd w:val="clear" w:color="auto" w:fill="FFFFFF"/>
        </w:rPr>
        <w:t xml:space="preserve">Observe-se o quanto de controvérsia resultaria na tramitação isolada e instrução das demandas multiplicadas e repetitivas. A técnica processual denominada </w:t>
      </w:r>
      <w:r w:rsidRPr="00125F3F">
        <w:rPr>
          <w:rFonts w:eastAsia="TimesNewRomanPSMT"/>
          <w:color w:val="000000"/>
          <w:shd w:val="clear" w:color="auto" w:fill="FFFFFF"/>
        </w:rPr>
        <w:t>incidente de resolução de demandas repetitivas otimiza a prestação jurisdicional e apresenta reflexos animadores que irão demonstrar a ocorrência de abreviação do tempo de tramitação processual.</w:t>
      </w:r>
    </w:p>
    <w:p w:rsidR="00125F3F" w:rsidRPr="00125F3F" w:rsidRDefault="00125F3F" w:rsidP="00BC3BF6">
      <w:pPr>
        <w:pStyle w:val="Corpodetexto"/>
        <w:spacing w:after="0" w:line="360" w:lineRule="auto"/>
        <w:ind w:firstLine="1129"/>
        <w:rPr>
          <w:rFonts w:eastAsia="TimesNewRomanPSMT"/>
          <w:color w:val="000000"/>
          <w:shd w:val="clear" w:color="auto" w:fill="FFFFFF"/>
        </w:rPr>
      </w:pPr>
      <w:r w:rsidRPr="00125F3F">
        <w:rPr>
          <w:rFonts w:eastAsia="TimesNewRomanPSMT"/>
          <w:color w:val="000000"/>
          <w:shd w:val="clear" w:color="auto" w:fill="FFFFFF"/>
        </w:rPr>
        <w:t>Dirimido o incidente de resolução de demandas repetitivas, serão superadas as controvérsias propostas nas demandas atomizadas, resultando em prestação jurisdicional mais célere, em um aspecto.</w:t>
      </w:r>
    </w:p>
    <w:p w:rsidR="00125F3F" w:rsidRPr="00125F3F" w:rsidRDefault="00125F3F" w:rsidP="00BC3BF6">
      <w:pPr>
        <w:pStyle w:val="Corpodetexto"/>
        <w:spacing w:after="0" w:line="360" w:lineRule="auto"/>
        <w:ind w:firstLine="1129"/>
        <w:rPr>
          <w:rFonts w:eastAsia="TimesNewRomanPSMT"/>
          <w:color w:val="333333"/>
          <w:shd w:val="clear" w:color="auto" w:fill="FFFFFF"/>
        </w:rPr>
      </w:pPr>
      <w:r w:rsidRPr="00125F3F">
        <w:rPr>
          <w:rFonts w:eastAsia="TimesNewRomanPSMT"/>
          <w:color w:val="000000"/>
          <w:shd w:val="clear" w:color="auto" w:fill="FFFFFF"/>
        </w:rPr>
        <w:t xml:space="preserve">Por outro ângulo, as disposições contidas nos  </w:t>
      </w:r>
      <w:r w:rsidRPr="00125F3F">
        <w:rPr>
          <w:rFonts w:eastAsia="TimesNewRomanPSMT"/>
          <w:color w:val="333333"/>
          <w:shd w:val="clear" w:color="auto" w:fill="FFFFFF"/>
        </w:rPr>
        <w:t>arts. 976 a 987 irão irradiar reflexos positivos no conjunto da prestação jurisdicional, pois o incidente de resolução demandas repetitivas também evitará que seja provocado o congestionamento das Unidades do Poder Judiciário pela tramitação concomitante das demandas repetitivas, o que poderá resultar em ganho de qualidade na abreviação do tempo de tramitação dos processos judiciais como um todo.</w:t>
      </w:r>
    </w:p>
    <w:p w:rsidR="00125F3F" w:rsidRPr="00125F3F" w:rsidRDefault="00125F3F" w:rsidP="00BC3BF6">
      <w:pPr>
        <w:pStyle w:val="Corpodetexto"/>
        <w:spacing w:after="0" w:line="360" w:lineRule="auto"/>
        <w:ind w:firstLine="1129"/>
      </w:pPr>
      <w:r w:rsidRPr="00125F3F">
        <w:rPr>
          <w:rFonts w:eastAsia="TimesNewRomanPSMT"/>
          <w:color w:val="333333"/>
          <w:shd w:val="clear" w:color="auto" w:fill="FFFFFF"/>
        </w:rPr>
        <w:t xml:space="preserve">Ao se verificar o efetivo resultado do incidente de resolução de demandas com a efetivação de </w:t>
      </w:r>
      <w:r w:rsidRPr="00125F3F">
        <w:rPr>
          <w:rFonts w:eastAsia="TimesNewRomanPSMT"/>
          <w:color w:val="000000"/>
          <w:shd w:val="clear" w:color="auto" w:fill="FFFFFF"/>
        </w:rPr>
        <w:t>segurança jurídica na prestação jurisdicional, por intermédio d</w:t>
      </w:r>
      <w:r w:rsidRPr="00125F3F">
        <w:rPr>
          <w:rFonts w:eastAsia="TimesNewRomanPSMT"/>
          <w:color w:val="333333"/>
          <w:shd w:val="clear" w:color="auto" w:fill="FFFFFF"/>
        </w:rPr>
        <w:t xml:space="preserve">o afastamento de </w:t>
      </w:r>
      <w:r w:rsidRPr="00125F3F">
        <w:rPr>
          <w:color w:val="000000"/>
        </w:rPr>
        <w:t>ofensa à isonomia que inevitavelmente ocorreria se inexistisse a técnica processual de referido incidente, irão crescer os indicadores de efetividade e eficiência da prestação jurisdicional que irão se refletir na redução do tempo de duração da tramitação dos processos de cada Unidade do Poder Judiciário.</w:t>
      </w:r>
    </w:p>
    <w:p w:rsidR="00125F3F" w:rsidRDefault="00125F3F" w:rsidP="00125F3F">
      <w:pPr>
        <w:pStyle w:val="Corpodetexto"/>
        <w:widowControl/>
      </w:pPr>
    </w:p>
    <w:p w:rsidR="009B7ABA" w:rsidRPr="00125F3F" w:rsidRDefault="009B7ABA" w:rsidP="00125F3F">
      <w:pPr>
        <w:pStyle w:val="Corpodetexto"/>
        <w:widowControl/>
      </w:pPr>
    </w:p>
    <w:p w:rsidR="00125F3F" w:rsidRPr="00125F3F" w:rsidRDefault="00125F3F" w:rsidP="00125F3F">
      <w:pPr>
        <w:pStyle w:val="Corpodetexto"/>
        <w:widowControl/>
      </w:pPr>
    </w:p>
    <w:p w:rsidR="00125F3F" w:rsidRPr="004B63F4" w:rsidRDefault="004B63F4" w:rsidP="009B7ABA">
      <w:pPr>
        <w:spacing w:after="0" w:line="360" w:lineRule="auto"/>
        <w:ind w:firstLine="1134"/>
        <w:rPr>
          <w:rFonts w:ascii="Times New Roman" w:hAnsi="Times New Roman" w:cs="Times New Roman"/>
          <w:b/>
          <w:bCs/>
          <w:color w:val="000000"/>
          <w:sz w:val="24"/>
          <w:szCs w:val="24"/>
        </w:rPr>
      </w:pPr>
      <w:bookmarkStart w:id="0" w:name="_GoBack"/>
      <w:r w:rsidRPr="004B63F4">
        <w:rPr>
          <w:rFonts w:ascii="Times New Roman" w:eastAsia="TimesNewRomanPSMT" w:hAnsi="Times New Roman" w:cs="Times New Roman"/>
          <w:b/>
          <w:color w:val="000000"/>
          <w:sz w:val="24"/>
          <w:szCs w:val="24"/>
        </w:rPr>
        <w:lastRenderedPageBreak/>
        <w:t>CONCLUSÃO</w:t>
      </w:r>
    </w:p>
    <w:bookmarkEnd w:id="0"/>
    <w:p w:rsidR="00125F3F" w:rsidRPr="009B7ABA" w:rsidRDefault="00125F3F" w:rsidP="009B7ABA">
      <w:pPr>
        <w:spacing w:after="0" w:line="360" w:lineRule="auto"/>
        <w:ind w:firstLine="1134"/>
        <w:rPr>
          <w:rFonts w:ascii="Times New Roman" w:hAnsi="Times New Roman" w:cs="Times New Roman"/>
          <w:b/>
          <w:bCs/>
          <w:color w:val="000000"/>
          <w:sz w:val="24"/>
          <w:szCs w:val="24"/>
        </w:rPr>
      </w:pPr>
    </w:p>
    <w:p w:rsidR="00125F3F" w:rsidRPr="009B7ABA" w:rsidRDefault="00125F3F" w:rsidP="009B7ABA">
      <w:pPr>
        <w:pStyle w:val="Corpodetexto"/>
        <w:spacing w:after="0" w:line="360" w:lineRule="auto"/>
        <w:ind w:firstLine="1129"/>
        <w:rPr>
          <w:color w:val="000000"/>
        </w:rPr>
      </w:pPr>
      <w:r w:rsidRPr="009B7ABA">
        <w:rPr>
          <w:rFonts w:eastAsia="TimesNewRomanPSMT"/>
          <w:color w:val="000000"/>
        </w:rPr>
        <w:t>Os operadores jurídicos, na incorporação das novas práticas processuais trazidas pelo modelo processual dialogal e cooperativo, irão incorporar o perfil de verdadeiros sujeitos das políticas políticas na medida em que aproveitam o espaço constituído pelo diálogo para vocalização das diversas vertentes da controvérsia do direito social fundamental em questionamento.</w:t>
      </w:r>
    </w:p>
    <w:p w:rsidR="00125F3F" w:rsidRPr="009B7ABA" w:rsidRDefault="00125F3F" w:rsidP="009B7ABA">
      <w:pPr>
        <w:pStyle w:val="Corpodetexto"/>
        <w:spacing w:after="0" w:line="360" w:lineRule="auto"/>
        <w:ind w:firstLine="1129"/>
        <w:rPr>
          <w:color w:val="000000"/>
        </w:rPr>
      </w:pPr>
      <w:r w:rsidRPr="009B7ABA">
        <w:rPr>
          <w:color w:val="000000"/>
        </w:rPr>
        <w:t xml:space="preserve">Observados os limites e as possibilidades da situação controvertida, em sendo viabilizada a apresentação dos pontos de vista divergentes, algum consenso poderá surgir ainda que pela própria inexistência de transação. </w:t>
      </w:r>
    </w:p>
    <w:p w:rsidR="00125F3F" w:rsidRPr="009B7ABA" w:rsidRDefault="00125F3F" w:rsidP="009B7ABA">
      <w:pPr>
        <w:pStyle w:val="Corpodetexto"/>
        <w:spacing w:after="0" w:line="360" w:lineRule="auto"/>
        <w:ind w:firstLine="1129"/>
        <w:rPr>
          <w:color w:val="000000"/>
        </w:rPr>
      </w:pPr>
      <w:r w:rsidRPr="009B7ABA">
        <w:rPr>
          <w:color w:val="000000"/>
        </w:rPr>
        <w:t>Em todo o contexto do esforço de realização do diálogo é que surge a cooperação que nem sempre deve ser interpretada como plenitude de consenso e encerramento do litígio por estabelecimento de acordo entre as partes litigantes.</w:t>
      </w:r>
    </w:p>
    <w:p w:rsidR="00125F3F" w:rsidRPr="009B7ABA" w:rsidRDefault="00125F3F" w:rsidP="009B7ABA">
      <w:pPr>
        <w:pStyle w:val="Corpodetexto"/>
        <w:spacing w:after="0" w:line="360" w:lineRule="auto"/>
        <w:ind w:firstLine="1129"/>
        <w:rPr>
          <w:color w:val="000000"/>
        </w:rPr>
      </w:pPr>
      <w:r w:rsidRPr="009B7ABA">
        <w:rPr>
          <w:color w:val="000000"/>
        </w:rPr>
        <w:t>O ato de estar dialogando significa a demonstração de uma ação que se classifica como trabalhar junto com outro ou outros litigantes para uma finalidade de atingir um objetivo comum que é a resolução do conflito de interesses. Portanto em qualquer contexto, a atitude de dialogar já representa em si mesma uma postura de cooperação, pois já sentaram-se à mesa.</w:t>
      </w:r>
    </w:p>
    <w:p w:rsidR="00125F3F" w:rsidRPr="009B7ABA" w:rsidRDefault="00125F3F" w:rsidP="009B7ABA">
      <w:pPr>
        <w:pStyle w:val="Corpodetexto"/>
        <w:spacing w:after="0" w:line="360" w:lineRule="auto"/>
        <w:ind w:firstLine="1129"/>
        <w:rPr>
          <w:color w:val="000000"/>
        </w:rPr>
      </w:pPr>
      <w:r w:rsidRPr="009B7ABA">
        <w:rPr>
          <w:color w:val="000000"/>
        </w:rPr>
        <w:t xml:space="preserve">Contudo, mesmo se o diálogo não produzir o resultado almejado de encerramento dos litígios, a ação conjunta de estar dialogando deverá produzir o efeito de melhor ser conhecido o objeto litigioso. </w:t>
      </w:r>
    </w:p>
    <w:p w:rsidR="00125F3F" w:rsidRPr="009B7ABA" w:rsidRDefault="00125F3F" w:rsidP="009B7ABA">
      <w:pPr>
        <w:pStyle w:val="Corpodetexto"/>
        <w:spacing w:after="0" w:line="360" w:lineRule="auto"/>
        <w:ind w:firstLine="1129"/>
        <w:rPr>
          <w:rFonts w:eastAsia="TimesNewRomanPSMT"/>
          <w:color w:val="000000"/>
        </w:rPr>
      </w:pPr>
      <w:r w:rsidRPr="009B7ABA">
        <w:rPr>
          <w:color w:val="000000"/>
        </w:rPr>
        <w:t xml:space="preserve">Assim, a cooperação é fenômeno que se formata pela construção do conhecimento acerca do objeto trabalhado no diálogo, </w:t>
      </w:r>
      <w:r w:rsidRPr="009B7ABA">
        <w:rPr>
          <w:rFonts w:eastAsia="TimesNewRomanPSMT"/>
          <w:color w:val="000000"/>
        </w:rPr>
        <w:t>o que, por si mesmo, será revelado como estimulo à resolução dos conflitos de interesse. Desse modo, é legítima a expectativa de resolução de conflitos  envolventes dos direitos sociais fundamentais por meio de providências que considerem os efeitos e consequências na totalidade da Política Pública em que está inclusa a pretensão do jurisdicionado.</w:t>
      </w:r>
    </w:p>
    <w:p w:rsidR="00125F3F" w:rsidRPr="009B7ABA" w:rsidRDefault="00125F3F" w:rsidP="009B7ABA">
      <w:pPr>
        <w:pStyle w:val="Corpodetexto"/>
        <w:spacing w:after="0" w:line="360" w:lineRule="auto"/>
        <w:ind w:firstLine="1129"/>
        <w:rPr>
          <w:rFonts w:eastAsia="TimesNewRomanPSMT"/>
          <w:color w:val="000000"/>
        </w:rPr>
      </w:pPr>
      <w:r w:rsidRPr="009B7ABA">
        <w:rPr>
          <w:rFonts w:eastAsia="TimesNewRomanPSMT"/>
          <w:color w:val="000000"/>
        </w:rPr>
        <w:t>Quando se dialoga, a tendência é do interlocutor se imaginar na posição do outro, é de compreender, ainda que minimamente, como o outro está se sentindo, em face do conflito instaurado.</w:t>
      </w:r>
    </w:p>
    <w:p w:rsidR="00125F3F" w:rsidRPr="009B7ABA" w:rsidRDefault="00125F3F" w:rsidP="009B7ABA">
      <w:pPr>
        <w:pStyle w:val="Corpodetexto"/>
        <w:spacing w:after="0" w:line="360" w:lineRule="auto"/>
        <w:ind w:firstLine="1129"/>
        <w:rPr>
          <w:rFonts w:eastAsia="TimesNewRomanPSMT"/>
          <w:color w:val="000000"/>
        </w:rPr>
      </w:pPr>
      <w:r w:rsidRPr="009B7ABA">
        <w:rPr>
          <w:rFonts w:eastAsia="TimesNewRomanPSMT"/>
          <w:color w:val="000000"/>
        </w:rPr>
        <w:t xml:space="preserve">Nesse cenário, na medida em que o gestor da Política Pública responsável pela implementação do direito social fundamental sente no jurisdicionado as consequências da ausência ou incompletude do serviço público reclamado, o próprio jurisdicionado pode ser conduzido a compreender que o direito social fundamental, enquanto Política Pública pautada no princípio da universalidade, é destinado para si e para os demais indivíduos que se encontram nas condições semelhantes. Por isso, irá entender que o atendimento de sua pretensão necessitará estar em sintonia com a Política Pública em sua totalidade, </w:t>
      </w:r>
      <w:r w:rsidRPr="009B7ABA">
        <w:rPr>
          <w:rFonts w:eastAsia="TimesNewRomanPSMT"/>
          <w:color w:val="000000"/>
        </w:rPr>
        <w:lastRenderedPageBreak/>
        <w:t>podendo daí em diante a própria política pública resultar em aperfeiçoamento para o benefício da coletividade como uma totalidade.</w:t>
      </w:r>
    </w:p>
    <w:p w:rsidR="00125F3F" w:rsidRPr="009B7ABA" w:rsidRDefault="00125F3F" w:rsidP="009B7ABA">
      <w:pPr>
        <w:pStyle w:val="Corpodetexto"/>
        <w:spacing w:after="0" w:line="360" w:lineRule="auto"/>
        <w:ind w:firstLine="1129"/>
        <w:sectPr w:rsidR="00125F3F" w:rsidRPr="009B7ABA">
          <w:headerReference w:type="default" r:id="rId8"/>
          <w:footerReference w:type="default" r:id="rId9"/>
          <w:pgSz w:w="12240" w:h="15840"/>
          <w:pgMar w:top="1440" w:right="1077" w:bottom="1440" w:left="1077" w:header="720" w:footer="720" w:gutter="0"/>
          <w:cols w:space="720"/>
          <w:docGrid w:linePitch="360"/>
        </w:sectPr>
      </w:pPr>
      <w:r w:rsidRPr="009B7ABA">
        <w:rPr>
          <w:rFonts w:eastAsia="TimesNewRomanPSMT"/>
          <w:color w:val="000000"/>
        </w:rPr>
        <w:t>Certamente, isso deverá refletir não apenas na abreviação do tempo de tramitação de ações judiciais instauradas, mas também poderá evitar o surgimento de milhares de outras demandas com o mesmo objeto.</w:t>
      </w:r>
    </w:p>
    <w:p w:rsidR="00125F3F" w:rsidRPr="00125F3F" w:rsidRDefault="00125F3F" w:rsidP="00125F3F">
      <w:pPr>
        <w:pStyle w:val="Ttulo1"/>
        <w:rPr>
          <w:rFonts w:ascii="Times New Roman" w:hAnsi="Times New Roman" w:cs="Times New Roman"/>
        </w:rPr>
      </w:pPr>
    </w:p>
    <w:p w:rsidR="00125F3F" w:rsidRPr="00125F3F" w:rsidRDefault="00125F3F" w:rsidP="009B7ABA">
      <w:pPr>
        <w:pStyle w:val="Ttulo1"/>
        <w:jc w:val="center"/>
        <w:rPr>
          <w:rFonts w:ascii="Times New Roman" w:hAnsi="Times New Roman" w:cs="Times New Roman"/>
        </w:rPr>
      </w:pPr>
      <w:r w:rsidRPr="00125F3F">
        <w:rPr>
          <w:rFonts w:ascii="Times New Roman" w:hAnsi="Times New Roman" w:cs="Times New Roman"/>
        </w:rPr>
        <w:t>REFERÊNCIAS</w:t>
      </w:r>
    </w:p>
    <w:p w:rsidR="00125F3F" w:rsidRPr="00125F3F" w:rsidRDefault="00125F3F" w:rsidP="00125F3F">
      <w:pPr>
        <w:pStyle w:val="Ttulo1"/>
        <w:rPr>
          <w:rFonts w:ascii="Times New Roman" w:hAnsi="Times New Roman" w:cs="Times New Roman"/>
        </w:rPr>
      </w:pPr>
    </w:p>
    <w:p w:rsidR="00125F3F" w:rsidRPr="009B7ABA" w:rsidRDefault="00125F3F" w:rsidP="009B7ABA">
      <w:pPr>
        <w:widowControl w:val="0"/>
        <w:suppressAutoHyphens/>
        <w:spacing w:after="120" w:line="240" w:lineRule="auto"/>
        <w:rPr>
          <w:rFonts w:ascii="Times New Roman" w:hAnsi="Times New Roman" w:cs="Times New Roman"/>
          <w:smallCaps/>
        </w:rPr>
      </w:pPr>
      <w:r w:rsidRPr="009B7ABA">
        <w:rPr>
          <w:rFonts w:ascii="Times New Roman" w:hAnsi="Times New Roman" w:cs="Times New Roman"/>
        </w:rPr>
        <w:t>BOURDIEU, Pierre. O poder simbólico. 8. ed. Rio de Janeiro: Bertrand Brasil, 2005.</w:t>
      </w:r>
    </w:p>
    <w:p w:rsidR="00125F3F" w:rsidRPr="009B7ABA" w:rsidRDefault="00125F3F" w:rsidP="009B7ABA">
      <w:pPr>
        <w:pStyle w:val="Corpodetexto"/>
        <w:ind w:firstLine="0"/>
        <w:jc w:val="left"/>
      </w:pPr>
      <w:bookmarkStart w:id="1" w:name="yui_3_17_2_2_1445547232798_151"/>
      <w:bookmarkStart w:id="2" w:name="yui_3_17_2_2_1445547232798_152"/>
      <w:bookmarkEnd w:id="1"/>
      <w:bookmarkEnd w:id="2"/>
      <w:r w:rsidRPr="009B7ABA">
        <w:rPr>
          <w:smallCaps/>
        </w:rPr>
        <w:t xml:space="preserve">BUENO, </w:t>
      </w:r>
      <w:r w:rsidRPr="009B7ABA">
        <w:t xml:space="preserve">Cássio Scarpinella. </w:t>
      </w:r>
      <w:r w:rsidRPr="009B7ABA">
        <w:rPr>
          <w:i/>
        </w:rPr>
        <w:t xml:space="preserve">Novo código de processo civil anotado. </w:t>
      </w:r>
      <w:r w:rsidRPr="009B7ABA">
        <w:t>São Paulo: Saraiva, 2015, pp. 17-39.</w:t>
      </w:r>
    </w:p>
    <w:p w:rsidR="00125F3F" w:rsidRPr="009B7ABA" w:rsidRDefault="00125F3F" w:rsidP="009B7ABA">
      <w:pPr>
        <w:widowControl w:val="0"/>
        <w:suppressAutoHyphens/>
        <w:spacing w:after="120" w:line="240" w:lineRule="auto"/>
        <w:rPr>
          <w:rFonts w:ascii="Times New Roman" w:hAnsi="Times New Roman" w:cs="Times New Roman"/>
        </w:rPr>
      </w:pPr>
      <w:r w:rsidRPr="009B7ABA">
        <w:rPr>
          <w:rFonts w:ascii="Times New Roman" w:hAnsi="Times New Roman" w:cs="Times New Roman"/>
        </w:rPr>
        <w:t xml:space="preserve">COSTA, Susana Henriques. A imediata judicialização dos direitos fundamentais sociais e o mínimo existencial. Relação Direito e Processo. In: MENDES, Aluisio Gonçalves de Castro; WAMBIER, Teresa Arruda Alvim. (Org.). </w:t>
      </w:r>
      <w:r w:rsidRPr="009B7ABA">
        <w:rPr>
          <w:rFonts w:ascii="Times New Roman" w:hAnsi="Times New Roman" w:cs="Times New Roman"/>
          <w:i/>
        </w:rPr>
        <w:t>O processo em perspectiva. Jornadas Brasileiras de Direito Processual</w:t>
      </w:r>
      <w:r w:rsidRPr="009B7ABA">
        <w:rPr>
          <w:rFonts w:ascii="Times New Roman" w:hAnsi="Times New Roman" w:cs="Times New Roman"/>
        </w:rPr>
        <w:t xml:space="preserve">. 1 ed. São Paulo: Revista dos Tribunais, 2013, p. 345-370. </w:t>
      </w:r>
    </w:p>
    <w:p w:rsidR="00125F3F" w:rsidRPr="009B7ABA" w:rsidRDefault="00125F3F" w:rsidP="009B7ABA">
      <w:pPr>
        <w:widowControl w:val="0"/>
        <w:suppressAutoHyphens/>
        <w:spacing w:after="120" w:line="240" w:lineRule="auto"/>
        <w:rPr>
          <w:rFonts w:ascii="Times New Roman" w:hAnsi="Times New Roman" w:cs="Times New Roman"/>
        </w:rPr>
      </w:pPr>
      <w:r w:rsidRPr="009B7ABA">
        <w:rPr>
          <w:rFonts w:ascii="Times New Roman" w:hAnsi="Times New Roman" w:cs="Times New Roman"/>
        </w:rPr>
        <w:t>HEGEL, Georg Wilhelm Friederich. Princípios da filosofia do direito. 2. ed. São Paulo: IV, Fontes, 1976.</w:t>
      </w:r>
    </w:p>
    <w:p w:rsidR="00125F3F" w:rsidRPr="009B7ABA" w:rsidRDefault="00125F3F" w:rsidP="009B7ABA">
      <w:pPr>
        <w:widowControl w:val="0"/>
        <w:suppressAutoHyphens/>
        <w:spacing w:after="120" w:line="240" w:lineRule="auto"/>
        <w:rPr>
          <w:rFonts w:ascii="Times New Roman" w:hAnsi="Times New Roman" w:cs="Times New Roman"/>
        </w:rPr>
      </w:pPr>
      <w:r w:rsidRPr="009B7ABA">
        <w:rPr>
          <w:rFonts w:ascii="Times New Roman" w:hAnsi="Times New Roman" w:cs="Times New Roman"/>
        </w:rPr>
        <w:t xml:space="preserve">MADRUGA, Eduardo. </w:t>
      </w:r>
      <w:hyperlink r:id="rId10" w:anchor="_blank" w:history="1">
        <w:r w:rsidRPr="009B7ABA">
          <w:rPr>
            <w:rStyle w:val="Hyperlink"/>
            <w:rFonts w:ascii="Times New Roman" w:hAnsi="Times New Roman" w:cs="Times New Roman"/>
            <w:color w:val="auto"/>
            <w:u w:val="none"/>
          </w:rPr>
          <w:t>O princípio da cooperação na vertente consulta no projeto de novo CPC</w:t>
        </w:r>
      </w:hyperlink>
      <w:r w:rsidRPr="009B7ABA">
        <w:rPr>
          <w:rFonts w:ascii="Times New Roman" w:hAnsi="Times New Roman" w:cs="Times New Roman"/>
        </w:rPr>
        <w:t xml:space="preserve">. Revista Jus Navigandi, Teresina, ano 19, n. 4142, 3 nov. 2014. Disponível em: &lt;http://jus.com.br/artigos/30676&gt;. Acesso em: 27 set. 2015. </w:t>
      </w:r>
    </w:p>
    <w:p w:rsidR="00125F3F" w:rsidRPr="009B7ABA" w:rsidRDefault="00125F3F" w:rsidP="009B7ABA">
      <w:pPr>
        <w:pStyle w:val="References"/>
        <w:numPr>
          <w:ilvl w:val="0"/>
          <w:numId w:val="0"/>
        </w:numPr>
        <w:jc w:val="left"/>
      </w:pPr>
      <w:r w:rsidRPr="009B7ABA">
        <w:t xml:space="preserve">WATANABE, Kazuo. Acesso à justiça e sociedade moderna. Participação e processo. São Paulo: Revista dos Tribunais, 1988. </w:t>
      </w:r>
    </w:p>
    <w:p w:rsidR="00125F3F" w:rsidRPr="009B7ABA" w:rsidRDefault="00125F3F" w:rsidP="009B7ABA">
      <w:pPr>
        <w:rPr>
          <w:rFonts w:ascii="Times New Roman" w:hAnsi="Times New Roman" w:cs="Times New Roman"/>
        </w:rPr>
      </w:pPr>
    </w:p>
    <w:p w:rsidR="00125F3F" w:rsidRPr="009B7ABA" w:rsidRDefault="00125F3F" w:rsidP="009B7ABA">
      <w:pPr>
        <w:rPr>
          <w:rFonts w:ascii="Times New Roman" w:hAnsi="Times New Roman" w:cs="Times New Roman"/>
        </w:rPr>
      </w:pPr>
      <w:bookmarkStart w:id="3" w:name="art3%252525C2%252525A72"/>
      <w:bookmarkStart w:id="4" w:name="art334%252525C2%252525A74i"/>
      <w:bookmarkStart w:id="5" w:name="art334%252525C2%252525A74ii"/>
      <w:bookmarkStart w:id="6" w:name="art983%252525C2%252525A71"/>
      <w:bookmarkEnd w:id="3"/>
      <w:bookmarkEnd w:id="4"/>
      <w:bookmarkEnd w:id="5"/>
      <w:bookmarkEnd w:id="6"/>
    </w:p>
    <w:p w:rsidR="00EA20E0" w:rsidRPr="00125F3F" w:rsidRDefault="00EA20E0" w:rsidP="00125F3F">
      <w:pPr>
        <w:spacing w:line="360" w:lineRule="auto"/>
        <w:jc w:val="both"/>
        <w:rPr>
          <w:rFonts w:ascii="Times New Roman" w:hAnsi="Times New Roman" w:cs="Times New Roman"/>
          <w:b/>
        </w:rPr>
      </w:pPr>
    </w:p>
    <w:sectPr w:rsidR="00EA20E0" w:rsidRPr="00125F3F" w:rsidSect="00467DCF">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B17" w:rsidRDefault="007A3B17" w:rsidP="00791943">
      <w:pPr>
        <w:spacing w:after="0" w:line="240" w:lineRule="auto"/>
      </w:pPr>
      <w:r>
        <w:separator/>
      </w:r>
    </w:p>
  </w:endnote>
  <w:endnote w:type="continuationSeparator" w:id="0">
    <w:p w:rsidR="007A3B17" w:rsidRDefault="007A3B17" w:rsidP="00791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F3F" w:rsidRDefault="00125F3F">
    <w:pPr>
      <w:pStyle w:val="Rodap"/>
    </w:pPr>
    <w:r>
      <w:tab/>
    </w:r>
    <w:r>
      <w:rPr>
        <w:rStyle w:val="Nmerodepgina"/>
      </w:rPr>
      <w:fldChar w:fldCharType="begin"/>
    </w:r>
    <w:r>
      <w:rPr>
        <w:rStyle w:val="Nmerodepgina"/>
      </w:rPr>
      <w:instrText xml:space="preserve"> PAGE </w:instrText>
    </w:r>
    <w:r>
      <w:rPr>
        <w:rStyle w:val="Nmerodepgina"/>
      </w:rPr>
      <w:fldChar w:fldCharType="separate"/>
    </w:r>
    <w:r w:rsidR="004B63F4">
      <w:rPr>
        <w:rStyle w:val="Nmerodepgina"/>
        <w:noProof/>
      </w:rPr>
      <w:t>14</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B17" w:rsidRDefault="007A3B17" w:rsidP="00791943">
      <w:pPr>
        <w:spacing w:after="0" w:line="240" w:lineRule="auto"/>
      </w:pPr>
      <w:r>
        <w:separator/>
      </w:r>
    </w:p>
  </w:footnote>
  <w:footnote w:type="continuationSeparator" w:id="0">
    <w:p w:rsidR="007A3B17" w:rsidRDefault="007A3B17" w:rsidP="00791943">
      <w:pPr>
        <w:spacing w:after="0" w:line="240" w:lineRule="auto"/>
      </w:pPr>
      <w:r>
        <w:continuationSeparator/>
      </w:r>
    </w:p>
  </w:footnote>
  <w:footnote w:id="1">
    <w:p w:rsidR="00125F3F" w:rsidRDefault="00125F3F">
      <w:pPr>
        <w:pStyle w:val="Textodenotaderodap"/>
      </w:pPr>
      <w:r>
        <w:rPr>
          <w:rStyle w:val="Refdenotaderodap"/>
        </w:rPr>
        <w:footnoteRef/>
      </w:r>
      <w:r>
        <w:t xml:space="preserve"> Prmotor de Justiça, Mestre em Políticas Públicas</w:t>
      </w:r>
    </w:p>
  </w:footnote>
  <w:footnote w:id="2">
    <w:p w:rsidR="00E6094F" w:rsidRPr="00450DD5" w:rsidRDefault="00E6094F" w:rsidP="00791943">
      <w:pPr>
        <w:pStyle w:val="Textodenotaderodap"/>
        <w:rPr>
          <w:rFonts w:ascii="Times New Roman" w:hAnsi="Times New Roman" w:cs="Times New Roman"/>
        </w:rPr>
      </w:pPr>
      <w:r w:rsidRPr="00450DD5">
        <w:rPr>
          <w:rStyle w:val="Refdenotaderodap"/>
          <w:rFonts w:ascii="Times New Roman" w:hAnsi="Times New Roman" w:cs="Times New Roman"/>
        </w:rPr>
        <w:footnoteRef/>
      </w:r>
      <w:r w:rsidRPr="00450DD5">
        <w:rPr>
          <w:rFonts w:ascii="Times New Roman" w:hAnsi="Times New Roman" w:cs="Times New Roman"/>
        </w:rPr>
        <w:t xml:space="preserve"> Alunos do 6° Período noturno do Curso de Direito, da UNDB.</w:t>
      </w:r>
    </w:p>
  </w:footnote>
  <w:footnote w:id="3">
    <w:p w:rsidR="00125F3F" w:rsidRDefault="00125F3F" w:rsidP="00125F3F">
      <w:pPr>
        <w:pStyle w:val="Textodenotaderodap"/>
        <w:ind w:left="336" w:hanging="200"/>
      </w:pPr>
      <w:r>
        <w:rPr>
          <w:rStyle w:val="Caracteresdenotaderodap"/>
          <w:rFonts w:ascii="Arial" w:hAnsi="Arial"/>
        </w:rPr>
        <w:footnoteRef/>
      </w:r>
      <w:r>
        <w:rPr>
          <w:rFonts w:ascii="Arial" w:hAnsi="Arial" w:cs="Arial"/>
        </w:rPr>
        <w:tab/>
        <w:t>Conceituação de interesses difusos e coletivos inspirados no preceito inscrito no art. 81 , Parágrafo Único, incisos I e II, do Código de Defesa do Consumidor (</w:t>
      </w:r>
      <w:r>
        <w:rPr>
          <w:rFonts w:ascii="Arial" w:hAnsi="Arial" w:cs="Arial"/>
          <w:color w:val="000000"/>
        </w:rPr>
        <w:t>Lei n</w:t>
      </w:r>
      <w:r>
        <w:rPr>
          <w:rFonts w:ascii="Arial" w:hAnsi="Arial" w:cs="Arial"/>
          <w:color w:val="000000"/>
          <w:position w:val="7"/>
          <w:u w:val="single"/>
        </w:rPr>
        <w:t>o</w:t>
      </w:r>
      <w:r>
        <w:rPr>
          <w:rFonts w:ascii="Arial" w:hAnsi="Arial" w:cs="Arial"/>
          <w:color w:val="000000"/>
        </w:rPr>
        <w:t> 8.078/1990</w:t>
      </w:r>
      <w:r>
        <w:rPr>
          <w:rFonts w:ascii="Arial" w:hAnsi="Arial" w:cs="Arial"/>
        </w:rPr>
        <w:t>).</w:t>
      </w:r>
    </w:p>
  </w:footnote>
  <w:footnote w:id="4">
    <w:p w:rsidR="00125F3F" w:rsidRDefault="00125F3F" w:rsidP="00125F3F">
      <w:pPr>
        <w:pStyle w:val="Corpodetexto"/>
        <w:ind w:left="157" w:hanging="86"/>
      </w:pPr>
      <w:r>
        <w:rPr>
          <w:rStyle w:val="Caracteresdenotaderodap"/>
          <w:rFonts w:ascii="Arial" w:hAnsi="Arial"/>
        </w:rPr>
        <w:footnoteRef/>
      </w:r>
      <w:r>
        <w:rPr>
          <w:rFonts w:ascii="Arial" w:hAnsi="Arial" w:cs="Arial"/>
          <w:sz w:val="16"/>
          <w:szCs w:val="16"/>
        </w:rPr>
        <w:tab/>
        <w:t>WATANABE, 1988, p. 128.</w:t>
      </w:r>
    </w:p>
  </w:footnote>
  <w:footnote w:id="5">
    <w:p w:rsidR="00125F3F" w:rsidRPr="00B66743" w:rsidRDefault="00125F3F" w:rsidP="00B66743">
      <w:pPr>
        <w:pStyle w:val="Textodenotaderodap"/>
        <w:ind w:left="329" w:hanging="207"/>
        <w:rPr>
          <w:rFonts w:ascii="Times New Roman" w:eastAsia="Arial Unicode MS" w:hAnsi="Times New Roman" w:cs="Times New Roman"/>
          <w:color w:val="000000"/>
        </w:rPr>
      </w:pPr>
      <w:r>
        <w:rPr>
          <w:rStyle w:val="Caracteresdenotaderodap"/>
          <w:rFonts w:ascii="Arial" w:hAnsi="Arial"/>
        </w:rPr>
        <w:footnoteRef/>
      </w:r>
      <w:r>
        <w:rPr>
          <w:rFonts w:ascii="Arial" w:hAnsi="Arial" w:cs="Arial"/>
        </w:rPr>
        <w:tab/>
      </w:r>
      <w:r w:rsidRPr="00B66743">
        <w:rPr>
          <w:rFonts w:ascii="Times New Roman" w:eastAsia="Arial Unicode MS" w:hAnsi="Times New Roman" w:cs="Times New Roman"/>
        </w:rPr>
        <w:t xml:space="preserve"> </w:t>
      </w:r>
      <w:r w:rsidRPr="00B66743">
        <w:rPr>
          <w:rFonts w:ascii="Times New Roman" w:eastAsia="Arial Unicode MS" w:hAnsi="Times New Roman" w:cs="Times New Roman"/>
          <w:color w:val="000000"/>
        </w:rPr>
        <w:t>Art. 4</w:t>
      </w:r>
      <w:r w:rsidRPr="00B66743">
        <w:rPr>
          <w:rFonts w:ascii="Times New Roman" w:eastAsia="Arial Unicode MS" w:hAnsi="Times New Roman" w:cs="Times New Roman"/>
          <w:color w:val="000000"/>
          <w:position w:val="7"/>
          <w:u w:val="single"/>
        </w:rPr>
        <w:t>o</w:t>
      </w:r>
      <w:r w:rsidRPr="00B66743">
        <w:rPr>
          <w:rFonts w:ascii="Times New Roman" w:eastAsia="Arial Unicode MS" w:hAnsi="Times New Roman" w:cs="Times New Roman"/>
          <w:color w:val="000000"/>
        </w:rPr>
        <w:t> As partes têm o direito de obter em prazo razoável a solução integral do mérito, incluída a atividade satisfativa.</w:t>
      </w:r>
    </w:p>
    <w:p w:rsidR="00125F3F" w:rsidRPr="00B66743" w:rsidRDefault="00125F3F" w:rsidP="00B66743">
      <w:pPr>
        <w:pStyle w:val="Corpodetexto"/>
        <w:spacing w:after="0"/>
        <w:ind w:left="329" w:firstLine="0"/>
        <w:rPr>
          <w:rFonts w:eastAsia="Arial Unicode MS"/>
          <w:color w:val="000000"/>
          <w:sz w:val="20"/>
          <w:szCs w:val="20"/>
        </w:rPr>
      </w:pPr>
      <w:r w:rsidRPr="00B66743">
        <w:rPr>
          <w:rFonts w:eastAsia="Arial Unicode MS"/>
          <w:color w:val="000000"/>
          <w:sz w:val="20"/>
          <w:szCs w:val="20"/>
        </w:rPr>
        <w:tab/>
        <w:t>[...]</w:t>
      </w:r>
    </w:p>
    <w:p w:rsidR="00125F3F" w:rsidRPr="00B66743" w:rsidRDefault="00125F3F" w:rsidP="00B66743">
      <w:pPr>
        <w:pStyle w:val="Textodenotaderodap"/>
        <w:ind w:left="329"/>
        <w:rPr>
          <w:rFonts w:ascii="Times New Roman" w:eastAsia="Arial Unicode MS" w:hAnsi="Times New Roman" w:cs="Times New Roman"/>
        </w:rPr>
      </w:pPr>
      <w:r w:rsidRPr="00B66743">
        <w:rPr>
          <w:rFonts w:ascii="Times New Roman" w:eastAsia="Arial Unicode MS" w:hAnsi="Times New Roman" w:cs="Times New Roman"/>
          <w:color w:val="000000"/>
        </w:rPr>
        <w:tab/>
        <w:t>Art. 6</w:t>
      </w:r>
      <w:r w:rsidRPr="00B66743">
        <w:rPr>
          <w:rFonts w:ascii="Times New Roman" w:eastAsia="Arial Unicode MS" w:hAnsi="Times New Roman" w:cs="Times New Roman"/>
          <w:color w:val="000000"/>
          <w:position w:val="5"/>
          <w:u w:val="single"/>
        </w:rPr>
        <w:t>o</w:t>
      </w:r>
      <w:r w:rsidRPr="00B66743">
        <w:rPr>
          <w:rFonts w:ascii="Times New Roman" w:eastAsia="Arial Unicode MS" w:hAnsi="Times New Roman" w:cs="Times New Roman"/>
          <w:color w:val="000000"/>
        </w:rPr>
        <w:t> Todos os sujeitos do processo devem cooperar entre si para que se obtenha, em tempo razoável, decisão de mérito justa e efetiva.</w:t>
      </w:r>
    </w:p>
  </w:footnote>
  <w:footnote w:id="6">
    <w:p w:rsidR="00125F3F" w:rsidRPr="00B66743" w:rsidRDefault="00125F3F" w:rsidP="00B66743">
      <w:pPr>
        <w:pStyle w:val="Corpodetexto"/>
        <w:widowControl/>
        <w:spacing w:after="0"/>
        <w:ind w:left="343" w:hanging="243"/>
        <w:rPr>
          <w:rFonts w:eastAsia="Arial Unicode MS"/>
          <w:color w:val="000000"/>
          <w:sz w:val="20"/>
          <w:szCs w:val="20"/>
        </w:rPr>
      </w:pPr>
      <w:r w:rsidRPr="00B66743">
        <w:rPr>
          <w:rStyle w:val="Caracteresdenotaderodap"/>
          <w:rFonts w:eastAsia="Arial Unicode MS"/>
          <w:sz w:val="20"/>
          <w:szCs w:val="20"/>
        </w:rPr>
        <w:footnoteRef/>
      </w:r>
      <w:r w:rsidRPr="00B66743">
        <w:rPr>
          <w:rFonts w:eastAsia="Arial Unicode MS"/>
          <w:color w:val="000000"/>
          <w:sz w:val="20"/>
          <w:szCs w:val="20"/>
        </w:rPr>
        <w:tab/>
        <w:t>Art. 3</w:t>
      </w:r>
      <w:r w:rsidRPr="00B66743">
        <w:rPr>
          <w:rFonts w:eastAsia="Arial Unicode MS"/>
          <w:color w:val="000000"/>
          <w:position w:val="7"/>
          <w:sz w:val="20"/>
          <w:szCs w:val="20"/>
          <w:u w:val="single"/>
        </w:rPr>
        <w:t>o</w:t>
      </w:r>
      <w:r w:rsidRPr="00B66743">
        <w:rPr>
          <w:rFonts w:eastAsia="Arial Unicode MS"/>
          <w:color w:val="000000"/>
          <w:sz w:val="20"/>
          <w:szCs w:val="20"/>
        </w:rPr>
        <w:t> Não se excluirá da apreciação jurisdicional ameaça ou lesão a direito.</w:t>
      </w:r>
    </w:p>
    <w:p w:rsidR="00125F3F" w:rsidRPr="00B66743" w:rsidRDefault="00125F3F" w:rsidP="00B66743">
      <w:pPr>
        <w:pStyle w:val="Corpodetexto"/>
        <w:widowControl/>
        <w:spacing w:after="0"/>
        <w:ind w:left="343" w:hanging="7"/>
        <w:rPr>
          <w:rFonts w:eastAsia="Arial Unicode MS"/>
          <w:color w:val="000000"/>
          <w:sz w:val="20"/>
          <w:szCs w:val="20"/>
        </w:rPr>
      </w:pPr>
      <w:r w:rsidRPr="00B66743">
        <w:rPr>
          <w:rFonts w:eastAsia="Arial Unicode MS"/>
          <w:color w:val="000000"/>
          <w:sz w:val="20"/>
          <w:szCs w:val="20"/>
        </w:rPr>
        <w:tab/>
        <w:t>[...]</w:t>
      </w:r>
    </w:p>
    <w:p w:rsidR="00125F3F" w:rsidRPr="00B66743" w:rsidRDefault="00125F3F" w:rsidP="00B66743">
      <w:pPr>
        <w:pStyle w:val="Corpodetexto"/>
        <w:widowControl/>
        <w:spacing w:after="0"/>
        <w:ind w:left="343" w:hanging="7"/>
        <w:rPr>
          <w:rFonts w:eastAsia="Arial Unicode MS"/>
          <w:color w:val="000000"/>
          <w:sz w:val="20"/>
          <w:szCs w:val="20"/>
        </w:rPr>
      </w:pPr>
      <w:r w:rsidRPr="00B66743">
        <w:rPr>
          <w:rFonts w:eastAsia="Arial Unicode MS"/>
          <w:color w:val="000000"/>
          <w:sz w:val="20"/>
          <w:szCs w:val="20"/>
        </w:rPr>
        <w:tab/>
        <w:t>§ 2</w:t>
      </w:r>
      <w:r w:rsidRPr="00B66743">
        <w:rPr>
          <w:rFonts w:eastAsia="Arial Unicode MS"/>
          <w:color w:val="000000"/>
          <w:position w:val="5"/>
          <w:sz w:val="20"/>
          <w:szCs w:val="20"/>
          <w:u w:val="single"/>
        </w:rPr>
        <w:t>o</w:t>
      </w:r>
      <w:r w:rsidRPr="00B66743">
        <w:rPr>
          <w:rFonts w:eastAsia="Arial Unicode MS"/>
          <w:color w:val="000000"/>
          <w:sz w:val="20"/>
          <w:szCs w:val="20"/>
        </w:rPr>
        <w:t> O Estado promoverá, sempre que possível, a solução consensual dos conflitos.</w:t>
      </w:r>
    </w:p>
    <w:p w:rsidR="00125F3F" w:rsidRPr="00B66743" w:rsidRDefault="00125F3F" w:rsidP="00B66743">
      <w:pPr>
        <w:pStyle w:val="Corpodetexto"/>
        <w:widowControl/>
        <w:spacing w:after="0"/>
        <w:ind w:left="343" w:hanging="7"/>
        <w:rPr>
          <w:rFonts w:eastAsia="Arial Unicode MS"/>
          <w:sz w:val="20"/>
          <w:szCs w:val="20"/>
        </w:rPr>
      </w:pPr>
      <w:r w:rsidRPr="00B66743">
        <w:rPr>
          <w:rFonts w:eastAsia="Arial Unicode MS"/>
          <w:color w:val="000000"/>
          <w:sz w:val="20"/>
          <w:szCs w:val="20"/>
        </w:rPr>
        <w:tab/>
        <w:t>§ 3</w:t>
      </w:r>
      <w:r w:rsidRPr="00B66743">
        <w:rPr>
          <w:rFonts w:eastAsia="Arial Unicode MS"/>
          <w:color w:val="000000"/>
          <w:position w:val="5"/>
          <w:sz w:val="20"/>
          <w:szCs w:val="20"/>
          <w:u w:val="single"/>
        </w:rPr>
        <w:t>o</w:t>
      </w:r>
      <w:r w:rsidRPr="00B66743">
        <w:rPr>
          <w:rFonts w:eastAsia="Arial Unicode MS"/>
          <w:color w:val="000000"/>
          <w:sz w:val="20"/>
          <w:szCs w:val="20"/>
        </w:rPr>
        <w:t> A conciliação, a mediação e outros métodos de solução consensual de conflitos deverão ser estimulados por juízes, advogados, defensores públicos e membros do Ministério Público, inclusive no curso do processo judicial.</w:t>
      </w:r>
    </w:p>
  </w:footnote>
  <w:footnote w:id="7">
    <w:p w:rsidR="00125F3F" w:rsidRPr="00B66743" w:rsidRDefault="00125F3F" w:rsidP="00B66743">
      <w:pPr>
        <w:pStyle w:val="Corpodetexto"/>
        <w:spacing w:after="0"/>
        <w:ind w:left="336" w:hanging="236"/>
        <w:rPr>
          <w:rFonts w:eastAsia="Arial Unicode MS"/>
          <w:sz w:val="20"/>
          <w:szCs w:val="20"/>
        </w:rPr>
      </w:pPr>
      <w:r w:rsidRPr="00B66743">
        <w:rPr>
          <w:rStyle w:val="Caracteresdenotaderodap"/>
          <w:rFonts w:eastAsia="Arial Unicode MS"/>
          <w:sz w:val="20"/>
          <w:szCs w:val="20"/>
        </w:rPr>
        <w:footnoteRef/>
      </w:r>
      <w:r w:rsidRPr="00B66743">
        <w:rPr>
          <w:rFonts w:eastAsia="Arial Unicode MS"/>
          <w:color w:val="000000"/>
          <w:sz w:val="20"/>
          <w:szCs w:val="20"/>
        </w:rPr>
        <w:tab/>
        <w:t>Art. 8</w:t>
      </w:r>
      <w:r w:rsidRPr="00B66743">
        <w:rPr>
          <w:rFonts w:eastAsia="Arial Unicode MS"/>
          <w:color w:val="000000"/>
          <w:position w:val="7"/>
          <w:sz w:val="20"/>
          <w:szCs w:val="20"/>
          <w:u w:val="single"/>
        </w:rPr>
        <w:t>o</w:t>
      </w:r>
      <w:r w:rsidRPr="00B66743">
        <w:rPr>
          <w:rFonts w:eastAsia="Arial Unicode MS"/>
          <w:color w:val="000000"/>
          <w:sz w:val="20"/>
          <w:szCs w:val="20"/>
        </w:rPr>
        <w:t> Ao aplicar o ordenamento jurídico, o juiz atenderá aos fins sociais e às exigências do bem comum, resguardando e promovendo a dignidade da pessoa humana e observando a proporcionalidade, a razoabilidade, a legalidade, a publicidade e a eficiência.</w:t>
      </w:r>
    </w:p>
  </w:footnote>
  <w:footnote w:id="8">
    <w:p w:rsidR="00125F3F" w:rsidRPr="00B66743" w:rsidRDefault="00125F3F" w:rsidP="00B66743">
      <w:pPr>
        <w:pStyle w:val="Corpodetexto"/>
        <w:widowControl/>
        <w:spacing w:after="0"/>
        <w:ind w:firstLine="0"/>
        <w:rPr>
          <w:color w:val="000000"/>
          <w:sz w:val="20"/>
          <w:szCs w:val="20"/>
        </w:rPr>
      </w:pPr>
      <w:r>
        <w:rPr>
          <w:rStyle w:val="Caracteresdenotaderodap"/>
          <w:rFonts w:ascii="Arial" w:hAnsi="Arial"/>
        </w:rPr>
        <w:footnoteRef/>
      </w:r>
      <w:r w:rsidRPr="00B66743">
        <w:rPr>
          <w:rFonts w:eastAsia="TimesNewRomanPSMT"/>
          <w:color w:val="000000"/>
          <w:sz w:val="20"/>
          <w:szCs w:val="20"/>
        </w:rPr>
        <w:t xml:space="preserve">Art. 334. […] </w:t>
      </w:r>
    </w:p>
    <w:p w:rsidR="00125F3F" w:rsidRPr="00B66743" w:rsidRDefault="00125F3F" w:rsidP="00B66743">
      <w:pPr>
        <w:pStyle w:val="Corpodetexto"/>
        <w:widowControl/>
        <w:spacing w:after="0"/>
        <w:ind w:firstLine="0"/>
        <w:rPr>
          <w:color w:val="000000"/>
          <w:sz w:val="20"/>
          <w:szCs w:val="20"/>
        </w:rPr>
      </w:pPr>
      <w:r w:rsidRPr="00B66743">
        <w:rPr>
          <w:color w:val="000000"/>
          <w:sz w:val="20"/>
          <w:szCs w:val="20"/>
        </w:rPr>
        <w:t>§ 4</w:t>
      </w:r>
      <w:r w:rsidRPr="00B66743">
        <w:rPr>
          <w:color w:val="000000"/>
          <w:position w:val="5"/>
          <w:sz w:val="20"/>
          <w:szCs w:val="20"/>
          <w:u w:val="single"/>
        </w:rPr>
        <w:t>o</w:t>
      </w:r>
      <w:r w:rsidRPr="00B66743">
        <w:rPr>
          <w:color w:val="000000"/>
          <w:sz w:val="20"/>
          <w:szCs w:val="20"/>
        </w:rPr>
        <w:t> A audiência não será realizada:</w:t>
      </w:r>
    </w:p>
    <w:p w:rsidR="00125F3F" w:rsidRPr="00B66743" w:rsidRDefault="00125F3F" w:rsidP="00B66743">
      <w:pPr>
        <w:pStyle w:val="Corpodetexto"/>
        <w:widowControl/>
        <w:spacing w:after="0"/>
        <w:ind w:firstLine="0"/>
        <w:rPr>
          <w:color w:val="000000"/>
          <w:sz w:val="20"/>
          <w:szCs w:val="20"/>
        </w:rPr>
      </w:pPr>
      <w:r w:rsidRPr="00B66743">
        <w:rPr>
          <w:color w:val="000000"/>
          <w:sz w:val="20"/>
          <w:szCs w:val="20"/>
        </w:rPr>
        <w:t>I - se ambas as partes manifestarem, expressamente, desinteresse na composição consensual;</w:t>
      </w:r>
    </w:p>
    <w:p w:rsidR="00125F3F" w:rsidRPr="00B66743" w:rsidRDefault="00125F3F" w:rsidP="00B66743">
      <w:pPr>
        <w:pStyle w:val="Corpodetexto"/>
        <w:widowControl/>
        <w:spacing w:after="0"/>
        <w:ind w:firstLine="0"/>
        <w:rPr>
          <w:sz w:val="20"/>
          <w:szCs w:val="20"/>
        </w:rPr>
      </w:pPr>
      <w:r w:rsidRPr="00B66743">
        <w:rPr>
          <w:color w:val="000000"/>
          <w:sz w:val="20"/>
          <w:szCs w:val="20"/>
        </w:rPr>
        <w:t>II - quando não se admitir a autocomposição.</w:t>
      </w:r>
    </w:p>
    <w:p w:rsidR="00125F3F" w:rsidRPr="00B66743" w:rsidRDefault="00125F3F" w:rsidP="00B66743">
      <w:pPr>
        <w:pStyle w:val="Textodenotaderodap"/>
        <w:rPr>
          <w:rFonts w:ascii="Times New Roman" w:hAnsi="Times New Roman" w:cs="Times New Roman"/>
        </w:rPr>
      </w:pPr>
    </w:p>
  </w:footnote>
  <w:footnote w:id="9">
    <w:p w:rsidR="00125F3F" w:rsidRPr="00B66743" w:rsidRDefault="00125F3F" w:rsidP="00B66743">
      <w:pPr>
        <w:pStyle w:val="Corpodetexto"/>
        <w:spacing w:after="0"/>
        <w:ind w:firstLine="0"/>
        <w:rPr>
          <w:rFonts w:eastAsia="TimesNewRomanPSMT"/>
          <w:color w:val="000000"/>
          <w:sz w:val="20"/>
          <w:szCs w:val="20"/>
        </w:rPr>
      </w:pPr>
      <w:r w:rsidRPr="00B66743">
        <w:rPr>
          <w:rStyle w:val="Caracteresdenotaderodap"/>
          <w:sz w:val="20"/>
          <w:szCs w:val="20"/>
        </w:rPr>
        <w:footnoteRef/>
      </w:r>
      <w:r w:rsidRPr="00B66743">
        <w:rPr>
          <w:rFonts w:eastAsia="TimesNewRomanPSMT"/>
          <w:color w:val="000000"/>
          <w:sz w:val="20"/>
          <w:szCs w:val="20"/>
        </w:rPr>
        <w:t xml:space="preserve">Art. 334.  Se a petição inicial preencher os requisitos essenciais e não for o caso de improcedência liminar do pedido, o juiz designará audiência de conciliação ou de mediação com antecedência mínima de 30 (trinta) dias, devendo ser citado o réu com pelo menos 20 (vinte) dias de antecedência. </w:t>
      </w:r>
    </w:p>
    <w:p w:rsidR="00125F3F" w:rsidRPr="00B66743" w:rsidRDefault="00125F3F" w:rsidP="00B66743">
      <w:pPr>
        <w:pStyle w:val="Corpodetexto"/>
        <w:spacing w:after="0"/>
        <w:ind w:firstLine="0"/>
        <w:rPr>
          <w:rFonts w:eastAsia="TimesNewRomanPSMT"/>
          <w:color w:val="000000"/>
          <w:sz w:val="20"/>
          <w:szCs w:val="20"/>
        </w:rPr>
      </w:pPr>
      <w:r w:rsidRPr="00B66743">
        <w:rPr>
          <w:rFonts w:eastAsia="TimesNewRomanPSMT"/>
          <w:color w:val="000000"/>
          <w:sz w:val="20"/>
          <w:szCs w:val="20"/>
        </w:rPr>
        <w:t>[...]</w:t>
      </w:r>
    </w:p>
    <w:p w:rsidR="00125F3F" w:rsidRPr="00B66743" w:rsidRDefault="00125F3F" w:rsidP="00B66743">
      <w:pPr>
        <w:pStyle w:val="Corpodetexto"/>
        <w:spacing w:after="0"/>
        <w:ind w:firstLine="0"/>
        <w:rPr>
          <w:sz w:val="20"/>
          <w:szCs w:val="20"/>
        </w:rPr>
      </w:pPr>
      <w:r w:rsidRPr="00B66743">
        <w:rPr>
          <w:rFonts w:eastAsia="TimesNewRomanPSMT"/>
          <w:color w:val="000000"/>
          <w:sz w:val="20"/>
          <w:szCs w:val="20"/>
        </w:rPr>
        <w:t>§ 8</w:t>
      </w:r>
      <w:r w:rsidRPr="00B66743">
        <w:rPr>
          <w:rFonts w:eastAsia="TimesNewRomanPSMT"/>
          <w:color w:val="000000"/>
          <w:position w:val="5"/>
          <w:sz w:val="20"/>
          <w:szCs w:val="20"/>
          <w:u w:val="single"/>
        </w:rPr>
        <w:t>o</w:t>
      </w:r>
      <w:r w:rsidRPr="00B66743">
        <w:rPr>
          <w:rFonts w:eastAsia="TimesNewRomanPSMT"/>
          <w:color w:val="000000"/>
          <w:sz w:val="20"/>
          <w:szCs w:val="20"/>
        </w:rPr>
        <w:t> O não comparecimento injustificado do autor ou do réu à audiência de conciliação é considerado ato atentatório à dignidade da justiça e será sancionado com multa de até dois por cento da vantagem econômica pretendida ou do valor da causa, revertida em favor da União ou do Estado.</w:t>
      </w:r>
    </w:p>
  </w:footnote>
  <w:footnote w:id="10">
    <w:p w:rsidR="00125F3F" w:rsidRPr="00B66743" w:rsidRDefault="00125F3F" w:rsidP="00B66743">
      <w:pPr>
        <w:pStyle w:val="Corpodetexto"/>
        <w:widowControl/>
        <w:spacing w:after="0"/>
        <w:ind w:firstLine="0"/>
        <w:rPr>
          <w:color w:val="000000"/>
          <w:sz w:val="20"/>
          <w:szCs w:val="20"/>
        </w:rPr>
      </w:pPr>
      <w:r w:rsidRPr="00B66743">
        <w:rPr>
          <w:rStyle w:val="Caracteresdenotaderodap"/>
          <w:sz w:val="20"/>
          <w:szCs w:val="20"/>
        </w:rPr>
        <w:footnoteRef/>
      </w:r>
      <w:r w:rsidRPr="00B66743">
        <w:rPr>
          <w:color w:val="000000"/>
          <w:sz w:val="20"/>
          <w:szCs w:val="20"/>
        </w:rPr>
        <w:t>Art. 983.  O relator ouvirá as partes e os demais interessados, inclusive pessoas, órgãos e entidades com interesse na controvérsia, que, no prazo comum de 15 (quinze) dias, poderão requerer a juntada de documentos, bem como as diligências necessárias para a elucidação da questão de direito controvertida, e, em seguida, manifestar-se-á o Ministério Público, no mesmo prazo.</w:t>
      </w:r>
    </w:p>
    <w:p w:rsidR="00125F3F" w:rsidRPr="00B66743" w:rsidRDefault="00125F3F" w:rsidP="00B66743">
      <w:pPr>
        <w:pStyle w:val="Corpodetexto"/>
        <w:widowControl/>
        <w:spacing w:after="0"/>
        <w:ind w:firstLine="0"/>
        <w:rPr>
          <w:color w:val="000000"/>
          <w:sz w:val="20"/>
          <w:szCs w:val="20"/>
        </w:rPr>
      </w:pPr>
      <w:r w:rsidRPr="00B66743">
        <w:rPr>
          <w:color w:val="000000"/>
          <w:sz w:val="20"/>
          <w:szCs w:val="20"/>
        </w:rPr>
        <w:t>§ 1</w:t>
      </w:r>
      <w:r w:rsidRPr="00B66743">
        <w:rPr>
          <w:color w:val="000000"/>
          <w:position w:val="5"/>
          <w:sz w:val="20"/>
          <w:szCs w:val="20"/>
          <w:u w:val="single"/>
        </w:rPr>
        <w:t>o</w:t>
      </w:r>
      <w:r w:rsidRPr="00B66743">
        <w:rPr>
          <w:color w:val="000000"/>
          <w:sz w:val="20"/>
          <w:szCs w:val="20"/>
        </w:rPr>
        <w:t xml:space="preserve"> Para instruir o incidente, o relator poderá designar data para, em </w:t>
      </w:r>
      <w:r w:rsidRPr="00B66743">
        <w:rPr>
          <w:b/>
          <w:bCs/>
          <w:color w:val="000000"/>
          <w:sz w:val="20"/>
          <w:szCs w:val="20"/>
        </w:rPr>
        <w:t>audiência pública, ouvir depoimentos de pessoas com experiência e conhecimento na matéria</w:t>
      </w:r>
      <w:r w:rsidRPr="00B66743">
        <w:rPr>
          <w:color w:val="000000"/>
          <w:sz w:val="20"/>
          <w:szCs w:val="20"/>
        </w:rPr>
        <w:t>.</w:t>
      </w:r>
    </w:p>
    <w:p w:rsidR="00125F3F" w:rsidRDefault="00125F3F" w:rsidP="00125F3F">
      <w:pPr>
        <w:pStyle w:val="Corpodetexto"/>
        <w:widowControl/>
        <w:ind w:left="279" w:firstLine="0"/>
        <w:jc w:val="right"/>
      </w:pPr>
      <w:r>
        <w:rPr>
          <w:rFonts w:ascii="Arial" w:hAnsi="Arial" w:cs="Arial"/>
          <w:color w:val="000000"/>
          <w:sz w:val="20"/>
          <w:szCs w:val="20"/>
        </w:rPr>
        <w:tab/>
        <w:t>[grifado]</w:t>
      </w:r>
    </w:p>
    <w:p w:rsidR="00125F3F" w:rsidRDefault="00125F3F" w:rsidP="00125F3F">
      <w:pPr>
        <w:pStyle w:val="Textodenotaderodap"/>
      </w:pPr>
    </w:p>
  </w:footnote>
  <w:footnote w:id="11">
    <w:p w:rsidR="00125F3F" w:rsidRDefault="00125F3F" w:rsidP="00125F3F">
      <w:pPr>
        <w:pStyle w:val="Textodenotaderodap"/>
      </w:pPr>
      <w:r>
        <w:rPr>
          <w:rStyle w:val="Caracteresdenotaderodap"/>
          <w:rFonts w:ascii="Arial" w:hAnsi="Arial"/>
        </w:rPr>
        <w:footnoteRef/>
      </w:r>
      <w:r>
        <w:tab/>
        <w:t>BOURDIEU,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F3F" w:rsidRDefault="00125F3F">
    <w:pPr>
      <w:pStyle w:val="Cabealho"/>
    </w:pPr>
  </w:p>
  <w:p w:rsidR="00125F3F" w:rsidRDefault="00125F3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94F" w:rsidRDefault="00E6094F">
    <w:pPr>
      <w:pStyle w:val="Cabealho"/>
      <w:jc w:val="right"/>
    </w:pPr>
  </w:p>
  <w:p w:rsidR="00E6094F" w:rsidRDefault="00E6094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singleLevel"/>
    <w:tmpl w:val="0000000D"/>
    <w:name w:val="WW8Num13"/>
    <w:lvl w:ilvl="0">
      <w:start w:val="1"/>
      <w:numFmt w:val="decimal"/>
      <w:pStyle w:val="References"/>
      <w:lvlText w:val="%1."/>
      <w:lvlJc w:val="left"/>
      <w:pPr>
        <w:tabs>
          <w:tab w:val="num" w:pos="360"/>
        </w:tabs>
        <w:ind w:left="360" w:hanging="360"/>
      </w:pPr>
    </w:lvl>
  </w:abstractNum>
  <w:abstractNum w:abstractNumId="1" w15:restartNumberingAfterBreak="0">
    <w:nsid w:val="23E002C2"/>
    <w:multiLevelType w:val="hybridMultilevel"/>
    <w:tmpl w:val="016AC040"/>
    <w:lvl w:ilvl="0" w:tplc="6706CDC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49D006EB"/>
    <w:multiLevelType w:val="multilevel"/>
    <w:tmpl w:val="2910BC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40438B"/>
    <w:multiLevelType w:val="multilevel"/>
    <w:tmpl w:val="DAB62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43"/>
    <w:rsid w:val="00022ED6"/>
    <w:rsid w:val="00077010"/>
    <w:rsid w:val="000A2151"/>
    <w:rsid w:val="000A2AB6"/>
    <w:rsid w:val="000F0C44"/>
    <w:rsid w:val="000F4F77"/>
    <w:rsid w:val="00100087"/>
    <w:rsid w:val="00125F3F"/>
    <w:rsid w:val="00134457"/>
    <w:rsid w:val="00137446"/>
    <w:rsid w:val="001417AC"/>
    <w:rsid w:val="001527C7"/>
    <w:rsid w:val="0018587E"/>
    <w:rsid w:val="001A0055"/>
    <w:rsid w:val="001B1114"/>
    <w:rsid w:val="001C2191"/>
    <w:rsid w:val="001D0206"/>
    <w:rsid w:val="00227464"/>
    <w:rsid w:val="002557DE"/>
    <w:rsid w:val="002912F2"/>
    <w:rsid w:val="002C1E94"/>
    <w:rsid w:val="002D1AA6"/>
    <w:rsid w:val="002F067D"/>
    <w:rsid w:val="00303371"/>
    <w:rsid w:val="00306D92"/>
    <w:rsid w:val="003223AA"/>
    <w:rsid w:val="00335586"/>
    <w:rsid w:val="003C234B"/>
    <w:rsid w:val="003D3D7B"/>
    <w:rsid w:val="003E6DD6"/>
    <w:rsid w:val="004066A6"/>
    <w:rsid w:val="0041540F"/>
    <w:rsid w:val="00424B6F"/>
    <w:rsid w:val="00442FB4"/>
    <w:rsid w:val="00450DD5"/>
    <w:rsid w:val="00467DCF"/>
    <w:rsid w:val="00490F84"/>
    <w:rsid w:val="004A25CD"/>
    <w:rsid w:val="004B63F4"/>
    <w:rsid w:val="004D2325"/>
    <w:rsid w:val="004D3AD7"/>
    <w:rsid w:val="004D53A1"/>
    <w:rsid w:val="004E2A51"/>
    <w:rsid w:val="00570204"/>
    <w:rsid w:val="005A4E03"/>
    <w:rsid w:val="005C3239"/>
    <w:rsid w:val="00624AB0"/>
    <w:rsid w:val="00630E5C"/>
    <w:rsid w:val="006655BB"/>
    <w:rsid w:val="00677CE8"/>
    <w:rsid w:val="006D240D"/>
    <w:rsid w:val="006D601F"/>
    <w:rsid w:val="00751478"/>
    <w:rsid w:val="00752538"/>
    <w:rsid w:val="007611E2"/>
    <w:rsid w:val="00791943"/>
    <w:rsid w:val="007926A9"/>
    <w:rsid w:val="007A3B17"/>
    <w:rsid w:val="007C68A6"/>
    <w:rsid w:val="007E41E2"/>
    <w:rsid w:val="007F6FBF"/>
    <w:rsid w:val="00803E2A"/>
    <w:rsid w:val="00814735"/>
    <w:rsid w:val="008153E7"/>
    <w:rsid w:val="008349B3"/>
    <w:rsid w:val="00836BF0"/>
    <w:rsid w:val="008401FD"/>
    <w:rsid w:val="008470C4"/>
    <w:rsid w:val="008868E4"/>
    <w:rsid w:val="00886C03"/>
    <w:rsid w:val="008B20C9"/>
    <w:rsid w:val="008B6EAC"/>
    <w:rsid w:val="009058E4"/>
    <w:rsid w:val="00913D27"/>
    <w:rsid w:val="00934E27"/>
    <w:rsid w:val="00954DC3"/>
    <w:rsid w:val="009B7ABA"/>
    <w:rsid w:val="009C2C39"/>
    <w:rsid w:val="009F71B3"/>
    <w:rsid w:val="00A32DDF"/>
    <w:rsid w:val="00A74EEC"/>
    <w:rsid w:val="00A97B94"/>
    <w:rsid w:val="00AB6AA6"/>
    <w:rsid w:val="00AE7AA9"/>
    <w:rsid w:val="00B13BC5"/>
    <w:rsid w:val="00B25A42"/>
    <w:rsid w:val="00B66743"/>
    <w:rsid w:val="00BC3BF6"/>
    <w:rsid w:val="00BD7D3E"/>
    <w:rsid w:val="00BF7DA0"/>
    <w:rsid w:val="00C03469"/>
    <w:rsid w:val="00C05AC9"/>
    <w:rsid w:val="00C310F6"/>
    <w:rsid w:val="00C459BA"/>
    <w:rsid w:val="00C617D3"/>
    <w:rsid w:val="00C70D45"/>
    <w:rsid w:val="00C834A2"/>
    <w:rsid w:val="00CC3FCB"/>
    <w:rsid w:val="00CE2168"/>
    <w:rsid w:val="00D00D08"/>
    <w:rsid w:val="00D170BC"/>
    <w:rsid w:val="00D33EC4"/>
    <w:rsid w:val="00D3551C"/>
    <w:rsid w:val="00D42C85"/>
    <w:rsid w:val="00D618E3"/>
    <w:rsid w:val="00D717D8"/>
    <w:rsid w:val="00DA1E2C"/>
    <w:rsid w:val="00DB539B"/>
    <w:rsid w:val="00DD20E3"/>
    <w:rsid w:val="00DE7A1B"/>
    <w:rsid w:val="00E12153"/>
    <w:rsid w:val="00E33F85"/>
    <w:rsid w:val="00E6094F"/>
    <w:rsid w:val="00E75A93"/>
    <w:rsid w:val="00E76D06"/>
    <w:rsid w:val="00E91534"/>
    <w:rsid w:val="00E97C09"/>
    <w:rsid w:val="00E97E45"/>
    <w:rsid w:val="00EA20E0"/>
    <w:rsid w:val="00EB555F"/>
    <w:rsid w:val="00F03A5B"/>
    <w:rsid w:val="00F240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D3EADC-0A97-4D00-BC03-CDC2AC87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943"/>
    <w:pPr>
      <w:spacing w:after="160" w:line="259" w:lineRule="auto"/>
    </w:pPr>
  </w:style>
  <w:style w:type="paragraph" w:styleId="Ttulo1">
    <w:name w:val="heading 1"/>
    <w:basedOn w:val="Normal"/>
    <w:next w:val="Normal"/>
    <w:link w:val="Ttulo1Char"/>
    <w:qFormat/>
    <w:rsid w:val="00125F3F"/>
    <w:pPr>
      <w:keepNext/>
      <w:keepLines/>
      <w:widowControl w:val="0"/>
      <w:suppressAutoHyphens/>
      <w:spacing w:before="120" w:after="120" w:line="240" w:lineRule="auto"/>
      <w:jc w:val="both"/>
      <w:outlineLvl w:val="0"/>
    </w:pPr>
    <w:rPr>
      <w:rFonts w:ascii="Arial" w:eastAsia="Times New Roman" w:hAnsi="Arial" w:cs="Arial"/>
      <w:b/>
      <w:caps/>
      <w:kern w:val="1"/>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79194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91943"/>
    <w:rPr>
      <w:sz w:val="20"/>
      <w:szCs w:val="20"/>
    </w:rPr>
  </w:style>
  <w:style w:type="character" w:styleId="Refdenotaderodap">
    <w:name w:val="footnote reference"/>
    <w:basedOn w:val="Fontepargpadro"/>
    <w:unhideWhenUsed/>
    <w:rsid w:val="00791943"/>
    <w:rPr>
      <w:vertAlign w:val="superscript"/>
    </w:rPr>
  </w:style>
  <w:style w:type="paragraph" w:styleId="PargrafodaLista">
    <w:name w:val="List Paragraph"/>
    <w:basedOn w:val="Normal"/>
    <w:uiPriority w:val="34"/>
    <w:qFormat/>
    <w:rsid w:val="00791943"/>
    <w:pPr>
      <w:ind w:left="720"/>
      <w:contextualSpacing/>
    </w:pPr>
  </w:style>
  <w:style w:type="table" w:styleId="Tabelacomgrade">
    <w:name w:val="Table Grid"/>
    <w:basedOn w:val="Tabelanormal"/>
    <w:uiPriority w:val="59"/>
    <w:rsid w:val="0079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450D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0DD5"/>
  </w:style>
  <w:style w:type="paragraph" w:styleId="Rodap">
    <w:name w:val="footer"/>
    <w:basedOn w:val="Normal"/>
    <w:link w:val="RodapChar"/>
    <w:unhideWhenUsed/>
    <w:rsid w:val="00450DD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50DD5"/>
  </w:style>
  <w:style w:type="character" w:customStyle="1" w:styleId="apple-converted-space">
    <w:name w:val="apple-converted-space"/>
    <w:basedOn w:val="Fontepargpadro"/>
    <w:rsid w:val="00D3551C"/>
  </w:style>
  <w:style w:type="character" w:customStyle="1" w:styleId="Ttulo1Char">
    <w:name w:val="Título 1 Char"/>
    <w:basedOn w:val="Fontepargpadro"/>
    <w:link w:val="Ttulo1"/>
    <w:rsid w:val="00125F3F"/>
    <w:rPr>
      <w:rFonts w:ascii="Arial" w:eastAsia="Times New Roman" w:hAnsi="Arial" w:cs="Arial"/>
      <w:b/>
      <w:caps/>
      <w:kern w:val="1"/>
      <w:sz w:val="20"/>
      <w:szCs w:val="20"/>
      <w:lang w:eastAsia="zh-CN"/>
    </w:rPr>
  </w:style>
  <w:style w:type="character" w:styleId="Nmerodepgina">
    <w:name w:val="page number"/>
    <w:basedOn w:val="Fontepargpadro"/>
    <w:rsid w:val="00125F3F"/>
  </w:style>
  <w:style w:type="character" w:customStyle="1" w:styleId="Caracteresdenotaderodap">
    <w:name w:val="Caracteres de nota de rodapé"/>
    <w:rsid w:val="00125F3F"/>
    <w:rPr>
      <w:vertAlign w:val="superscript"/>
    </w:rPr>
  </w:style>
  <w:style w:type="character" w:styleId="Hyperlink">
    <w:name w:val="Hyperlink"/>
    <w:rsid w:val="00125F3F"/>
    <w:rPr>
      <w:color w:val="0000FF"/>
      <w:u w:val="single"/>
    </w:rPr>
  </w:style>
  <w:style w:type="paragraph" w:customStyle="1" w:styleId="Ttulo10">
    <w:name w:val="Título1"/>
    <w:basedOn w:val="Normal"/>
    <w:next w:val="Corpodetexto"/>
    <w:rsid w:val="00125F3F"/>
    <w:pPr>
      <w:widowControl w:val="0"/>
      <w:suppressAutoHyphens/>
      <w:spacing w:before="100" w:after="120" w:line="240" w:lineRule="auto"/>
      <w:ind w:firstLine="720"/>
      <w:jc w:val="center"/>
    </w:pPr>
    <w:rPr>
      <w:rFonts w:ascii="Arial" w:eastAsia="Times New Roman" w:hAnsi="Arial" w:cs="Arial"/>
      <w:b/>
      <w:kern w:val="1"/>
      <w:sz w:val="36"/>
      <w:szCs w:val="24"/>
      <w:lang w:eastAsia="zh-CN"/>
    </w:rPr>
  </w:style>
  <w:style w:type="paragraph" w:styleId="Corpodetexto">
    <w:name w:val="Body Text"/>
    <w:basedOn w:val="Normal"/>
    <w:link w:val="CorpodetextoChar"/>
    <w:rsid w:val="00125F3F"/>
    <w:pPr>
      <w:widowControl w:val="0"/>
      <w:suppressAutoHyphens/>
      <w:spacing w:after="120" w:line="240" w:lineRule="auto"/>
      <w:ind w:firstLine="720"/>
      <w:jc w:val="both"/>
    </w:pPr>
    <w:rPr>
      <w:rFonts w:ascii="Times New Roman" w:eastAsia="Times New Roman" w:hAnsi="Times New Roman" w:cs="Times New Roman"/>
      <w:sz w:val="24"/>
      <w:szCs w:val="24"/>
      <w:lang w:eastAsia="zh-CN"/>
    </w:rPr>
  </w:style>
  <w:style w:type="character" w:customStyle="1" w:styleId="CorpodetextoChar">
    <w:name w:val="Corpo de texto Char"/>
    <w:basedOn w:val="Fontepargpadro"/>
    <w:link w:val="Corpodetexto"/>
    <w:rsid w:val="00125F3F"/>
    <w:rPr>
      <w:rFonts w:ascii="Times New Roman" w:eastAsia="Times New Roman" w:hAnsi="Times New Roman" w:cs="Times New Roman"/>
      <w:sz w:val="24"/>
      <w:szCs w:val="24"/>
      <w:lang w:eastAsia="zh-CN"/>
    </w:rPr>
  </w:style>
  <w:style w:type="paragraph" w:customStyle="1" w:styleId="Author">
    <w:name w:val="Author"/>
    <w:basedOn w:val="Normal"/>
    <w:rsid w:val="00125F3F"/>
    <w:pPr>
      <w:widowControl w:val="0"/>
      <w:suppressAutoHyphens/>
      <w:spacing w:after="0" w:line="240" w:lineRule="auto"/>
      <w:ind w:firstLine="720"/>
      <w:jc w:val="center"/>
    </w:pPr>
    <w:rPr>
      <w:rFonts w:ascii="Times New Roman" w:eastAsia="Times New Roman" w:hAnsi="Times New Roman" w:cs="Times New Roman"/>
      <w:b/>
      <w:color w:val="000000"/>
      <w:sz w:val="24"/>
      <w:szCs w:val="24"/>
      <w:lang w:eastAsia="zh-CN"/>
    </w:rPr>
  </w:style>
  <w:style w:type="paragraph" w:customStyle="1" w:styleId="References">
    <w:name w:val="References"/>
    <w:basedOn w:val="Normal"/>
    <w:rsid w:val="00125F3F"/>
    <w:pPr>
      <w:widowControl w:val="0"/>
      <w:numPr>
        <w:numId w:val="4"/>
      </w:numPr>
      <w:suppressAutoHyphens/>
      <w:overflowPunct w:val="0"/>
      <w:autoSpaceDE w:val="0"/>
      <w:spacing w:after="80" w:line="240" w:lineRule="auto"/>
      <w:jc w:val="both"/>
      <w:textAlignment w:val="baseline"/>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72997">
      <w:bodyDiv w:val="1"/>
      <w:marLeft w:val="0"/>
      <w:marRight w:val="0"/>
      <w:marTop w:val="0"/>
      <w:marBottom w:val="0"/>
      <w:divBdr>
        <w:top w:val="none" w:sz="0" w:space="0" w:color="auto"/>
        <w:left w:val="none" w:sz="0" w:space="0" w:color="auto"/>
        <w:bottom w:val="none" w:sz="0" w:space="0" w:color="auto"/>
        <w:right w:val="none" w:sz="0" w:space="0" w:color="auto"/>
      </w:divBdr>
      <w:divsChild>
        <w:div w:id="1256093617">
          <w:marLeft w:val="0"/>
          <w:marRight w:val="0"/>
          <w:marTop w:val="0"/>
          <w:marBottom w:val="0"/>
          <w:divBdr>
            <w:top w:val="none" w:sz="0" w:space="0" w:color="auto"/>
            <w:left w:val="none" w:sz="0" w:space="0" w:color="auto"/>
            <w:bottom w:val="none" w:sz="0" w:space="0" w:color="auto"/>
            <w:right w:val="none" w:sz="0" w:space="0" w:color="auto"/>
          </w:divBdr>
        </w:div>
        <w:div w:id="2112318131">
          <w:marLeft w:val="0"/>
          <w:marRight w:val="0"/>
          <w:marTop w:val="0"/>
          <w:marBottom w:val="0"/>
          <w:divBdr>
            <w:top w:val="none" w:sz="0" w:space="0" w:color="auto"/>
            <w:left w:val="none" w:sz="0" w:space="0" w:color="auto"/>
            <w:bottom w:val="none" w:sz="0" w:space="0" w:color="auto"/>
            <w:right w:val="none" w:sz="0" w:space="0" w:color="auto"/>
          </w:divBdr>
        </w:div>
        <w:div w:id="1811094928">
          <w:marLeft w:val="0"/>
          <w:marRight w:val="0"/>
          <w:marTop w:val="0"/>
          <w:marBottom w:val="0"/>
          <w:divBdr>
            <w:top w:val="none" w:sz="0" w:space="0" w:color="auto"/>
            <w:left w:val="none" w:sz="0" w:space="0" w:color="auto"/>
            <w:bottom w:val="none" w:sz="0" w:space="0" w:color="auto"/>
            <w:right w:val="none" w:sz="0" w:space="0" w:color="auto"/>
          </w:divBdr>
        </w:div>
        <w:div w:id="890843706">
          <w:marLeft w:val="0"/>
          <w:marRight w:val="0"/>
          <w:marTop w:val="0"/>
          <w:marBottom w:val="0"/>
          <w:divBdr>
            <w:top w:val="none" w:sz="0" w:space="0" w:color="auto"/>
            <w:left w:val="none" w:sz="0" w:space="0" w:color="auto"/>
            <w:bottom w:val="none" w:sz="0" w:space="0" w:color="auto"/>
            <w:right w:val="none" w:sz="0" w:space="0" w:color="auto"/>
          </w:divBdr>
        </w:div>
        <w:div w:id="1663773253">
          <w:marLeft w:val="0"/>
          <w:marRight w:val="0"/>
          <w:marTop w:val="0"/>
          <w:marBottom w:val="0"/>
          <w:divBdr>
            <w:top w:val="none" w:sz="0" w:space="0" w:color="auto"/>
            <w:left w:val="none" w:sz="0" w:space="0" w:color="auto"/>
            <w:bottom w:val="none" w:sz="0" w:space="0" w:color="auto"/>
            <w:right w:val="none" w:sz="0" w:space="0" w:color="auto"/>
          </w:divBdr>
        </w:div>
        <w:div w:id="974487338">
          <w:marLeft w:val="0"/>
          <w:marRight w:val="0"/>
          <w:marTop w:val="0"/>
          <w:marBottom w:val="0"/>
          <w:divBdr>
            <w:top w:val="none" w:sz="0" w:space="0" w:color="auto"/>
            <w:left w:val="none" w:sz="0" w:space="0" w:color="auto"/>
            <w:bottom w:val="none" w:sz="0" w:space="0" w:color="auto"/>
            <w:right w:val="none" w:sz="0" w:space="0" w:color="auto"/>
          </w:divBdr>
        </w:div>
        <w:div w:id="488601547">
          <w:marLeft w:val="0"/>
          <w:marRight w:val="0"/>
          <w:marTop w:val="0"/>
          <w:marBottom w:val="0"/>
          <w:divBdr>
            <w:top w:val="none" w:sz="0" w:space="0" w:color="auto"/>
            <w:left w:val="none" w:sz="0" w:space="0" w:color="auto"/>
            <w:bottom w:val="none" w:sz="0" w:space="0" w:color="auto"/>
            <w:right w:val="none" w:sz="0" w:space="0" w:color="auto"/>
          </w:divBdr>
        </w:div>
        <w:div w:id="1440905832">
          <w:marLeft w:val="0"/>
          <w:marRight w:val="0"/>
          <w:marTop w:val="0"/>
          <w:marBottom w:val="0"/>
          <w:divBdr>
            <w:top w:val="none" w:sz="0" w:space="0" w:color="auto"/>
            <w:left w:val="none" w:sz="0" w:space="0" w:color="auto"/>
            <w:bottom w:val="none" w:sz="0" w:space="0" w:color="auto"/>
            <w:right w:val="none" w:sz="0" w:space="0" w:color="auto"/>
          </w:divBdr>
        </w:div>
        <w:div w:id="349185994">
          <w:marLeft w:val="0"/>
          <w:marRight w:val="0"/>
          <w:marTop w:val="0"/>
          <w:marBottom w:val="0"/>
          <w:divBdr>
            <w:top w:val="none" w:sz="0" w:space="0" w:color="auto"/>
            <w:left w:val="none" w:sz="0" w:space="0" w:color="auto"/>
            <w:bottom w:val="none" w:sz="0" w:space="0" w:color="auto"/>
            <w:right w:val="none" w:sz="0" w:space="0" w:color="auto"/>
          </w:divBdr>
        </w:div>
        <w:div w:id="2126463639">
          <w:marLeft w:val="0"/>
          <w:marRight w:val="0"/>
          <w:marTop w:val="0"/>
          <w:marBottom w:val="0"/>
          <w:divBdr>
            <w:top w:val="none" w:sz="0" w:space="0" w:color="auto"/>
            <w:left w:val="none" w:sz="0" w:space="0" w:color="auto"/>
            <w:bottom w:val="none" w:sz="0" w:space="0" w:color="auto"/>
            <w:right w:val="none" w:sz="0" w:space="0" w:color="auto"/>
          </w:divBdr>
        </w:div>
        <w:div w:id="1093820762">
          <w:marLeft w:val="0"/>
          <w:marRight w:val="0"/>
          <w:marTop w:val="0"/>
          <w:marBottom w:val="0"/>
          <w:divBdr>
            <w:top w:val="none" w:sz="0" w:space="0" w:color="auto"/>
            <w:left w:val="none" w:sz="0" w:space="0" w:color="auto"/>
            <w:bottom w:val="none" w:sz="0" w:space="0" w:color="auto"/>
            <w:right w:val="none" w:sz="0" w:space="0" w:color="auto"/>
          </w:divBdr>
        </w:div>
        <w:div w:id="1290278195">
          <w:marLeft w:val="0"/>
          <w:marRight w:val="0"/>
          <w:marTop w:val="0"/>
          <w:marBottom w:val="0"/>
          <w:divBdr>
            <w:top w:val="none" w:sz="0" w:space="0" w:color="auto"/>
            <w:left w:val="none" w:sz="0" w:space="0" w:color="auto"/>
            <w:bottom w:val="none" w:sz="0" w:space="0" w:color="auto"/>
            <w:right w:val="none" w:sz="0" w:space="0" w:color="auto"/>
          </w:divBdr>
        </w:div>
        <w:div w:id="1312447621">
          <w:marLeft w:val="0"/>
          <w:marRight w:val="0"/>
          <w:marTop w:val="0"/>
          <w:marBottom w:val="0"/>
          <w:divBdr>
            <w:top w:val="none" w:sz="0" w:space="0" w:color="auto"/>
            <w:left w:val="none" w:sz="0" w:space="0" w:color="auto"/>
            <w:bottom w:val="none" w:sz="0" w:space="0" w:color="auto"/>
            <w:right w:val="none" w:sz="0" w:space="0" w:color="auto"/>
          </w:divBdr>
        </w:div>
      </w:divsChild>
    </w:div>
    <w:div w:id="881212067">
      <w:bodyDiv w:val="1"/>
      <w:marLeft w:val="0"/>
      <w:marRight w:val="0"/>
      <w:marTop w:val="0"/>
      <w:marBottom w:val="0"/>
      <w:divBdr>
        <w:top w:val="none" w:sz="0" w:space="0" w:color="auto"/>
        <w:left w:val="none" w:sz="0" w:space="0" w:color="auto"/>
        <w:bottom w:val="none" w:sz="0" w:space="0" w:color="auto"/>
        <w:right w:val="none" w:sz="0" w:space="0" w:color="auto"/>
      </w:divBdr>
      <w:divsChild>
        <w:div w:id="821195927">
          <w:marLeft w:val="0"/>
          <w:marRight w:val="0"/>
          <w:marTop w:val="0"/>
          <w:marBottom w:val="0"/>
          <w:divBdr>
            <w:top w:val="none" w:sz="0" w:space="0" w:color="auto"/>
            <w:left w:val="none" w:sz="0" w:space="0" w:color="auto"/>
            <w:bottom w:val="none" w:sz="0" w:space="0" w:color="auto"/>
            <w:right w:val="none" w:sz="0" w:space="0" w:color="auto"/>
          </w:divBdr>
        </w:div>
        <w:div w:id="1605962352">
          <w:marLeft w:val="0"/>
          <w:marRight w:val="0"/>
          <w:marTop w:val="0"/>
          <w:marBottom w:val="0"/>
          <w:divBdr>
            <w:top w:val="none" w:sz="0" w:space="0" w:color="auto"/>
            <w:left w:val="none" w:sz="0" w:space="0" w:color="auto"/>
            <w:bottom w:val="none" w:sz="0" w:space="0" w:color="auto"/>
            <w:right w:val="none" w:sz="0" w:space="0" w:color="auto"/>
          </w:divBdr>
        </w:div>
        <w:div w:id="1959023465">
          <w:marLeft w:val="0"/>
          <w:marRight w:val="0"/>
          <w:marTop w:val="0"/>
          <w:marBottom w:val="0"/>
          <w:divBdr>
            <w:top w:val="none" w:sz="0" w:space="0" w:color="auto"/>
            <w:left w:val="none" w:sz="0" w:space="0" w:color="auto"/>
            <w:bottom w:val="none" w:sz="0" w:space="0" w:color="auto"/>
            <w:right w:val="none" w:sz="0" w:space="0" w:color="auto"/>
          </w:divBdr>
        </w:div>
        <w:div w:id="160198247">
          <w:marLeft w:val="0"/>
          <w:marRight w:val="0"/>
          <w:marTop w:val="0"/>
          <w:marBottom w:val="0"/>
          <w:divBdr>
            <w:top w:val="none" w:sz="0" w:space="0" w:color="auto"/>
            <w:left w:val="none" w:sz="0" w:space="0" w:color="auto"/>
            <w:bottom w:val="none" w:sz="0" w:space="0" w:color="auto"/>
            <w:right w:val="none" w:sz="0" w:space="0" w:color="auto"/>
          </w:divBdr>
        </w:div>
        <w:div w:id="164590263">
          <w:marLeft w:val="0"/>
          <w:marRight w:val="0"/>
          <w:marTop w:val="0"/>
          <w:marBottom w:val="0"/>
          <w:divBdr>
            <w:top w:val="none" w:sz="0" w:space="0" w:color="auto"/>
            <w:left w:val="none" w:sz="0" w:space="0" w:color="auto"/>
            <w:bottom w:val="none" w:sz="0" w:space="0" w:color="auto"/>
            <w:right w:val="none" w:sz="0" w:space="0" w:color="auto"/>
          </w:divBdr>
        </w:div>
        <w:div w:id="2002850519">
          <w:marLeft w:val="0"/>
          <w:marRight w:val="0"/>
          <w:marTop w:val="0"/>
          <w:marBottom w:val="0"/>
          <w:divBdr>
            <w:top w:val="none" w:sz="0" w:space="0" w:color="auto"/>
            <w:left w:val="none" w:sz="0" w:space="0" w:color="auto"/>
            <w:bottom w:val="none" w:sz="0" w:space="0" w:color="auto"/>
            <w:right w:val="none" w:sz="0" w:space="0" w:color="auto"/>
          </w:divBdr>
        </w:div>
        <w:div w:id="1308127590">
          <w:marLeft w:val="0"/>
          <w:marRight w:val="0"/>
          <w:marTop w:val="0"/>
          <w:marBottom w:val="0"/>
          <w:divBdr>
            <w:top w:val="none" w:sz="0" w:space="0" w:color="auto"/>
            <w:left w:val="none" w:sz="0" w:space="0" w:color="auto"/>
            <w:bottom w:val="none" w:sz="0" w:space="0" w:color="auto"/>
            <w:right w:val="none" w:sz="0" w:space="0" w:color="auto"/>
          </w:divBdr>
        </w:div>
        <w:div w:id="56898404">
          <w:marLeft w:val="0"/>
          <w:marRight w:val="0"/>
          <w:marTop w:val="0"/>
          <w:marBottom w:val="0"/>
          <w:divBdr>
            <w:top w:val="none" w:sz="0" w:space="0" w:color="auto"/>
            <w:left w:val="none" w:sz="0" w:space="0" w:color="auto"/>
            <w:bottom w:val="none" w:sz="0" w:space="0" w:color="auto"/>
            <w:right w:val="none" w:sz="0" w:space="0" w:color="auto"/>
          </w:divBdr>
        </w:div>
        <w:div w:id="672874755">
          <w:marLeft w:val="0"/>
          <w:marRight w:val="0"/>
          <w:marTop w:val="0"/>
          <w:marBottom w:val="0"/>
          <w:divBdr>
            <w:top w:val="none" w:sz="0" w:space="0" w:color="auto"/>
            <w:left w:val="none" w:sz="0" w:space="0" w:color="auto"/>
            <w:bottom w:val="none" w:sz="0" w:space="0" w:color="auto"/>
            <w:right w:val="none" w:sz="0" w:space="0" w:color="auto"/>
          </w:divBdr>
        </w:div>
        <w:div w:id="1008749453">
          <w:marLeft w:val="0"/>
          <w:marRight w:val="0"/>
          <w:marTop w:val="0"/>
          <w:marBottom w:val="0"/>
          <w:divBdr>
            <w:top w:val="none" w:sz="0" w:space="0" w:color="auto"/>
            <w:left w:val="none" w:sz="0" w:space="0" w:color="auto"/>
            <w:bottom w:val="none" w:sz="0" w:space="0" w:color="auto"/>
            <w:right w:val="none" w:sz="0" w:space="0" w:color="auto"/>
          </w:divBdr>
        </w:div>
        <w:div w:id="2062365671">
          <w:marLeft w:val="0"/>
          <w:marRight w:val="0"/>
          <w:marTop w:val="0"/>
          <w:marBottom w:val="0"/>
          <w:divBdr>
            <w:top w:val="none" w:sz="0" w:space="0" w:color="auto"/>
            <w:left w:val="none" w:sz="0" w:space="0" w:color="auto"/>
            <w:bottom w:val="none" w:sz="0" w:space="0" w:color="auto"/>
            <w:right w:val="none" w:sz="0" w:space="0" w:color="auto"/>
          </w:divBdr>
        </w:div>
        <w:div w:id="1136335588">
          <w:marLeft w:val="0"/>
          <w:marRight w:val="0"/>
          <w:marTop w:val="0"/>
          <w:marBottom w:val="0"/>
          <w:divBdr>
            <w:top w:val="none" w:sz="0" w:space="0" w:color="auto"/>
            <w:left w:val="none" w:sz="0" w:space="0" w:color="auto"/>
            <w:bottom w:val="none" w:sz="0" w:space="0" w:color="auto"/>
            <w:right w:val="none" w:sz="0" w:space="0" w:color="auto"/>
          </w:divBdr>
        </w:div>
        <w:div w:id="557126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jus.com.br/artigos/30676/o-principio-da-cooperacao-na-vertente-consulta-no-projeto-de-novo-cpc"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A2EB7-CCCC-49E2-BA94-A1D03E3D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4784</Words>
  <Characters>25834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italus g</cp:lastModifiedBy>
  <cp:revision>7</cp:revision>
  <dcterms:created xsi:type="dcterms:W3CDTF">2016-05-28T19:44:00Z</dcterms:created>
  <dcterms:modified xsi:type="dcterms:W3CDTF">2016-05-28T20:02:00Z</dcterms:modified>
</cp:coreProperties>
</file>