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22" w:rsidRDefault="00E51F00" w:rsidP="00EE5C22">
      <w:pPr>
        <w:rPr>
          <w:rFonts w:ascii="Arial" w:hAnsi="Arial" w:cs="Arial"/>
        </w:rPr>
      </w:pPr>
      <w:r>
        <w:rPr>
          <w:rFonts w:ascii="Arial" w:hAnsi="Arial" w:cs="Arial"/>
        </w:rPr>
        <w:t>CONVÊNIO ICMS 93/2015 ANALISADO SOB O VIÉS DO DIREITO ECÔNOMICO</w:t>
      </w:r>
    </w:p>
    <w:p w:rsidR="00E51F00" w:rsidRDefault="00E51F00" w:rsidP="00EE5C22">
      <w:pPr>
        <w:pStyle w:val="Recuodecorpodetexto"/>
        <w:rPr>
          <w:rFonts w:ascii="Arial" w:hAnsi="Arial" w:cs="Arial"/>
        </w:rPr>
      </w:pPr>
    </w:p>
    <w:p w:rsidR="00E51F00" w:rsidRDefault="00E51F00" w:rsidP="00EE5C22">
      <w:pPr>
        <w:pStyle w:val="Recuodecorpodetexto"/>
        <w:rPr>
          <w:rFonts w:ascii="Arial" w:hAnsi="Arial" w:cs="Arial"/>
        </w:rPr>
      </w:pPr>
      <w:bookmarkStart w:id="0" w:name="_GoBack"/>
      <w:bookmarkEnd w:id="0"/>
    </w:p>
    <w:p w:rsidR="00EE5C22" w:rsidRDefault="00EE5C22" w:rsidP="00EE5C22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>O presente artigo tem por intuito analisar o Convênio ICMS 93/2015 sob o viés do Direito Econômico. O referido Convênio foi promulgado pelo Conselho Nacional de Politica Fazendária</w:t>
      </w:r>
      <w:r w:rsidR="00CE47B1">
        <w:rPr>
          <w:rFonts w:ascii="Arial" w:hAnsi="Arial" w:cs="Arial"/>
        </w:rPr>
        <w:t>, e tem por intuito a regulamentação</w:t>
      </w:r>
      <w:r>
        <w:rPr>
          <w:rFonts w:ascii="Arial" w:hAnsi="Arial" w:cs="Arial"/>
        </w:rPr>
        <w:t xml:space="preserve"> </w:t>
      </w:r>
      <w:r w:rsidR="00CE47B1">
        <w:rPr>
          <w:rFonts w:ascii="Arial" w:hAnsi="Arial" w:cs="Arial"/>
        </w:rPr>
        <w:t>d</w:t>
      </w:r>
      <w:r>
        <w:rPr>
          <w:rFonts w:ascii="Arial" w:hAnsi="Arial" w:cs="Arial"/>
        </w:rPr>
        <w:t>a Emenda Constitucional 87/2015</w:t>
      </w:r>
      <w:r w:rsidR="00CE47B1">
        <w:rPr>
          <w:rFonts w:ascii="Arial" w:hAnsi="Arial" w:cs="Arial"/>
        </w:rPr>
        <w:t xml:space="preserve"> (EC), que m</w:t>
      </w:r>
      <w:r w:rsidR="00594D78">
        <w:rPr>
          <w:rFonts w:ascii="Arial" w:hAnsi="Arial" w:cs="Arial"/>
        </w:rPr>
        <w:t xml:space="preserve">udou a sistemática do ICMS com a finalidade de promover uma melhor distribuição das receitas tributárias com o intuito de diminuir as desigualdades regionais. </w:t>
      </w:r>
    </w:p>
    <w:p w:rsidR="00CE47B1" w:rsidRDefault="00CE47B1" w:rsidP="00EE5C22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>As mudanças trazidas por pelo Convênio e pela EC afetaram profundamente a relação de consumo estabelecida entre comerciante (remetente) e o consumidor final não contribuinte do ICMS de outra Unidade Federada (Pessoas físicas que incorporam a mercadoria a seu patrimônio).</w:t>
      </w:r>
    </w:p>
    <w:p w:rsidR="00CF4E43" w:rsidRDefault="00EE5C22" w:rsidP="00EE5C22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 xml:space="preserve">Tais </w:t>
      </w:r>
      <w:r w:rsidR="00CE47B1">
        <w:rPr>
          <w:rFonts w:ascii="Arial" w:hAnsi="Arial" w:cs="Arial"/>
        </w:rPr>
        <w:t>mudanças</w:t>
      </w:r>
      <w:r>
        <w:rPr>
          <w:rFonts w:ascii="Arial" w:hAnsi="Arial" w:cs="Arial"/>
        </w:rPr>
        <w:t xml:space="preserve"> são traduzidas em uma considerável elevação no custo operacional</w:t>
      </w:r>
      <w:r w:rsidR="00CF4E43">
        <w:rPr>
          <w:rFonts w:ascii="Arial" w:hAnsi="Arial" w:cs="Arial"/>
        </w:rPr>
        <w:t xml:space="preserve"> tendo em vista as obrigações acessórias e o acúmulo de crédito ICMS </w:t>
      </w:r>
      <w:r w:rsidR="00F17307">
        <w:rPr>
          <w:rFonts w:ascii="Arial" w:hAnsi="Arial" w:cs="Arial"/>
        </w:rPr>
        <w:t>trazidos pelo referido Convênio.</w:t>
      </w:r>
    </w:p>
    <w:p w:rsidR="00F17307" w:rsidRDefault="00F17307" w:rsidP="00EE5C22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 xml:space="preserve">O acúmulo de crédito deve-se a impossibilidade de compensação de créditos ICMS entre Unidades Federadas, ou seja, os créditos adquiridos até a operação interestadual não poderão ser compensados com os débitos devidos a Unidade Federada de destino. </w:t>
      </w:r>
    </w:p>
    <w:p w:rsidR="00F17307" w:rsidRDefault="00F17307" w:rsidP="00EE5C22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 xml:space="preserve">No tocante </w:t>
      </w:r>
      <w:proofErr w:type="gramStart"/>
      <w:r>
        <w:rPr>
          <w:rFonts w:ascii="Arial" w:hAnsi="Arial" w:cs="Arial"/>
        </w:rPr>
        <w:t>as obrigações acessórias podemos elencar</w:t>
      </w:r>
      <w:proofErr w:type="gramEnd"/>
      <w:r>
        <w:rPr>
          <w:rFonts w:ascii="Arial" w:hAnsi="Arial" w:cs="Arial"/>
        </w:rPr>
        <w:t xml:space="preserve"> duas: A necessidade de cadastro em até 27 Unidades Federadas e a emissão de até </w:t>
      </w:r>
      <w:r w:rsidR="00594D78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guias, por conta e risco do contribuinte, para o pagamento de um único tributo. </w:t>
      </w:r>
    </w:p>
    <w:p w:rsidR="00EE5C22" w:rsidRDefault="00CE47B1" w:rsidP="00EE5C22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>Esse</w:t>
      </w:r>
      <w:r w:rsidR="00EE5C22">
        <w:rPr>
          <w:rFonts w:ascii="Arial" w:hAnsi="Arial" w:cs="Arial"/>
        </w:rPr>
        <w:t xml:space="preserve"> aumento no custo operacional, indiretamente eleva o preço do pro</w:t>
      </w:r>
      <w:r w:rsidR="00971E85">
        <w:rPr>
          <w:rFonts w:ascii="Arial" w:hAnsi="Arial" w:cs="Arial"/>
        </w:rPr>
        <w:t>duto final, o que acaba</w:t>
      </w:r>
      <w:r w:rsidR="00EE5C22">
        <w:rPr>
          <w:rFonts w:ascii="Arial" w:hAnsi="Arial" w:cs="Arial"/>
        </w:rPr>
        <w:t xml:space="preserve"> por gerar uma espécie de barreira comercial, senão vejamos:</w:t>
      </w:r>
    </w:p>
    <w:p w:rsidR="00EE5C22" w:rsidRDefault="00EE5C22" w:rsidP="00EE5C22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 xml:space="preserve">Apesar do valor da alíquota paga pelo empresário que exporta em âmbito nacional e pelo empresário que vende apenas dentro do seu Estado ser a mesma, tendo em vista o que está </w:t>
      </w:r>
      <w:proofErr w:type="gramStart"/>
      <w:r>
        <w:rPr>
          <w:rFonts w:ascii="Arial" w:hAnsi="Arial" w:cs="Arial"/>
        </w:rPr>
        <w:t>disposto na Cláusula Segunda, inciso I e II</w:t>
      </w:r>
      <w:proofErr w:type="gramEnd"/>
      <w:r>
        <w:rPr>
          <w:rFonts w:ascii="Arial" w:hAnsi="Arial" w:cs="Arial"/>
        </w:rPr>
        <w:t xml:space="preserve">, alínea “a” do Convênio ICMS 93/2015: deverá o remetente </w:t>
      </w:r>
      <w:r w:rsidR="00CE47B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bem ou serviço, utilizar </w:t>
      </w:r>
      <w:r w:rsidR="00CE47B1">
        <w:rPr>
          <w:rFonts w:ascii="Arial" w:hAnsi="Arial" w:cs="Arial"/>
        </w:rPr>
        <w:t>a alíquota interna prevista na Unidade F</w:t>
      </w:r>
      <w:r>
        <w:rPr>
          <w:rFonts w:ascii="Arial" w:hAnsi="Arial" w:cs="Arial"/>
        </w:rPr>
        <w:t xml:space="preserve">ederada de destino para calcular o ICMS </w:t>
      </w:r>
      <w:r>
        <w:rPr>
          <w:rFonts w:ascii="Arial" w:hAnsi="Arial" w:cs="Arial"/>
          <w:u w:val="single"/>
        </w:rPr>
        <w:t>total</w:t>
      </w:r>
      <w:r>
        <w:rPr>
          <w:rFonts w:ascii="Arial" w:hAnsi="Arial" w:cs="Arial"/>
        </w:rPr>
        <w:t xml:space="preserve"> devido na operação. Aquele terá um custo </w:t>
      </w:r>
      <w:r>
        <w:rPr>
          <w:rFonts w:ascii="Arial" w:hAnsi="Arial" w:cs="Arial"/>
        </w:rPr>
        <w:lastRenderedPageBreak/>
        <w:t>operacional consideravelmente maior que este, tendo em vista as obrigações acessórias por ele suportadas</w:t>
      </w:r>
      <w:r w:rsidR="00CE47B1">
        <w:rPr>
          <w:rFonts w:ascii="Arial" w:hAnsi="Arial" w:cs="Arial"/>
        </w:rPr>
        <w:t>, conforme demonstrado no parágrafo</w:t>
      </w:r>
      <w:r>
        <w:rPr>
          <w:rFonts w:ascii="Arial" w:hAnsi="Arial" w:cs="Arial"/>
        </w:rPr>
        <w:t xml:space="preserve"> anterior.</w:t>
      </w:r>
    </w:p>
    <w:p w:rsidR="00CF4E43" w:rsidRDefault="00EE5C22" w:rsidP="00EE5C22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 xml:space="preserve">Ou seja, </w:t>
      </w:r>
      <w:r w:rsidR="00971E85">
        <w:rPr>
          <w:rFonts w:ascii="Arial" w:hAnsi="Arial" w:cs="Arial"/>
        </w:rPr>
        <w:t xml:space="preserve">o empresário de outro </w:t>
      </w:r>
      <w:r>
        <w:rPr>
          <w:rFonts w:ascii="Arial" w:hAnsi="Arial" w:cs="Arial"/>
        </w:rPr>
        <w:t xml:space="preserve">Estado </w:t>
      </w:r>
      <w:r w:rsidR="00971E85">
        <w:rPr>
          <w:rFonts w:ascii="Arial" w:hAnsi="Arial" w:cs="Arial"/>
        </w:rPr>
        <w:t xml:space="preserve">terá </w:t>
      </w:r>
      <w:r>
        <w:rPr>
          <w:rFonts w:ascii="Arial" w:hAnsi="Arial" w:cs="Arial"/>
        </w:rPr>
        <w:t>uma desvantagem latente perante o empresário que efetua vendas apenas dentro do limite do seu Estado de origem e tal desvantagem pode acabar por inviabilizar a exportação dentro do território nacional em decorrência dessa elevação no custo operacional e efetiva alteração no montante pago pelo remetente a título de imposto.</w:t>
      </w:r>
    </w:p>
    <w:p w:rsidR="00EE5C22" w:rsidRDefault="00EE5C22" w:rsidP="00EE5C22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>Estas mudanças oriundas da alteração na si</w:t>
      </w:r>
      <w:r w:rsidR="00971E85">
        <w:rPr>
          <w:rFonts w:ascii="Arial" w:hAnsi="Arial" w:cs="Arial"/>
        </w:rPr>
        <w:t>stemática do ICMS caracterizar</w:t>
      </w:r>
      <w:r>
        <w:rPr>
          <w:rFonts w:ascii="Arial" w:hAnsi="Arial" w:cs="Arial"/>
        </w:rPr>
        <w:t xml:space="preserve">a uma espécie de barreira comercial interna, que afetaria principalmente </w:t>
      </w:r>
      <w:r w:rsidR="00971E85">
        <w:rPr>
          <w:rFonts w:ascii="Arial" w:hAnsi="Arial" w:cs="Arial"/>
        </w:rPr>
        <w:t xml:space="preserve">as pequenas empresas optantes pelo SIMPLES NACIONAL </w:t>
      </w:r>
      <w:r>
        <w:rPr>
          <w:rFonts w:ascii="Arial" w:hAnsi="Arial" w:cs="Arial"/>
        </w:rPr>
        <w:t>que deveria</w:t>
      </w:r>
      <w:r w:rsidR="00971E8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receber tratamento favorecido se </w:t>
      </w:r>
      <w:proofErr w:type="gramStart"/>
      <w:r>
        <w:rPr>
          <w:rFonts w:ascii="Arial" w:hAnsi="Arial" w:cs="Arial"/>
        </w:rPr>
        <w:t>observarmos</w:t>
      </w:r>
      <w:proofErr w:type="gramEnd"/>
      <w:r>
        <w:rPr>
          <w:rFonts w:ascii="Arial" w:hAnsi="Arial" w:cs="Arial"/>
        </w:rPr>
        <w:t xml:space="preserve"> o</w:t>
      </w:r>
      <w:r w:rsidR="00CF4E43">
        <w:rPr>
          <w:rFonts w:ascii="Arial" w:hAnsi="Arial" w:cs="Arial"/>
        </w:rPr>
        <w:t xml:space="preserve"> disposto no</w:t>
      </w:r>
      <w:r>
        <w:rPr>
          <w:rFonts w:ascii="Arial" w:hAnsi="Arial" w:cs="Arial"/>
        </w:rPr>
        <w:t xml:space="preserve"> artigo 170</w:t>
      </w:r>
      <w:r w:rsidR="00CF4E43">
        <w:rPr>
          <w:rFonts w:ascii="Arial" w:hAnsi="Arial" w:cs="Arial"/>
        </w:rPr>
        <w:t>,</w:t>
      </w:r>
      <w:r w:rsidR="00971E85">
        <w:rPr>
          <w:rFonts w:ascii="Arial" w:hAnsi="Arial" w:cs="Arial"/>
        </w:rPr>
        <w:t xml:space="preserve"> IX da Constituição Federal/88. </w:t>
      </w:r>
    </w:p>
    <w:p w:rsidR="00971E85" w:rsidRDefault="00971E85" w:rsidP="00EE5C22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 xml:space="preserve">Destaca-se ainda que além de não receberem um tratamento favorecido as empresas de pequeno porte estão sendo desfavorecidas na medida em que estavam acostumados a emitir apenas uma guia para o pagamento de vários impostos devidos a diferentes Entes Federados e agora seriam obrigadas a emitir até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guias para o pagamento de um único imposto.</w:t>
      </w:r>
    </w:p>
    <w:p w:rsidR="00CF4E43" w:rsidRDefault="00CF4E43" w:rsidP="00EE5C22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>Portanto, concluímos que o referido Convênio</w:t>
      </w:r>
      <w:r w:rsidR="00971E85">
        <w:rPr>
          <w:rFonts w:ascii="Arial" w:hAnsi="Arial" w:cs="Arial"/>
        </w:rPr>
        <w:t xml:space="preserve"> foi contrário </w:t>
      </w:r>
      <w:proofErr w:type="gramStart"/>
      <w:r w:rsidR="00971E85">
        <w:rPr>
          <w:rFonts w:ascii="Arial" w:hAnsi="Arial" w:cs="Arial"/>
        </w:rPr>
        <w:t>a</w:t>
      </w:r>
      <w:proofErr w:type="gramEnd"/>
      <w:r w:rsidR="00971E85">
        <w:rPr>
          <w:rFonts w:ascii="Arial" w:hAnsi="Arial" w:cs="Arial"/>
        </w:rPr>
        <w:t xml:space="preserve"> finalidade da EC 87/2015</w:t>
      </w:r>
      <w:r w:rsidR="00594D78">
        <w:rPr>
          <w:rFonts w:ascii="Arial" w:hAnsi="Arial" w:cs="Arial"/>
        </w:rPr>
        <w:t xml:space="preserve">, na medida em que cria barreiras comercias entre as Unidades Federadas e impede a circulação da mercadoria, fato gerador do ICMS. </w:t>
      </w:r>
    </w:p>
    <w:p w:rsidR="00594D78" w:rsidRDefault="00594D78" w:rsidP="00EE5C22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 xml:space="preserve">Ressalta-se ainda que </w:t>
      </w:r>
      <w:proofErr w:type="gramStart"/>
      <w:r>
        <w:rPr>
          <w:rFonts w:ascii="Arial" w:hAnsi="Arial" w:cs="Arial"/>
        </w:rPr>
        <w:t>o prejuízo causada</w:t>
      </w:r>
      <w:proofErr w:type="gramEnd"/>
      <w:r>
        <w:rPr>
          <w:rFonts w:ascii="Arial" w:hAnsi="Arial" w:cs="Arial"/>
        </w:rPr>
        <w:t xml:space="preserve"> pelas barreiras comerciais afeta diretamente as relações econômicas</w:t>
      </w:r>
      <w:r w:rsidR="00E51F00">
        <w:rPr>
          <w:rFonts w:ascii="Arial" w:hAnsi="Arial" w:cs="Arial"/>
        </w:rPr>
        <w:t>, pois geram a diminuição da concorrência, algo muito bom para o consumidor.</w:t>
      </w:r>
    </w:p>
    <w:p w:rsidR="0035727F" w:rsidRDefault="0035727F"/>
    <w:sectPr w:rsidR="00357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22"/>
    <w:rsid w:val="0035727F"/>
    <w:rsid w:val="00594D78"/>
    <w:rsid w:val="00971E85"/>
    <w:rsid w:val="00CE47B1"/>
    <w:rsid w:val="00CF4E43"/>
    <w:rsid w:val="00E51F00"/>
    <w:rsid w:val="00EE5C22"/>
    <w:rsid w:val="00F1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22"/>
    <w:pPr>
      <w:spacing w:after="0" w:line="360" w:lineRule="auto"/>
      <w:jc w:val="both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E5C22"/>
    <w:pPr>
      <w:widowControl w:val="0"/>
      <w:jc w:val="left"/>
      <w:outlineLvl w:val="0"/>
    </w:pPr>
    <w:rPr>
      <w:rFonts w:ascii="Arial" w:hAnsi="Arial" w:cs="Cambria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E5C22"/>
    <w:rPr>
      <w:rFonts w:ascii="Arial" w:eastAsiaTheme="minorEastAsia" w:hAnsi="Arial" w:cs="Cambria"/>
      <w:b/>
      <w:bCs/>
      <w:kern w:val="32"/>
      <w:sz w:val="24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5C22"/>
    <w:pPr>
      <w:ind w:firstLine="708"/>
    </w:pPr>
    <w:rPr>
      <w:rFonts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5C22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22"/>
    <w:pPr>
      <w:spacing w:after="0" w:line="360" w:lineRule="auto"/>
      <w:jc w:val="both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E5C22"/>
    <w:pPr>
      <w:widowControl w:val="0"/>
      <w:jc w:val="left"/>
      <w:outlineLvl w:val="0"/>
    </w:pPr>
    <w:rPr>
      <w:rFonts w:ascii="Arial" w:hAnsi="Arial" w:cs="Cambria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E5C22"/>
    <w:rPr>
      <w:rFonts w:ascii="Arial" w:eastAsiaTheme="minorEastAsia" w:hAnsi="Arial" w:cs="Cambria"/>
      <w:b/>
      <w:bCs/>
      <w:kern w:val="32"/>
      <w:sz w:val="24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5C22"/>
    <w:pPr>
      <w:ind w:firstLine="708"/>
    </w:pPr>
    <w:rPr>
      <w:rFonts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5C22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2016-05-26T14:40:00Z</dcterms:created>
  <dcterms:modified xsi:type="dcterms:W3CDTF">2016-05-26T16:40:00Z</dcterms:modified>
</cp:coreProperties>
</file>