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C1" w:rsidRPr="000D36C4" w:rsidRDefault="004837C1" w:rsidP="00046129">
      <w:pPr>
        <w:spacing w:line="360" w:lineRule="auto"/>
        <w:rPr>
          <w:rFonts w:ascii="Arial" w:hAnsi="Arial" w:cs="Arial"/>
          <w:spacing w:val="20"/>
        </w:rPr>
      </w:pPr>
    </w:p>
    <w:p w:rsidR="00B550CE" w:rsidRPr="000D36C4" w:rsidRDefault="00B550CE" w:rsidP="00046129">
      <w:pPr>
        <w:spacing w:line="360" w:lineRule="auto"/>
        <w:jc w:val="center"/>
        <w:rPr>
          <w:rFonts w:ascii="Arial" w:hAnsi="Arial" w:cs="Arial"/>
          <w:b/>
          <w:spacing w:val="20"/>
        </w:rPr>
      </w:pPr>
      <w:r w:rsidRPr="000D36C4">
        <w:rPr>
          <w:rFonts w:ascii="Arial" w:hAnsi="Arial" w:cs="Arial"/>
          <w:b/>
          <w:spacing w:val="20"/>
        </w:rPr>
        <w:t>ARTHUR LEOPOLDINO FERREIRA NETO</w:t>
      </w:r>
      <w:r w:rsidR="00A87D11" w:rsidRPr="000D36C4">
        <w:rPr>
          <w:rStyle w:val="Refdenotaderodap"/>
          <w:rFonts w:ascii="Arial" w:hAnsi="Arial" w:cs="Arial"/>
          <w:spacing w:val="20"/>
        </w:rPr>
        <w:footnoteReference w:id="1"/>
      </w:r>
      <w:r w:rsidRPr="000D36C4">
        <w:rPr>
          <w:rFonts w:ascii="Arial" w:hAnsi="Arial" w:cs="Arial"/>
          <w:b/>
          <w:spacing w:val="20"/>
        </w:rPr>
        <w:t xml:space="preserve"> </w:t>
      </w:r>
    </w:p>
    <w:p w:rsidR="00B550CE" w:rsidRPr="000D36C4" w:rsidRDefault="00B550CE" w:rsidP="00046129">
      <w:pPr>
        <w:spacing w:line="360" w:lineRule="auto"/>
        <w:jc w:val="center"/>
        <w:rPr>
          <w:rFonts w:ascii="Arial" w:hAnsi="Arial" w:cs="Arial"/>
          <w:b/>
          <w:spacing w:val="20"/>
        </w:rPr>
      </w:pPr>
    </w:p>
    <w:p w:rsidR="00AF4320" w:rsidRPr="000D36C4" w:rsidRDefault="00AF4320" w:rsidP="00046129">
      <w:pPr>
        <w:spacing w:line="360" w:lineRule="auto"/>
        <w:jc w:val="center"/>
        <w:rPr>
          <w:rFonts w:ascii="Arial" w:hAnsi="Arial" w:cs="Arial"/>
          <w:b/>
          <w:spacing w:val="20"/>
        </w:rPr>
      </w:pPr>
    </w:p>
    <w:p w:rsidR="00B550CE" w:rsidRPr="000D36C4" w:rsidRDefault="00B550CE" w:rsidP="00046129">
      <w:pPr>
        <w:spacing w:line="360" w:lineRule="auto"/>
        <w:jc w:val="center"/>
        <w:rPr>
          <w:rFonts w:ascii="Arial" w:hAnsi="Arial" w:cs="Arial"/>
          <w:b/>
          <w:spacing w:val="20"/>
        </w:rPr>
      </w:pPr>
    </w:p>
    <w:p w:rsidR="00AF4320" w:rsidRPr="000D36C4" w:rsidRDefault="00AF4320" w:rsidP="00046129">
      <w:pPr>
        <w:spacing w:line="360" w:lineRule="auto"/>
        <w:jc w:val="center"/>
        <w:rPr>
          <w:rFonts w:ascii="Arial" w:hAnsi="Arial" w:cs="Arial"/>
          <w:b/>
          <w:spacing w:val="20"/>
        </w:rPr>
      </w:pPr>
    </w:p>
    <w:p w:rsidR="00046129" w:rsidRPr="000D36C4" w:rsidRDefault="00046129" w:rsidP="00046129">
      <w:pPr>
        <w:spacing w:line="360" w:lineRule="auto"/>
        <w:jc w:val="center"/>
        <w:rPr>
          <w:rFonts w:ascii="Arial" w:hAnsi="Arial" w:cs="Arial"/>
          <w:b/>
          <w:spacing w:val="20"/>
        </w:rPr>
      </w:pPr>
    </w:p>
    <w:p w:rsidR="00046129" w:rsidRPr="000D36C4" w:rsidRDefault="00046129" w:rsidP="00046129">
      <w:pPr>
        <w:spacing w:line="360" w:lineRule="auto"/>
        <w:jc w:val="center"/>
        <w:rPr>
          <w:rFonts w:ascii="Arial" w:hAnsi="Arial" w:cs="Arial"/>
          <w:b/>
          <w:spacing w:val="20"/>
        </w:rPr>
      </w:pPr>
    </w:p>
    <w:p w:rsidR="00046129" w:rsidRPr="000D36C4" w:rsidRDefault="00046129" w:rsidP="00046129">
      <w:pPr>
        <w:spacing w:line="360" w:lineRule="auto"/>
        <w:jc w:val="center"/>
        <w:rPr>
          <w:rFonts w:ascii="Arial" w:hAnsi="Arial" w:cs="Arial"/>
          <w:b/>
          <w:spacing w:val="20"/>
        </w:rPr>
      </w:pPr>
    </w:p>
    <w:p w:rsidR="00046129" w:rsidRPr="000D36C4" w:rsidRDefault="00046129" w:rsidP="00046129">
      <w:pPr>
        <w:spacing w:line="360" w:lineRule="auto"/>
        <w:jc w:val="center"/>
        <w:rPr>
          <w:rFonts w:ascii="Arial" w:hAnsi="Arial" w:cs="Arial"/>
          <w:b/>
          <w:spacing w:val="20"/>
        </w:rPr>
      </w:pPr>
    </w:p>
    <w:p w:rsidR="00AF4320" w:rsidRPr="000D36C4" w:rsidRDefault="00AF4320" w:rsidP="00046129">
      <w:pPr>
        <w:spacing w:line="360" w:lineRule="auto"/>
        <w:jc w:val="center"/>
        <w:rPr>
          <w:rFonts w:ascii="Arial" w:hAnsi="Arial" w:cs="Arial"/>
          <w:b/>
          <w:spacing w:val="20"/>
        </w:rPr>
      </w:pPr>
    </w:p>
    <w:p w:rsidR="00B550CE" w:rsidRPr="000D36C4" w:rsidRDefault="00B550CE" w:rsidP="00046129">
      <w:pPr>
        <w:spacing w:line="360" w:lineRule="auto"/>
        <w:jc w:val="center"/>
        <w:rPr>
          <w:rFonts w:ascii="Arial" w:hAnsi="Arial" w:cs="Arial"/>
          <w:b/>
          <w:spacing w:val="20"/>
        </w:rPr>
      </w:pPr>
    </w:p>
    <w:p w:rsidR="00B550CE" w:rsidRPr="000D36C4" w:rsidRDefault="00B550CE" w:rsidP="00046129">
      <w:pPr>
        <w:spacing w:line="360" w:lineRule="auto"/>
        <w:jc w:val="center"/>
        <w:rPr>
          <w:rFonts w:ascii="Arial" w:hAnsi="Arial" w:cs="Arial"/>
          <w:b/>
          <w:spacing w:val="20"/>
        </w:rPr>
      </w:pPr>
    </w:p>
    <w:p w:rsidR="00B550CE" w:rsidRPr="000D36C4" w:rsidRDefault="00046129" w:rsidP="00046129">
      <w:pPr>
        <w:spacing w:line="360" w:lineRule="auto"/>
        <w:jc w:val="center"/>
        <w:rPr>
          <w:rFonts w:ascii="Arial" w:hAnsi="Arial" w:cs="Arial"/>
          <w:b/>
          <w:spacing w:val="20"/>
        </w:rPr>
      </w:pPr>
      <w:r w:rsidRPr="000D36C4">
        <w:rPr>
          <w:rFonts w:ascii="Arial" w:hAnsi="Arial" w:cs="Arial"/>
          <w:b/>
          <w:bCs/>
          <w:spacing w:val="20"/>
        </w:rPr>
        <w:t>INFRAÇÕES E SANÇÕES ADMINISTRATIVAS EM LICITAÇÕES E CONTRATOS ADMINISTRATIVOS</w:t>
      </w:r>
      <w:r w:rsidRPr="000D36C4">
        <w:rPr>
          <w:rFonts w:ascii="Arial" w:hAnsi="Arial" w:cs="Arial"/>
          <w:b/>
          <w:spacing w:val="20"/>
        </w:rPr>
        <w:t xml:space="preserve">. </w:t>
      </w:r>
    </w:p>
    <w:p w:rsidR="00AF4320" w:rsidRPr="000D36C4" w:rsidRDefault="00046129" w:rsidP="00046129">
      <w:pPr>
        <w:pStyle w:val="Identificao"/>
        <w:tabs>
          <w:tab w:val="left" w:pos="3556"/>
        </w:tabs>
        <w:spacing w:line="360" w:lineRule="auto"/>
        <w:rPr>
          <w:rFonts w:ascii="Arial" w:hAnsi="Arial" w:cs="Arial"/>
          <w:b/>
          <w:spacing w:val="20"/>
        </w:rPr>
      </w:pPr>
      <w:r w:rsidRPr="000D36C4">
        <w:rPr>
          <w:rFonts w:ascii="Arial" w:hAnsi="Arial" w:cs="Arial"/>
          <w:b/>
          <w:spacing w:val="20"/>
        </w:rPr>
        <w:tab/>
      </w:r>
    </w:p>
    <w:p w:rsidR="00AF4320" w:rsidRPr="000D36C4" w:rsidRDefault="00AF4320" w:rsidP="00046129">
      <w:pPr>
        <w:pStyle w:val="Identificao"/>
        <w:spacing w:line="360" w:lineRule="auto"/>
        <w:rPr>
          <w:rFonts w:ascii="Arial" w:hAnsi="Arial" w:cs="Arial"/>
          <w:b/>
          <w:spacing w:val="20"/>
        </w:rPr>
      </w:pPr>
    </w:p>
    <w:p w:rsidR="00046129" w:rsidRPr="000D36C4" w:rsidRDefault="00046129" w:rsidP="00046129">
      <w:pPr>
        <w:pStyle w:val="Identificao"/>
        <w:spacing w:line="360" w:lineRule="auto"/>
        <w:rPr>
          <w:rFonts w:ascii="Arial" w:hAnsi="Arial" w:cs="Arial"/>
          <w:b/>
          <w:spacing w:val="20"/>
        </w:rPr>
      </w:pPr>
    </w:p>
    <w:p w:rsidR="00046129" w:rsidRPr="000D36C4" w:rsidRDefault="00046129" w:rsidP="00046129">
      <w:pPr>
        <w:pStyle w:val="Identificao"/>
        <w:spacing w:line="360" w:lineRule="auto"/>
        <w:rPr>
          <w:rFonts w:ascii="Arial" w:hAnsi="Arial" w:cs="Arial"/>
          <w:b/>
          <w:spacing w:val="20"/>
        </w:rPr>
      </w:pPr>
    </w:p>
    <w:p w:rsidR="00046129" w:rsidRPr="000D36C4" w:rsidRDefault="00046129" w:rsidP="00046129">
      <w:pPr>
        <w:pStyle w:val="Identificao"/>
        <w:spacing w:line="360" w:lineRule="auto"/>
        <w:rPr>
          <w:rFonts w:ascii="Arial" w:hAnsi="Arial" w:cs="Arial"/>
          <w:b/>
          <w:spacing w:val="20"/>
        </w:rPr>
      </w:pPr>
    </w:p>
    <w:p w:rsidR="00046129" w:rsidRPr="000D36C4" w:rsidRDefault="00046129" w:rsidP="00046129">
      <w:pPr>
        <w:pStyle w:val="Identificao"/>
        <w:spacing w:line="360" w:lineRule="auto"/>
        <w:rPr>
          <w:rFonts w:ascii="Arial" w:hAnsi="Arial" w:cs="Arial"/>
          <w:b/>
          <w:spacing w:val="20"/>
        </w:rPr>
      </w:pPr>
    </w:p>
    <w:p w:rsidR="00046129" w:rsidRPr="000D36C4" w:rsidRDefault="00046129" w:rsidP="00046129">
      <w:pPr>
        <w:pStyle w:val="Identificao"/>
        <w:spacing w:line="360" w:lineRule="auto"/>
        <w:rPr>
          <w:rFonts w:ascii="Arial" w:hAnsi="Arial" w:cs="Arial"/>
          <w:b/>
          <w:spacing w:val="20"/>
        </w:rPr>
      </w:pPr>
    </w:p>
    <w:p w:rsidR="00046129" w:rsidRPr="000D36C4" w:rsidRDefault="00046129" w:rsidP="00046129">
      <w:pPr>
        <w:pStyle w:val="Identificao"/>
        <w:spacing w:line="360" w:lineRule="auto"/>
        <w:rPr>
          <w:rFonts w:ascii="Arial" w:hAnsi="Arial" w:cs="Arial"/>
          <w:b/>
          <w:spacing w:val="20"/>
        </w:rPr>
      </w:pPr>
    </w:p>
    <w:p w:rsidR="00046129" w:rsidRPr="000D36C4" w:rsidRDefault="00046129" w:rsidP="00046129">
      <w:pPr>
        <w:pStyle w:val="Identificao"/>
        <w:spacing w:line="360" w:lineRule="auto"/>
        <w:rPr>
          <w:rFonts w:ascii="Arial" w:hAnsi="Arial" w:cs="Arial"/>
          <w:b/>
          <w:spacing w:val="20"/>
        </w:rPr>
      </w:pPr>
    </w:p>
    <w:p w:rsidR="00AF4320" w:rsidRPr="000D36C4" w:rsidRDefault="00AF4320" w:rsidP="00046129">
      <w:pPr>
        <w:pStyle w:val="Identificao"/>
        <w:spacing w:line="360" w:lineRule="auto"/>
        <w:rPr>
          <w:rFonts w:ascii="Arial" w:hAnsi="Arial" w:cs="Arial"/>
          <w:b/>
          <w:spacing w:val="20"/>
        </w:rPr>
      </w:pPr>
    </w:p>
    <w:p w:rsidR="00AF4320" w:rsidRPr="000D36C4" w:rsidRDefault="00AF4320" w:rsidP="00046129">
      <w:pPr>
        <w:pStyle w:val="Identificao"/>
        <w:spacing w:line="360" w:lineRule="auto"/>
        <w:rPr>
          <w:rFonts w:ascii="Arial" w:hAnsi="Arial" w:cs="Arial"/>
          <w:b/>
          <w:spacing w:val="20"/>
        </w:rPr>
      </w:pPr>
    </w:p>
    <w:p w:rsidR="00B550CE" w:rsidRPr="000D36C4" w:rsidRDefault="00B550CE" w:rsidP="00046129">
      <w:pPr>
        <w:pStyle w:val="Identificao"/>
        <w:spacing w:line="360" w:lineRule="auto"/>
        <w:rPr>
          <w:rFonts w:ascii="Arial" w:hAnsi="Arial" w:cs="Arial"/>
          <w:b/>
          <w:spacing w:val="20"/>
        </w:rPr>
      </w:pPr>
    </w:p>
    <w:p w:rsidR="00B550CE" w:rsidRPr="000D36C4" w:rsidRDefault="00B550CE" w:rsidP="00046129">
      <w:pPr>
        <w:pStyle w:val="Identificao"/>
        <w:spacing w:line="360" w:lineRule="auto"/>
        <w:rPr>
          <w:rFonts w:ascii="Arial" w:hAnsi="Arial" w:cs="Arial"/>
          <w:b/>
          <w:spacing w:val="20"/>
        </w:rPr>
      </w:pPr>
    </w:p>
    <w:p w:rsidR="00B550CE" w:rsidRPr="000D36C4" w:rsidRDefault="00B550CE" w:rsidP="00046129">
      <w:pPr>
        <w:pStyle w:val="Identificao"/>
        <w:spacing w:line="360" w:lineRule="auto"/>
        <w:jc w:val="center"/>
        <w:rPr>
          <w:rFonts w:ascii="Arial" w:hAnsi="Arial" w:cs="Arial"/>
          <w:b/>
          <w:spacing w:val="20"/>
        </w:rPr>
      </w:pPr>
      <w:r w:rsidRPr="000D36C4">
        <w:rPr>
          <w:rFonts w:ascii="Arial" w:hAnsi="Arial" w:cs="Arial"/>
          <w:b/>
          <w:spacing w:val="20"/>
        </w:rPr>
        <w:t>São Paulo</w:t>
      </w:r>
    </w:p>
    <w:p w:rsidR="00AF4320" w:rsidRPr="000D36C4" w:rsidRDefault="00AF4320" w:rsidP="00046129">
      <w:pPr>
        <w:pStyle w:val="Identificao"/>
        <w:spacing w:line="360" w:lineRule="auto"/>
        <w:jc w:val="center"/>
        <w:rPr>
          <w:rFonts w:ascii="Arial" w:hAnsi="Arial" w:cs="Arial"/>
          <w:b/>
          <w:spacing w:val="20"/>
        </w:rPr>
      </w:pPr>
      <w:r w:rsidRPr="000D36C4">
        <w:rPr>
          <w:rFonts w:ascii="Arial" w:hAnsi="Arial" w:cs="Arial"/>
          <w:b/>
          <w:spacing w:val="20"/>
        </w:rPr>
        <w:t>Edição do Autor</w:t>
      </w:r>
    </w:p>
    <w:p w:rsidR="004837C1" w:rsidRPr="000D36C4" w:rsidRDefault="00AF4320" w:rsidP="00046129">
      <w:pPr>
        <w:pStyle w:val="Identificao"/>
        <w:spacing w:line="360" w:lineRule="auto"/>
        <w:jc w:val="center"/>
        <w:rPr>
          <w:rFonts w:ascii="Arial" w:hAnsi="Arial" w:cs="Arial"/>
          <w:b/>
          <w:spacing w:val="20"/>
        </w:rPr>
      </w:pPr>
      <w:r w:rsidRPr="000D36C4">
        <w:rPr>
          <w:rFonts w:ascii="Arial" w:hAnsi="Arial" w:cs="Arial"/>
          <w:b/>
          <w:spacing w:val="20"/>
        </w:rPr>
        <w:t>2016</w:t>
      </w:r>
    </w:p>
    <w:tbl>
      <w:tblPr>
        <w:tblW w:w="8645" w:type="dxa"/>
        <w:jc w:val="center"/>
        <w:tblLayout w:type="fixed"/>
        <w:tblCellMar>
          <w:left w:w="70" w:type="dxa"/>
          <w:right w:w="70" w:type="dxa"/>
        </w:tblCellMar>
        <w:tblLook w:val="0000" w:firstRow="0" w:lastRow="0" w:firstColumn="0" w:lastColumn="0" w:noHBand="0" w:noVBand="0"/>
      </w:tblPr>
      <w:tblGrid>
        <w:gridCol w:w="8645"/>
      </w:tblGrid>
      <w:tr w:rsidR="002F3CA8" w:rsidRPr="000D36C4" w:rsidTr="004837C1">
        <w:trPr>
          <w:jc w:val="center"/>
        </w:trPr>
        <w:tc>
          <w:tcPr>
            <w:tcW w:w="8645" w:type="dxa"/>
            <w:noWrap/>
          </w:tcPr>
          <w:p w:rsidR="002F3CA8" w:rsidRPr="000D36C4" w:rsidRDefault="00346F23" w:rsidP="000D36C4">
            <w:pPr>
              <w:shd w:val="clear" w:color="auto" w:fill="E0E0E0"/>
              <w:autoSpaceDE w:val="0"/>
              <w:autoSpaceDN w:val="0"/>
              <w:adjustRightInd w:val="0"/>
              <w:spacing w:before="240" w:after="120" w:line="360" w:lineRule="auto"/>
              <w:jc w:val="both"/>
              <w:rPr>
                <w:rFonts w:ascii="Arial" w:hAnsi="Arial" w:cs="Arial"/>
                <w:b/>
                <w:i/>
                <w:iCs/>
                <w:spacing w:val="20"/>
              </w:rPr>
            </w:pPr>
            <w:r>
              <w:rPr>
                <w:rFonts w:ascii="Arial" w:hAnsi="Arial" w:cs="Arial"/>
                <w:b/>
                <w:spacing w:val="20"/>
              </w:rPr>
              <w:lastRenderedPageBreak/>
              <w:t xml:space="preserve">I - </w:t>
            </w:r>
            <w:r w:rsidR="002F3CA8" w:rsidRPr="000D36C4">
              <w:rPr>
                <w:rFonts w:ascii="Arial" w:hAnsi="Arial" w:cs="Arial"/>
                <w:b/>
                <w:spacing w:val="20"/>
              </w:rPr>
              <w:t xml:space="preserve">Introdução </w:t>
            </w:r>
          </w:p>
          <w:p w:rsidR="000D36C4" w:rsidRDefault="000D36C4" w:rsidP="000D36C4">
            <w:pPr>
              <w:autoSpaceDE w:val="0"/>
              <w:autoSpaceDN w:val="0"/>
              <w:adjustRightInd w:val="0"/>
              <w:spacing w:before="240" w:after="120" w:line="360" w:lineRule="auto"/>
              <w:jc w:val="both"/>
              <w:rPr>
                <w:rFonts w:ascii="Arial" w:hAnsi="Arial" w:cs="Arial"/>
                <w:spacing w:val="20"/>
              </w:rPr>
            </w:pPr>
          </w:p>
          <w:p w:rsidR="000D36C4" w:rsidRDefault="002F3CA8" w:rsidP="000D36C4">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O presente trabalho visa inicialmente </w:t>
            </w:r>
            <w:proofErr w:type="gramStart"/>
            <w:r w:rsidRPr="000D36C4">
              <w:rPr>
                <w:rFonts w:ascii="Arial" w:hAnsi="Arial" w:cs="Arial"/>
                <w:spacing w:val="20"/>
              </w:rPr>
              <w:t>a</w:t>
            </w:r>
            <w:proofErr w:type="gramEnd"/>
            <w:r w:rsidRPr="000D36C4">
              <w:rPr>
                <w:rFonts w:ascii="Arial" w:hAnsi="Arial" w:cs="Arial"/>
                <w:spacing w:val="20"/>
              </w:rPr>
              <w:t xml:space="preserve"> análise geral das infrações e sanções administrativas em licitações e contratos administrativos. </w:t>
            </w:r>
          </w:p>
          <w:p w:rsidR="002F3CA8" w:rsidRDefault="002F3CA8" w:rsidP="000D36C4">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Após esse primeiro levantamento, iremos aproximar os princípios, legislação e regras a</w:t>
            </w:r>
            <w:r w:rsidR="000D36C4">
              <w:rPr>
                <w:rFonts w:ascii="Arial" w:hAnsi="Arial" w:cs="Arial"/>
                <w:spacing w:val="20"/>
              </w:rPr>
              <w:t xml:space="preserve"> um</w:t>
            </w:r>
            <w:r w:rsidRPr="000D36C4">
              <w:rPr>
                <w:rFonts w:ascii="Arial" w:hAnsi="Arial" w:cs="Arial"/>
                <w:spacing w:val="20"/>
              </w:rPr>
              <w:t xml:space="preserve"> caso </w:t>
            </w:r>
            <w:r w:rsidR="000D36C4">
              <w:rPr>
                <w:rFonts w:ascii="Arial" w:hAnsi="Arial" w:cs="Arial"/>
                <w:spacing w:val="20"/>
              </w:rPr>
              <w:t>hipotético</w:t>
            </w:r>
            <w:r w:rsidRPr="000D36C4">
              <w:rPr>
                <w:rFonts w:ascii="Arial" w:hAnsi="Arial" w:cs="Arial"/>
                <w:spacing w:val="20"/>
              </w:rPr>
              <w:t xml:space="preserve"> estabelecendo as formas vigentes de solução e direcionamento do caso. </w:t>
            </w:r>
          </w:p>
          <w:p w:rsidR="000D36C4" w:rsidRPr="000D36C4" w:rsidRDefault="000D36C4" w:rsidP="00BA5783">
            <w:pPr>
              <w:autoSpaceDE w:val="0"/>
              <w:autoSpaceDN w:val="0"/>
              <w:adjustRightInd w:val="0"/>
              <w:spacing w:before="240" w:after="120" w:line="360" w:lineRule="auto"/>
              <w:ind w:firstLine="2269"/>
              <w:jc w:val="both"/>
              <w:rPr>
                <w:rFonts w:ascii="Arial" w:hAnsi="Arial" w:cs="Arial"/>
                <w:spacing w:val="20"/>
              </w:rPr>
            </w:pPr>
            <w:r>
              <w:rPr>
                <w:rFonts w:ascii="Arial" w:hAnsi="Arial" w:cs="Arial"/>
                <w:spacing w:val="20"/>
              </w:rPr>
              <w:t xml:space="preserve">Possibilidade de </w:t>
            </w:r>
            <w:r w:rsidRPr="000D36C4">
              <w:rPr>
                <w:rFonts w:ascii="Arial" w:hAnsi="Arial" w:cs="Arial"/>
                <w:spacing w:val="20"/>
              </w:rPr>
              <w:t xml:space="preserve">participação da </w:t>
            </w:r>
            <w:r w:rsidR="00BA5783">
              <w:rPr>
                <w:rFonts w:ascii="Arial" w:hAnsi="Arial" w:cs="Arial"/>
                <w:spacing w:val="20"/>
              </w:rPr>
              <w:t xml:space="preserve">uma </w:t>
            </w:r>
            <w:r w:rsidRPr="000D36C4">
              <w:rPr>
                <w:rFonts w:ascii="Arial" w:hAnsi="Arial" w:cs="Arial"/>
                <w:spacing w:val="20"/>
              </w:rPr>
              <w:t xml:space="preserve">empresa </w:t>
            </w:r>
            <w:r w:rsidRPr="00BA5783">
              <w:rPr>
                <w:rFonts w:ascii="Arial" w:hAnsi="Arial" w:cs="Arial"/>
                <w:spacing w:val="20"/>
              </w:rPr>
              <w:t>de</w:t>
            </w:r>
            <w:r>
              <w:rPr>
                <w:rFonts w:ascii="Arial" w:hAnsi="Arial" w:cs="Arial"/>
                <w:i/>
                <w:spacing w:val="20"/>
              </w:rPr>
              <w:t xml:space="preserve"> </w:t>
            </w:r>
            <w:r w:rsidRPr="000D36C4">
              <w:rPr>
                <w:rFonts w:ascii="Arial" w:hAnsi="Arial" w:cs="Arial"/>
                <w:spacing w:val="20"/>
              </w:rPr>
              <w:t>Remédios</w:t>
            </w:r>
            <w:r>
              <w:rPr>
                <w:rFonts w:ascii="Arial" w:hAnsi="Arial" w:cs="Arial"/>
                <w:i/>
                <w:spacing w:val="20"/>
              </w:rPr>
              <w:t xml:space="preserve"> </w:t>
            </w:r>
            <w:r w:rsidRPr="000D36C4">
              <w:rPr>
                <w:rFonts w:ascii="Arial" w:hAnsi="Arial" w:cs="Arial"/>
                <w:spacing w:val="20"/>
              </w:rPr>
              <w:t>em licitações nos Estados e Municípios, considerando a abrangência da sanção de declaração de inidoneida</w:t>
            </w:r>
            <w:r w:rsidR="00BA5783">
              <w:rPr>
                <w:rFonts w:ascii="Arial" w:hAnsi="Arial" w:cs="Arial"/>
                <w:spacing w:val="20"/>
              </w:rPr>
              <w:t xml:space="preserve">de. </w:t>
            </w:r>
          </w:p>
        </w:tc>
      </w:tr>
      <w:tr w:rsidR="002F3CA8" w:rsidRPr="000D36C4" w:rsidTr="004837C1">
        <w:trPr>
          <w:trHeight w:val="1980"/>
          <w:jc w:val="center"/>
        </w:trPr>
        <w:tc>
          <w:tcPr>
            <w:tcW w:w="8645" w:type="dxa"/>
            <w:noWrap/>
          </w:tcPr>
          <w:p w:rsidR="002F3CA8" w:rsidRPr="000D36C4" w:rsidRDefault="00BA5783" w:rsidP="00BA5783">
            <w:pPr>
              <w:autoSpaceDE w:val="0"/>
              <w:autoSpaceDN w:val="0"/>
              <w:adjustRightInd w:val="0"/>
              <w:spacing w:before="240" w:after="120" w:line="360" w:lineRule="auto"/>
              <w:ind w:firstLine="2269"/>
              <w:jc w:val="both"/>
              <w:rPr>
                <w:rFonts w:ascii="Arial" w:hAnsi="Arial" w:cs="Arial"/>
                <w:spacing w:val="20"/>
              </w:rPr>
            </w:pPr>
            <w:r>
              <w:rPr>
                <w:rFonts w:ascii="Arial" w:hAnsi="Arial" w:cs="Arial"/>
                <w:spacing w:val="20"/>
              </w:rPr>
              <w:t xml:space="preserve">A problemática versará sobre a declaração inidoneidade por um Hospital </w:t>
            </w:r>
            <w:r w:rsidR="002F3CA8" w:rsidRPr="000D36C4">
              <w:rPr>
                <w:rFonts w:ascii="Arial" w:hAnsi="Arial" w:cs="Arial"/>
                <w:spacing w:val="20"/>
              </w:rPr>
              <w:t xml:space="preserve">Federal, informação essa, que aos olhos leigos poderia entender que tal declaração de inidoneidade em nada afetaria a contratação da empresa </w:t>
            </w:r>
            <w:r>
              <w:rPr>
                <w:rFonts w:ascii="Arial" w:hAnsi="Arial" w:cs="Arial"/>
                <w:spacing w:val="20"/>
              </w:rPr>
              <w:t>de</w:t>
            </w:r>
            <w:r w:rsidR="002F3CA8" w:rsidRPr="000D36C4">
              <w:rPr>
                <w:rFonts w:ascii="Arial" w:hAnsi="Arial" w:cs="Arial"/>
                <w:spacing w:val="20"/>
              </w:rPr>
              <w:t xml:space="preserve"> Remédios com entes estaduais ou municipais.</w:t>
            </w:r>
          </w:p>
          <w:p w:rsidR="00BA5783" w:rsidRDefault="002F3CA8" w:rsidP="00BA578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Ocorre que, a declaração de inidoneidade conforme previsão legal abrange os </w:t>
            </w:r>
            <w:proofErr w:type="gramStart"/>
            <w:r w:rsidRPr="000D36C4">
              <w:rPr>
                <w:rFonts w:ascii="Arial" w:hAnsi="Arial" w:cs="Arial"/>
                <w:spacing w:val="20"/>
              </w:rPr>
              <w:t>entres</w:t>
            </w:r>
            <w:proofErr w:type="gramEnd"/>
            <w:r w:rsidRPr="000D36C4">
              <w:rPr>
                <w:rFonts w:ascii="Arial" w:hAnsi="Arial" w:cs="Arial"/>
                <w:spacing w:val="20"/>
              </w:rPr>
              <w:t xml:space="preserve"> da “Administração Pública”, diferentemente da </w:t>
            </w:r>
            <w:r w:rsidR="00BA5783">
              <w:rPr>
                <w:rFonts w:ascii="Arial" w:hAnsi="Arial" w:cs="Arial"/>
                <w:spacing w:val="20"/>
              </w:rPr>
              <w:t xml:space="preserve">expressão </w:t>
            </w:r>
            <w:r w:rsidRPr="000D36C4">
              <w:rPr>
                <w:rFonts w:ascii="Arial" w:hAnsi="Arial" w:cs="Arial"/>
                <w:spacing w:val="20"/>
              </w:rPr>
              <w:t xml:space="preserve">“Administração”. </w:t>
            </w:r>
          </w:p>
          <w:p w:rsidR="00BA5783" w:rsidRDefault="002F3CA8" w:rsidP="00BA578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A Administração Pública é entendida como a administração direta e indireta da União, dos Estados, do Distrito Federal e dos Municípios, englobando as entidades com personalidade jurídica de direito privado </w:t>
            </w:r>
            <w:proofErr w:type="gramStart"/>
            <w:r w:rsidRPr="000D36C4">
              <w:rPr>
                <w:rFonts w:ascii="Arial" w:hAnsi="Arial" w:cs="Arial"/>
                <w:spacing w:val="20"/>
              </w:rPr>
              <w:t>sob controle</w:t>
            </w:r>
            <w:proofErr w:type="gramEnd"/>
            <w:r w:rsidRPr="000D36C4">
              <w:rPr>
                <w:rFonts w:ascii="Arial" w:hAnsi="Arial" w:cs="Arial"/>
                <w:spacing w:val="20"/>
              </w:rPr>
              <w:t xml:space="preserve"> do poder público e das fundações por ele instituídas ou mantidas.</w:t>
            </w:r>
          </w:p>
          <w:p w:rsidR="00BA5783" w:rsidRDefault="002F3CA8" w:rsidP="00BA578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Já Administração é entendida como o órgão, entidade ou unidade administrativa pela qual a Administração </w:t>
            </w:r>
            <w:r w:rsidRPr="000D36C4">
              <w:rPr>
                <w:rFonts w:ascii="Arial" w:hAnsi="Arial" w:cs="Arial"/>
                <w:spacing w:val="20"/>
              </w:rPr>
              <w:lastRenderedPageBreak/>
              <w:t xml:space="preserve">Pública opera e atua concretamente. </w:t>
            </w:r>
          </w:p>
          <w:p w:rsidR="00BA5783" w:rsidRDefault="002F3CA8" w:rsidP="00BA578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Devemos aqui</w:t>
            </w:r>
            <w:r w:rsidR="00BA5783">
              <w:rPr>
                <w:rFonts w:ascii="Arial" w:hAnsi="Arial" w:cs="Arial"/>
                <w:spacing w:val="20"/>
              </w:rPr>
              <w:t>,</w:t>
            </w:r>
            <w:r w:rsidRPr="000D36C4">
              <w:rPr>
                <w:rFonts w:ascii="Arial" w:hAnsi="Arial" w:cs="Arial"/>
                <w:spacing w:val="20"/>
              </w:rPr>
              <w:t xml:space="preserve"> lembrar a Obra Prima de Carlos Maximiliano, Hermenêutica e aplicação do direito, onde felizmente expressou a aclamada frase: “Não se presumem, na lei, palavras inúteis”</w:t>
            </w:r>
            <w:r w:rsidR="00BA5783">
              <w:rPr>
                <w:rFonts w:ascii="Arial" w:hAnsi="Arial" w:cs="Arial"/>
                <w:spacing w:val="20"/>
              </w:rPr>
              <w:t>.</w:t>
            </w:r>
          </w:p>
          <w:p w:rsidR="00BA5783" w:rsidRDefault="002F3CA8" w:rsidP="00BA578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Levando isso em consideração, e nos atentando à vontade do legislador no momento de elaboração das normas, a distinção acima foi explicitada propositalmente. </w:t>
            </w:r>
          </w:p>
          <w:p w:rsidR="00BA5783" w:rsidRDefault="002F3CA8" w:rsidP="00BA578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Apesar de diversos autores entenderem absurda a restrição prevista na suspenção, por abranger apenas a suspensão de contratação com ente especifico, caso assim não o fosse, teríamos duas penalidades com a mesma finalidade e apenas prazos distintos, o que não óbvio não se pode cogitar. </w:t>
            </w:r>
          </w:p>
          <w:p w:rsidR="00BA5783" w:rsidRDefault="002F3CA8" w:rsidP="00BA578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Ainda que nos aventurássemos por esse caminho, deveríamos relevar não somente o momento social da elaboração da norma e sua intenção, mas toda a construção doutrinária por trás dela, bem como a história pátria. Seria o mesmo que colocar uma venda, ou simplesmente apagar o passado com uma borracha. </w:t>
            </w:r>
          </w:p>
          <w:p w:rsidR="00BA5783" w:rsidRDefault="002F3CA8" w:rsidP="00BA578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Realizadas tais considerações, e agora retomando ao tema proposto, temos que a declaração de inidoneidade (simples e pura) veda sim a participação da empresa </w:t>
            </w:r>
            <w:r w:rsidR="00BA5783">
              <w:rPr>
                <w:rFonts w:ascii="Arial" w:hAnsi="Arial" w:cs="Arial"/>
                <w:spacing w:val="20"/>
              </w:rPr>
              <w:t>de</w:t>
            </w:r>
            <w:r w:rsidRPr="000D36C4">
              <w:rPr>
                <w:rFonts w:ascii="Arial" w:hAnsi="Arial" w:cs="Arial"/>
                <w:spacing w:val="20"/>
              </w:rPr>
              <w:t xml:space="preserve"> Remédios na participação de licitações com entes dos estados e dos municípios. </w:t>
            </w:r>
          </w:p>
          <w:p w:rsidR="00BA5783" w:rsidRDefault="002F3CA8" w:rsidP="00BA578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Por outro lado, </w:t>
            </w:r>
            <w:r w:rsidR="00BA5783">
              <w:rPr>
                <w:rFonts w:ascii="Arial" w:hAnsi="Arial" w:cs="Arial"/>
                <w:spacing w:val="20"/>
              </w:rPr>
              <w:t>podemos alargar a problemática sobre o prisma de uma suposta greve que gerou um eventual atraso na entrega de medicamentos, decorrendo daí a declaração de inidoneidade.</w:t>
            </w:r>
            <w:r w:rsidRPr="000D36C4">
              <w:rPr>
                <w:rFonts w:ascii="Arial" w:hAnsi="Arial" w:cs="Arial"/>
                <w:spacing w:val="20"/>
              </w:rPr>
              <w:t xml:space="preserve"> </w:t>
            </w:r>
          </w:p>
          <w:p w:rsidR="00BA5783" w:rsidRDefault="002F3CA8" w:rsidP="00BA578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Todavia, entendemos não ser possível </w:t>
            </w:r>
            <w:r w:rsidRPr="000D36C4">
              <w:rPr>
                <w:rFonts w:ascii="Arial" w:hAnsi="Arial" w:cs="Arial"/>
                <w:spacing w:val="20"/>
              </w:rPr>
              <w:lastRenderedPageBreak/>
              <w:t>estabelecer uma relação de causalidade imediata entre a existência de um movimento grevista e a admissão d</w:t>
            </w:r>
            <w:r w:rsidR="00346F23">
              <w:rPr>
                <w:rFonts w:ascii="Arial" w:hAnsi="Arial" w:cs="Arial"/>
                <w:spacing w:val="20"/>
              </w:rPr>
              <w:t>e um</w:t>
            </w:r>
            <w:r w:rsidRPr="000D36C4">
              <w:rPr>
                <w:rFonts w:ascii="Arial" w:hAnsi="Arial" w:cs="Arial"/>
                <w:spacing w:val="20"/>
              </w:rPr>
              <w:t xml:space="preserve"> argumento de força maior. </w:t>
            </w: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Isso porque a caracterização de força maior não depende da ocorrência de determinado evento, mas de que tal evento seja dotado de algumas características específicas (a inevitabilidade do evento e das consequências que dele decorrem para a execução de determinado contrato) que permitem a invocação da ocorrência de força maior. </w:t>
            </w:r>
          </w:p>
          <w:p w:rsidR="00346F23" w:rsidRDefault="00346F23" w:rsidP="00346F23">
            <w:pPr>
              <w:autoSpaceDE w:val="0"/>
              <w:autoSpaceDN w:val="0"/>
              <w:adjustRightInd w:val="0"/>
              <w:spacing w:before="240" w:after="120" w:line="360" w:lineRule="auto"/>
              <w:ind w:firstLine="2269"/>
              <w:jc w:val="both"/>
              <w:rPr>
                <w:rFonts w:ascii="Arial" w:hAnsi="Arial" w:cs="Arial"/>
                <w:spacing w:val="20"/>
              </w:rPr>
            </w:pPr>
            <w:r>
              <w:rPr>
                <w:rFonts w:ascii="Arial" w:hAnsi="Arial" w:cs="Arial"/>
                <w:spacing w:val="20"/>
              </w:rPr>
              <w:t>Nos dias atuais.</w:t>
            </w:r>
            <w:r w:rsidR="002F3CA8" w:rsidRPr="000D36C4">
              <w:rPr>
                <w:rFonts w:ascii="Arial" w:hAnsi="Arial" w:cs="Arial"/>
                <w:spacing w:val="20"/>
              </w:rPr>
              <w:t xml:space="preserve"> </w:t>
            </w:r>
            <w:proofErr w:type="gramStart"/>
            <w:r w:rsidR="002F3CA8" w:rsidRPr="000D36C4">
              <w:rPr>
                <w:rFonts w:ascii="Arial" w:hAnsi="Arial" w:cs="Arial"/>
                <w:spacing w:val="20"/>
              </w:rPr>
              <w:t>pode</w:t>
            </w:r>
            <w:proofErr w:type="gramEnd"/>
            <w:r w:rsidR="002F3CA8" w:rsidRPr="000D36C4">
              <w:rPr>
                <w:rFonts w:ascii="Arial" w:hAnsi="Arial" w:cs="Arial"/>
                <w:spacing w:val="20"/>
              </w:rPr>
              <w:t xml:space="preserve">-se afirmar </w:t>
            </w:r>
            <w:r>
              <w:rPr>
                <w:rFonts w:ascii="Arial" w:hAnsi="Arial" w:cs="Arial"/>
                <w:spacing w:val="20"/>
              </w:rPr>
              <w:t>ser</w:t>
            </w:r>
            <w:r w:rsidR="002F3CA8" w:rsidRPr="000D36C4">
              <w:rPr>
                <w:rFonts w:ascii="Arial" w:hAnsi="Arial" w:cs="Arial"/>
                <w:spacing w:val="20"/>
              </w:rPr>
              <w:t xml:space="preserve"> esse é o parâmetro da jurisprudência do STJ, que afasta as alegações de força maior quando os movimentos grevistas são internos ao arguente, e, portanto, evitáveis) ou, embora externos, existam outros meios disponíveis para o cumprimento do contrato. </w:t>
            </w:r>
          </w:p>
          <w:p w:rsidR="002F3CA8" w:rsidRPr="000D36C4" w:rsidRDefault="002F3CA8" w:rsidP="00346F23">
            <w:pPr>
              <w:autoSpaceDE w:val="0"/>
              <w:autoSpaceDN w:val="0"/>
              <w:adjustRightInd w:val="0"/>
              <w:spacing w:before="240" w:after="120" w:line="360" w:lineRule="auto"/>
              <w:ind w:firstLine="2269"/>
              <w:jc w:val="both"/>
              <w:rPr>
                <w:rFonts w:ascii="Arial" w:hAnsi="Arial" w:cs="Arial"/>
                <w:spacing w:val="20"/>
              </w:rPr>
            </w:pPr>
          </w:p>
        </w:tc>
      </w:tr>
      <w:tr w:rsidR="002F3CA8" w:rsidRPr="000D36C4" w:rsidTr="004837C1">
        <w:trPr>
          <w:jc w:val="center"/>
        </w:trPr>
        <w:tc>
          <w:tcPr>
            <w:tcW w:w="8645" w:type="dxa"/>
            <w:noWrap/>
          </w:tcPr>
          <w:p w:rsidR="002F3CA8" w:rsidRPr="00346F23" w:rsidRDefault="00346F23" w:rsidP="00346F23">
            <w:pPr>
              <w:shd w:val="clear" w:color="auto" w:fill="E0E0E0"/>
              <w:autoSpaceDE w:val="0"/>
              <w:autoSpaceDN w:val="0"/>
              <w:adjustRightInd w:val="0"/>
              <w:spacing w:before="240" w:after="120" w:line="360" w:lineRule="auto"/>
              <w:jc w:val="both"/>
              <w:rPr>
                <w:rFonts w:ascii="Arial" w:hAnsi="Arial" w:cs="Arial"/>
                <w:b/>
                <w:spacing w:val="20"/>
              </w:rPr>
            </w:pPr>
            <w:r>
              <w:rPr>
                <w:rFonts w:ascii="Arial" w:hAnsi="Arial" w:cs="Arial"/>
                <w:b/>
                <w:spacing w:val="20"/>
              </w:rPr>
              <w:lastRenderedPageBreak/>
              <w:t xml:space="preserve">II - </w:t>
            </w:r>
            <w:r w:rsidR="002F3CA8" w:rsidRPr="00346F23">
              <w:rPr>
                <w:rFonts w:ascii="Arial" w:hAnsi="Arial" w:cs="Arial"/>
                <w:b/>
                <w:spacing w:val="20"/>
              </w:rPr>
              <w:t xml:space="preserve">Aplicabilidade da sanção, considerando o princípio da </w:t>
            </w:r>
            <w:proofErr w:type="gramStart"/>
            <w:r w:rsidR="002F3CA8" w:rsidRPr="00346F23">
              <w:rPr>
                <w:rFonts w:ascii="Arial" w:hAnsi="Arial" w:cs="Arial"/>
                <w:b/>
                <w:spacing w:val="20"/>
              </w:rPr>
              <w:t>proporcionalidade</w:t>
            </w:r>
            <w:proofErr w:type="gramEnd"/>
          </w:p>
          <w:p w:rsidR="00346F23" w:rsidRDefault="00346F23" w:rsidP="00346F23">
            <w:pPr>
              <w:autoSpaceDE w:val="0"/>
              <w:autoSpaceDN w:val="0"/>
              <w:adjustRightInd w:val="0"/>
              <w:spacing w:before="240" w:after="120" w:line="360" w:lineRule="auto"/>
              <w:ind w:firstLine="2269"/>
              <w:jc w:val="both"/>
              <w:rPr>
                <w:rFonts w:ascii="Arial" w:hAnsi="Arial" w:cs="Arial"/>
                <w:spacing w:val="20"/>
              </w:rPr>
            </w:pP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No tocante à aplicação da sanção, levando em consideração o princípio da proporcionalidade, entende-se que tal equilíbrio pode ser decorrente em um pensamento mais abrangente, da própria noção de justiça. </w:t>
            </w: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Justifica-se tal pensamento em razão de que uma sanção desproporcional não pode ser tida como justa ao contratante. </w:t>
            </w: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Essa noção remete à simples reflexão de que aqueles que celebram os contratos administrativos devem saber “as regras do jogo” e por óbvio que a omissão dessas regras, aqui </w:t>
            </w:r>
            <w:r w:rsidRPr="000D36C4">
              <w:rPr>
                <w:rFonts w:ascii="Arial" w:hAnsi="Arial" w:cs="Arial"/>
                <w:spacing w:val="20"/>
              </w:rPr>
              <w:lastRenderedPageBreak/>
              <w:t xml:space="preserve">especificamente à aplicabilidade da sanção gera grande insegurança nos contratados. </w:t>
            </w: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Se levarmos em consideração que a omissão na tipicidade das infrações foi “intencional”, para conferir ao administrador certa discricionariedade na aplicação das sanções, devemos ter em mente que o critério subjetivo não poderá agradar os contratados por diversas das vezes. </w:t>
            </w: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Quanto </w:t>
            </w:r>
            <w:r w:rsidR="00346F23">
              <w:rPr>
                <w:rFonts w:ascii="Arial" w:hAnsi="Arial" w:cs="Arial"/>
                <w:spacing w:val="20"/>
              </w:rPr>
              <w:t>a</w:t>
            </w:r>
            <w:r w:rsidRPr="000D36C4">
              <w:rPr>
                <w:rFonts w:ascii="Arial" w:hAnsi="Arial" w:cs="Arial"/>
                <w:spacing w:val="20"/>
              </w:rPr>
              <w:t xml:space="preserve"> levar em consideração o princípio da proporcionalidade, nada mais razoável, visando evitar assim imposições absurdas que podem até se assemelhar a aberrações.</w:t>
            </w: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Aqui temos um ponto crucial, a falta de previsão poderá levar ao favorecimento ou </w:t>
            </w:r>
            <w:proofErr w:type="spellStart"/>
            <w:r w:rsidRPr="000D36C4">
              <w:rPr>
                <w:rFonts w:ascii="Arial" w:hAnsi="Arial" w:cs="Arial"/>
                <w:spacing w:val="20"/>
              </w:rPr>
              <w:t>desfavorecimento</w:t>
            </w:r>
            <w:proofErr w:type="spellEnd"/>
            <w:r w:rsidRPr="000D36C4">
              <w:rPr>
                <w:rFonts w:ascii="Arial" w:hAnsi="Arial" w:cs="Arial"/>
                <w:spacing w:val="20"/>
              </w:rPr>
              <w:t xml:space="preserve"> de contratantes, inclusive, podendo, uma sanção demasiadamente severa, inviabilizar toda a continuidade da empresa. </w:t>
            </w:r>
            <w:r w:rsidR="00346F23">
              <w:rPr>
                <w:rFonts w:ascii="Arial" w:hAnsi="Arial" w:cs="Arial"/>
                <w:spacing w:val="20"/>
              </w:rPr>
              <w:t xml:space="preserve"> </w:t>
            </w:r>
          </w:p>
          <w:p w:rsidR="002F3CA8" w:rsidRPr="000D36C4" w:rsidRDefault="002F3CA8" w:rsidP="00346F23">
            <w:pPr>
              <w:autoSpaceDE w:val="0"/>
              <w:autoSpaceDN w:val="0"/>
              <w:adjustRightInd w:val="0"/>
              <w:spacing w:before="240" w:after="120" w:line="360" w:lineRule="auto"/>
              <w:ind w:firstLine="2269"/>
              <w:jc w:val="both"/>
              <w:rPr>
                <w:rFonts w:ascii="Arial" w:hAnsi="Arial" w:cs="Arial"/>
                <w:spacing w:val="20"/>
                <w:highlight w:val="yellow"/>
              </w:rPr>
            </w:pPr>
            <w:r w:rsidRPr="000D36C4">
              <w:rPr>
                <w:rFonts w:ascii="Arial" w:hAnsi="Arial" w:cs="Arial"/>
                <w:spacing w:val="20"/>
              </w:rPr>
              <w:t>Por fim o princípio da proporcionalidade afirma que o Estado não deve agir com demasia, tampouco de modo insuficiente na consecução dos seus objetivos.</w:t>
            </w:r>
          </w:p>
          <w:p w:rsidR="002F3CA8" w:rsidRPr="00346F23" w:rsidRDefault="00346F23" w:rsidP="00346F23">
            <w:pPr>
              <w:pBdr>
                <w:top w:val="single" w:sz="4" w:space="1" w:color="auto"/>
              </w:pBdr>
              <w:shd w:val="clear" w:color="auto" w:fill="E0E0E0"/>
              <w:autoSpaceDE w:val="0"/>
              <w:autoSpaceDN w:val="0"/>
              <w:adjustRightInd w:val="0"/>
              <w:spacing w:before="240" w:after="120" w:line="360" w:lineRule="auto"/>
              <w:jc w:val="both"/>
              <w:rPr>
                <w:rFonts w:ascii="Arial" w:hAnsi="Arial" w:cs="Arial"/>
                <w:b/>
                <w:spacing w:val="20"/>
              </w:rPr>
            </w:pPr>
            <w:r w:rsidRPr="00346F23">
              <w:rPr>
                <w:rFonts w:ascii="Arial" w:hAnsi="Arial" w:cs="Arial"/>
                <w:b/>
                <w:spacing w:val="20"/>
              </w:rPr>
              <w:t xml:space="preserve">III - </w:t>
            </w:r>
            <w:r w:rsidR="002F3CA8" w:rsidRPr="00346F23">
              <w:rPr>
                <w:rFonts w:ascii="Arial" w:hAnsi="Arial" w:cs="Arial"/>
                <w:b/>
                <w:spacing w:val="20"/>
              </w:rPr>
              <w:t>Discricionariedade do administrador na aplicação das sanções</w:t>
            </w:r>
          </w:p>
          <w:p w:rsidR="002F3CA8" w:rsidRPr="000D36C4" w:rsidRDefault="002F3CA8" w:rsidP="00346F23">
            <w:pPr>
              <w:pBdr>
                <w:top w:val="single" w:sz="4" w:space="1" w:color="auto"/>
              </w:pBdr>
              <w:autoSpaceDE w:val="0"/>
              <w:autoSpaceDN w:val="0"/>
              <w:adjustRightInd w:val="0"/>
              <w:spacing w:before="240" w:after="120" w:line="360" w:lineRule="auto"/>
              <w:jc w:val="both"/>
              <w:rPr>
                <w:rFonts w:ascii="Arial" w:hAnsi="Arial" w:cs="Arial"/>
                <w:spacing w:val="20"/>
                <w:highlight w:val="yellow"/>
              </w:rPr>
            </w:pP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Temos a discricionariedade como um mal necessário em nosso ordenamento jurídico. </w:t>
            </w: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Isso porque, se levarmos em consideração que o administrador nesses casos se investe do poder de decisão para aplicar a sanção e que nos casos de lacunas da lei, e que tais lacunas devem ser preenchidas por técnicas de integração, reduziríamos consideravelmente a insegurança. </w:t>
            </w: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Ora, em linguagem mais simples podemos dizer </w:t>
            </w:r>
            <w:r w:rsidRPr="000D36C4">
              <w:rPr>
                <w:rFonts w:ascii="Arial" w:hAnsi="Arial" w:cs="Arial"/>
                <w:spacing w:val="20"/>
              </w:rPr>
              <w:lastRenderedPageBreak/>
              <w:t xml:space="preserve">que: se as regras para aplicação das sanções não estão previstas na norma, iremos nos socorrer dos princípios; se ainda assim não conseguimos decidir com segurança, podemos sopesar princípios conflitantes; se ainda assim não estivermos seguros, partimos para decisões em casos similares; analogia; equidade. </w:t>
            </w: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Mas retornando ao tema, entendemos que o administrador tem em sua discricionariedade os limites dos princípios administrativos. </w:t>
            </w:r>
          </w:p>
          <w:p w:rsidR="002F3CA8" w:rsidRPr="000D36C4" w:rsidRDefault="002F3CA8" w:rsidP="00346F23">
            <w:pPr>
              <w:autoSpaceDE w:val="0"/>
              <w:autoSpaceDN w:val="0"/>
              <w:adjustRightInd w:val="0"/>
              <w:spacing w:before="240" w:after="120" w:line="360" w:lineRule="auto"/>
              <w:ind w:firstLine="2269"/>
              <w:jc w:val="both"/>
              <w:rPr>
                <w:rFonts w:ascii="Arial" w:hAnsi="Arial" w:cs="Arial"/>
                <w:spacing w:val="20"/>
                <w:highlight w:val="yellow"/>
              </w:rPr>
            </w:pPr>
            <w:r w:rsidRPr="000D36C4">
              <w:rPr>
                <w:rFonts w:ascii="Arial" w:hAnsi="Arial" w:cs="Arial"/>
                <w:spacing w:val="20"/>
              </w:rPr>
              <w:t xml:space="preserve">Poderíamos ainda aqui, fazer uma analogia pobre com a moldura de Kelsen, ou seja, a moldura do administrador seriam os princípios, e dentro dessa moldura teria discricionariedade para aplicar as sanções.  </w:t>
            </w:r>
          </w:p>
        </w:tc>
      </w:tr>
      <w:tr w:rsidR="002F3CA8" w:rsidRPr="000D36C4" w:rsidTr="004837C1">
        <w:trPr>
          <w:jc w:val="center"/>
        </w:trPr>
        <w:tc>
          <w:tcPr>
            <w:tcW w:w="8645" w:type="dxa"/>
            <w:noWrap/>
          </w:tcPr>
          <w:p w:rsidR="002F3CA8" w:rsidRPr="00346F23" w:rsidRDefault="00346F23" w:rsidP="00346F23">
            <w:pPr>
              <w:shd w:val="clear" w:color="auto" w:fill="E0E0E0"/>
              <w:autoSpaceDE w:val="0"/>
              <w:autoSpaceDN w:val="0"/>
              <w:adjustRightInd w:val="0"/>
              <w:spacing w:before="240" w:after="120" w:line="360" w:lineRule="auto"/>
              <w:jc w:val="both"/>
              <w:rPr>
                <w:rFonts w:ascii="Arial" w:hAnsi="Arial" w:cs="Arial"/>
                <w:b/>
                <w:spacing w:val="20"/>
              </w:rPr>
            </w:pPr>
            <w:r w:rsidRPr="00346F23">
              <w:rPr>
                <w:rFonts w:ascii="Arial" w:hAnsi="Arial" w:cs="Arial"/>
                <w:b/>
                <w:spacing w:val="20"/>
              </w:rPr>
              <w:lastRenderedPageBreak/>
              <w:t xml:space="preserve">IV - </w:t>
            </w:r>
            <w:r w:rsidR="002F3CA8" w:rsidRPr="00346F23">
              <w:rPr>
                <w:rFonts w:ascii="Arial" w:hAnsi="Arial" w:cs="Arial"/>
                <w:b/>
                <w:spacing w:val="20"/>
              </w:rPr>
              <w:t>Atenuantes da responsabilização do contratado</w:t>
            </w:r>
          </w:p>
          <w:p w:rsidR="002F3CA8" w:rsidRPr="000D36C4" w:rsidRDefault="002F3CA8" w:rsidP="00346F23">
            <w:pPr>
              <w:autoSpaceDE w:val="0"/>
              <w:autoSpaceDN w:val="0"/>
              <w:adjustRightInd w:val="0"/>
              <w:spacing w:before="240" w:after="120" w:line="360" w:lineRule="auto"/>
              <w:jc w:val="both"/>
              <w:rPr>
                <w:rFonts w:ascii="Arial" w:hAnsi="Arial" w:cs="Arial"/>
                <w:spacing w:val="20"/>
              </w:rPr>
            </w:pP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Sobre esse tópico, entendemos necessário fazer </w:t>
            </w:r>
            <w:proofErr w:type="gramStart"/>
            <w:r w:rsidRPr="000D36C4">
              <w:rPr>
                <w:rFonts w:ascii="Arial" w:hAnsi="Arial" w:cs="Arial"/>
                <w:spacing w:val="20"/>
              </w:rPr>
              <w:t>um introdução</w:t>
            </w:r>
            <w:proofErr w:type="gramEnd"/>
            <w:r w:rsidRPr="000D36C4">
              <w:rPr>
                <w:rFonts w:ascii="Arial" w:hAnsi="Arial" w:cs="Arial"/>
                <w:spacing w:val="20"/>
              </w:rPr>
              <w:t xml:space="preserve"> a fatos supervenientes, oriundos de circunstâncias exteriores ou da própria Administração, os quais interferem na execução do contrato administrativo, dando nascimento a relevantes no campo do direito público: a teoria da força maior, teoria da imprevisão, a teoria do fato do príncipe. </w:t>
            </w:r>
          </w:p>
          <w:p w:rsidR="00346F23"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Tais teorias procuram explicar quais as consequências jurídicas dos fatos novos relativamente às obrigações do contratante frente à Administração, respondendo às seguintes perguntas: em que casos o fato novo isente o contratante da sua obrigação de executar? Em que casos dão direito à indenização?</w:t>
            </w:r>
          </w:p>
          <w:p w:rsidR="002F3CA8" w:rsidRPr="000D36C4"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Todos esses pontos trazem </w:t>
            </w:r>
            <w:proofErr w:type="gramStart"/>
            <w:r w:rsidRPr="000D36C4">
              <w:rPr>
                <w:rFonts w:ascii="Arial" w:hAnsi="Arial" w:cs="Arial"/>
                <w:spacing w:val="20"/>
              </w:rPr>
              <w:t>um</w:t>
            </w:r>
            <w:r w:rsidR="00346F23">
              <w:rPr>
                <w:rFonts w:ascii="Arial" w:hAnsi="Arial" w:cs="Arial"/>
                <w:spacing w:val="20"/>
              </w:rPr>
              <w:t>a</w:t>
            </w:r>
            <w:r w:rsidRPr="000D36C4">
              <w:rPr>
                <w:rFonts w:ascii="Arial" w:hAnsi="Arial" w:cs="Arial"/>
                <w:spacing w:val="20"/>
              </w:rPr>
              <w:t xml:space="preserve"> certa</w:t>
            </w:r>
            <w:proofErr w:type="gramEnd"/>
            <w:r w:rsidRPr="000D36C4">
              <w:rPr>
                <w:rFonts w:ascii="Arial" w:hAnsi="Arial" w:cs="Arial"/>
                <w:spacing w:val="20"/>
              </w:rPr>
              <w:t xml:space="preserve"> forma de atenuação à responsabilização do contratado. </w:t>
            </w:r>
          </w:p>
        </w:tc>
      </w:tr>
      <w:tr w:rsidR="002F3CA8" w:rsidRPr="000D36C4" w:rsidTr="004837C1">
        <w:trPr>
          <w:jc w:val="center"/>
        </w:trPr>
        <w:tc>
          <w:tcPr>
            <w:tcW w:w="8645" w:type="dxa"/>
            <w:noWrap/>
          </w:tcPr>
          <w:p w:rsidR="002F3CA8" w:rsidRPr="00346F23" w:rsidRDefault="00346F23" w:rsidP="00046129">
            <w:pPr>
              <w:shd w:val="clear" w:color="auto" w:fill="E0E0E0"/>
              <w:autoSpaceDE w:val="0"/>
              <w:autoSpaceDN w:val="0"/>
              <w:adjustRightInd w:val="0"/>
              <w:spacing w:before="240" w:after="120" w:line="360" w:lineRule="auto"/>
              <w:rPr>
                <w:rFonts w:ascii="Arial" w:hAnsi="Arial" w:cs="Arial"/>
                <w:b/>
                <w:spacing w:val="20"/>
              </w:rPr>
            </w:pPr>
            <w:r w:rsidRPr="00346F23">
              <w:rPr>
                <w:rFonts w:ascii="Arial" w:hAnsi="Arial" w:cs="Arial"/>
                <w:b/>
                <w:spacing w:val="20"/>
              </w:rPr>
              <w:lastRenderedPageBreak/>
              <w:t xml:space="preserve">V - </w:t>
            </w:r>
            <w:r w:rsidR="002F3CA8" w:rsidRPr="00346F23">
              <w:rPr>
                <w:rFonts w:ascii="Arial" w:hAnsi="Arial" w:cs="Arial"/>
                <w:b/>
                <w:spacing w:val="20"/>
              </w:rPr>
              <w:t>Conclusão</w:t>
            </w:r>
          </w:p>
          <w:p w:rsidR="002F3CA8" w:rsidRPr="000D36C4" w:rsidRDefault="002F3CA8" w:rsidP="00046129">
            <w:pPr>
              <w:autoSpaceDE w:val="0"/>
              <w:autoSpaceDN w:val="0"/>
              <w:adjustRightInd w:val="0"/>
              <w:spacing w:before="240" w:after="120" w:line="360" w:lineRule="auto"/>
              <w:rPr>
                <w:rFonts w:ascii="Arial" w:hAnsi="Arial" w:cs="Arial"/>
                <w:spacing w:val="20"/>
              </w:rPr>
            </w:pPr>
          </w:p>
          <w:p w:rsidR="002F3CA8" w:rsidRPr="000D36C4" w:rsidRDefault="002F3CA8" w:rsidP="00346F23">
            <w:pPr>
              <w:autoSpaceDE w:val="0"/>
              <w:autoSpaceDN w:val="0"/>
              <w:adjustRightInd w:val="0"/>
              <w:spacing w:before="240" w:after="120" w:line="360" w:lineRule="auto"/>
              <w:ind w:firstLine="2269"/>
              <w:jc w:val="both"/>
              <w:rPr>
                <w:rFonts w:ascii="Arial" w:hAnsi="Arial" w:cs="Arial"/>
                <w:spacing w:val="20"/>
              </w:rPr>
            </w:pPr>
            <w:r w:rsidRPr="000D36C4">
              <w:rPr>
                <w:rFonts w:ascii="Arial" w:hAnsi="Arial" w:cs="Arial"/>
                <w:spacing w:val="20"/>
              </w:rPr>
              <w:t xml:space="preserve">Após o </w:t>
            </w:r>
            <w:r w:rsidR="00346F23">
              <w:rPr>
                <w:rFonts w:ascii="Arial" w:hAnsi="Arial" w:cs="Arial"/>
                <w:spacing w:val="20"/>
              </w:rPr>
              <w:t xml:space="preserve">breve </w:t>
            </w:r>
            <w:r w:rsidRPr="000D36C4">
              <w:rPr>
                <w:rFonts w:ascii="Arial" w:hAnsi="Arial" w:cs="Arial"/>
                <w:spacing w:val="20"/>
              </w:rPr>
              <w:t xml:space="preserve">estudo, concluímos pela validade da cumulatividade das sanções de multa com outra sanção. Todavia, para verificarmos a validade da declaração de inidoneidade, deveríamos colher mais informações sobre o caso concreto, como se deu a greve, se a greve era evitável, se a contratada poderia de alguma forma cumprir com a entrega dos medicamentos, entre outros. </w:t>
            </w:r>
          </w:p>
          <w:p w:rsidR="002F3CA8" w:rsidRPr="000D36C4" w:rsidRDefault="002F3CA8" w:rsidP="00046129">
            <w:pPr>
              <w:autoSpaceDE w:val="0"/>
              <w:autoSpaceDN w:val="0"/>
              <w:adjustRightInd w:val="0"/>
              <w:spacing w:before="240" w:after="120" w:line="360" w:lineRule="auto"/>
              <w:rPr>
                <w:rFonts w:ascii="Arial" w:hAnsi="Arial" w:cs="Arial"/>
                <w:spacing w:val="20"/>
              </w:rPr>
            </w:pPr>
          </w:p>
        </w:tc>
      </w:tr>
      <w:tr w:rsidR="002F3CA8" w:rsidRPr="000D36C4" w:rsidTr="004837C1">
        <w:trPr>
          <w:jc w:val="center"/>
        </w:trPr>
        <w:tc>
          <w:tcPr>
            <w:tcW w:w="8645" w:type="dxa"/>
            <w:noWrap/>
          </w:tcPr>
          <w:p w:rsidR="002F3CA8" w:rsidRPr="00346F23" w:rsidRDefault="00346F23" w:rsidP="00046129">
            <w:pPr>
              <w:shd w:val="clear" w:color="auto" w:fill="E0E0E0"/>
              <w:autoSpaceDE w:val="0"/>
              <w:autoSpaceDN w:val="0"/>
              <w:adjustRightInd w:val="0"/>
              <w:spacing w:before="240" w:after="120" w:line="360" w:lineRule="auto"/>
              <w:rPr>
                <w:rFonts w:ascii="Arial" w:hAnsi="Arial" w:cs="Arial"/>
                <w:b/>
                <w:spacing w:val="20"/>
              </w:rPr>
            </w:pPr>
            <w:bookmarkStart w:id="0" w:name="_GoBack"/>
            <w:r w:rsidRPr="00346F23">
              <w:rPr>
                <w:rFonts w:ascii="Arial" w:hAnsi="Arial" w:cs="Arial"/>
                <w:b/>
                <w:spacing w:val="20"/>
              </w:rPr>
              <w:t xml:space="preserve">VI - </w:t>
            </w:r>
            <w:r w:rsidR="002F3CA8" w:rsidRPr="00346F23">
              <w:rPr>
                <w:rFonts w:ascii="Arial" w:hAnsi="Arial" w:cs="Arial"/>
                <w:b/>
                <w:spacing w:val="20"/>
              </w:rPr>
              <w:t>Referências bibliográficas</w:t>
            </w:r>
          </w:p>
          <w:bookmarkEnd w:id="0"/>
          <w:p w:rsidR="002F3CA8" w:rsidRPr="000D36C4" w:rsidRDefault="002F3CA8" w:rsidP="00046129">
            <w:pPr>
              <w:autoSpaceDE w:val="0"/>
              <w:autoSpaceDN w:val="0"/>
              <w:adjustRightInd w:val="0"/>
              <w:spacing w:before="240" w:after="120" w:line="360" w:lineRule="auto"/>
              <w:rPr>
                <w:rFonts w:ascii="Arial" w:hAnsi="Arial" w:cs="Arial"/>
                <w:spacing w:val="20"/>
              </w:rPr>
            </w:pPr>
          </w:p>
          <w:p w:rsidR="002F3CA8" w:rsidRPr="000D36C4" w:rsidRDefault="002F3CA8" w:rsidP="00046129">
            <w:pPr>
              <w:autoSpaceDE w:val="0"/>
              <w:autoSpaceDN w:val="0"/>
              <w:adjustRightInd w:val="0"/>
              <w:spacing w:before="240" w:after="120" w:line="360" w:lineRule="auto"/>
              <w:rPr>
                <w:rFonts w:ascii="Arial" w:hAnsi="Arial" w:cs="Arial"/>
                <w:spacing w:val="20"/>
              </w:rPr>
            </w:pPr>
            <w:r w:rsidRPr="000D36C4">
              <w:rPr>
                <w:rFonts w:ascii="Arial" w:hAnsi="Arial" w:cs="Arial"/>
                <w:spacing w:val="20"/>
              </w:rPr>
              <w:t xml:space="preserve">DI PIETRO, Maria Sylvia Zanella. Doutrinas </w:t>
            </w:r>
            <w:proofErr w:type="gramStart"/>
            <w:r w:rsidRPr="000D36C4">
              <w:rPr>
                <w:rFonts w:ascii="Arial" w:hAnsi="Arial" w:cs="Arial"/>
                <w:spacing w:val="20"/>
              </w:rPr>
              <w:t xml:space="preserve">Essenciais, </w:t>
            </w:r>
            <w:r w:rsidRPr="000D36C4">
              <w:rPr>
                <w:rFonts w:ascii="Arial" w:hAnsi="Arial" w:cs="Arial"/>
                <w:i/>
                <w:iCs/>
                <w:spacing w:val="20"/>
              </w:rPr>
              <w:t>Direito Administrativo</w:t>
            </w:r>
            <w:proofErr w:type="gramEnd"/>
            <w:r w:rsidRPr="000D36C4">
              <w:rPr>
                <w:rFonts w:ascii="Arial" w:hAnsi="Arial" w:cs="Arial"/>
                <w:spacing w:val="20"/>
              </w:rPr>
              <w:t xml:space="preserve">, São Paulo: Revista dos Tribunais: 2013, </w:t>
            </w:r>
          </w:p>
          <w:p w:rsidR="002F3CA8" w:rsidRPr="000D36C4" w:rsidRDefault="002F3CA8" w:rsidP="00046129">
            <w:pPr>
              <w:autoSpaceDE w:val="0"/>
              <w:autoSpaceDN w:val="0"/>
              <w:adjustRightInd w:val="0"/>
              <w:spacing w:before="240" w:after="120" w:line="360" w:lineRule="auto"/>
              <w:rPr>
                <w:rFonts w:ascii="Arial" w:hAnsi="Arial" w:cs="Arial"/>
                <w:spacing w:val="20"/>
              </w:rPr>
            </w:pPr>
          </w:p>
          <w:p w:rsidR="002F3CA8" w:rsidRPr="000D36C4" w:rsidRDefault="002F3CA8" w:rsidP="00046129">
            <w:pPr>
              <w:autoSpaceDE w:val="0"/>
              <w:autoSpaceDN w:val="0"/>
              <w:adjustRightInd w:val="0"/>
              <w:spacing w:before="240" w:after="120" w:line="360" w:lineRule="auto"/>
              <w:rPr>
                <w:rFonts w:ascii="Arial" w:hAnsi="Arial" w:cs="Arial"/>
                <w:spacing w:val="20"/>
              </w:rPr>
            </w:pPr>
            <w:r w:rsidRPr="000D36C4">
              <w:rPr>
                <w:rFonts w:ascii="Arial" w:hAnsi="Arial" w:cs="Arial"/>
                <w:spacing w:val="20"/>
              </w:rPr>
              <w:t xml:space="preserve">MEIRELLES, Hely Lopes. </w:t>
            </w:r>
            <w:r w:rsidRPr="000D36C4">
              <w:rPr>
                <w:rFonts w:ascii="Arial" w:hAnsi="Arial" w:cs="Arial"/>
                <w:i/>
                <w:iCs/>
                <w:spacing w:val="20"/>
              </w:rPr>
              <w:t>Direito Administrativo Brasileiro</w:t>
            </w:r>
            <w:r w:rsidRPr="000D36C4">
              <w:rPr>
                <w:rFonts w:ascii="Arial" w:hAnsi="Arial" w:cs="Arial"/>
                <w:spacing w:val="20"/>
              </w:rPr>
              <w:t xml:space="preserve">. 25. </w:t>
            </w:r>
            <w:proofErr w:type="gramStart"/>
            <w:r w:rsidRPr="000D36C4">
              <w:rPr>
                <w:rFonts w:ascii="Arial" w:hAnsi="Arial" w:cs="Arial"/>
                <w:spacing w:val="20"/>
              </w:rPr>
              <w:t>ed.</w:t>
            </w:r>
            <w:proofErr w:type="gramEnd"/>
            <w:r w:rsidRPr="000D36C4">
              <w:rPr>
                <w:rFonts w:ascii="Arial" w:hAnsi="Arial" w:cs="Arial"/>
                <w:spacing w:val="20"/>
              </w:rPr>
              <w:t xml:space="preserve"> atual. São Paulo: Malheiros, 2000.</w:t>
            </w:r>
          </w:p>
          <w:p w:rsidR="002F3CA8" w:rsidRPr="000D36C4" w:rsidRDefault="002F3CA8" w:rsidP="00046129">
            <w:pPr>
              <w:autoSpaceDE w:val="0"/>
              <w:autoSpaceDN w:val="0"/>
              <w:adjustRightInd w:val="0"/>
              <w:spacing w:before="240" w:after="120" w:line="360" w:lineRule="auto"/>
              <w:rPr>
                <w:rFonts w:ascii="Arial" w:hAnsi="Arial" w:cs="Arial"/>
                <w:spacing w:val="20"/>
              </w:rPr>
            </w:pPr>
          </w:p>
          <w:p w:rsidR="002F3CA8" w:rsidRPr="000D36C4" w:rsidRDefault="002F3CA8" w:rsidP="00046129">
            <w:pPr>
              <w:autoSpaceDE w:val="0"/>
              <w:autoSpaceDN w:val="0"/>
              <w:adjustRightInd w:val="0"/>
              <w:spacing w:before="240" w:after="120" w:line="360" w:lineRule="auto"/>
              <w:rPr>
                <w:rFonts w:ascii="Arial" w:hAnsi="Arial" w:cs="Arial"/>
                <w:spacing w:val="20"/>
              </w:rPr>
            </w:pPr>
            <w:r w:rsidRPr="000D36C4">
              <w:rPr>
                <w:rFonts w:ascii="Arial" w:hAnsi="Arial" w:cs="Arial"/>
                <w:spacing w:val="20"/>
              </w:rPr>
              <w:t xml:space="preserve">MELLO, Celso Antônio Bandeira de. </w:t>
            </w:r>
            <w:r w:rsidRPr="000D36C4">
              <w:rPr>
                <w:rFonts w:ascii="Arial" w:hAnsi="Arial" w:cs="Arial"/>
                <w:i/>
                <w:iCs/>
                <w:spacing w:val="20"/>
              </w:rPr>
              <w:t>Curso de Direito Administrativo</w:t>
            </w:r>
            <w:r w:rsidRPr="000D36C4">
              <w:rPr>
                <w:rFonts w:ascii="Arial" w:hAnsi="Arial" w:cs="Arial"/>
                <w:spacing w:val="20"/>
              </w:rPr>
              <w:t xml:space="preserve">. 17. </w:t>
            </w:r>
            <w:proofErr w:type="gramStart"/>
            <w:r w:rsidRPr="000D36C4">
              <w:rPr>
                <w:rFonts w:ascii="Arial" w:hAnsi="Arial" w:cs="Arial"/>
                <w:spacing w:val="20"/>
              </w:rPr>
              <w:t>ed.</w:t>
            </w:r>
            <w:proofErr w:type="gramEnd"/>
            <w:r w:rsidRPr="000D36C4">
              <w:rPr>
                <w:rFonts w:ascii="Arial" w:hAnsi="Arial" w:cs="Arial"/>
                <w:spacing w:val="20"/>
              </w:rPr>
              <w:t xml:space="preserve"> rev. e atual. São Paulo: Malheiros, 2004.</w:t>
            </w:r>
          </w:p>
          <w:p w:rsidR="002F3CA8" w:rsidRPr="000D36C4" w:rsidRDefault="002F3CA8" w:rsidP="00046129">
            <w:pPr>
              <w:autoSpaceDE w:val="0"/>
              <w:autoSpaceDN w:val="0"/>
              <w:adjustRightInd w:val="0"/>
              <w:spacing w:before="240" w:after="120" w:line="360" w:lineRule="auto"/>
              <w:rPr>
                <w:rFonts w:ascii="Arial" w:hAnsi="Arial" w:cs="Arial"/>
                <w:spacing w:val="20"/>
              </w:rPr>
            </w:pPr>
          </w:p>
          <w:p w:rsidR="002F3CA8" w:rsidRPr="000D36C4" w:rsidRDefault="002F3CA8" w:rsidP="00046129">
            <w:pPr>
              <w:autoSpaceDE w:val="0"/>
              <w:autoSpaceDN w:val="0"/>
              <w:adjustRightInd w:val="0"/>
              <w:spacing w:before="240" w:after="120" w:line="360" w:lineRule="auto"/>
              <w:rPr>
                <w:rFonts w:ascii="Arial" w:hAnsi="Arial" w:cs="Arial"/>
                <w:spacing w:val="20"/>
              </w:rPr>
            </w:pPr>
          </w:p>
          <w:p w:rsidR="002F3CA8" w:rsidRPr="000D36C4" w:rsidRDefault="002F3CA8" w:rsidP="00046129">
            <w:pPr>
              <w:autoSpaceDE w:val="0"/>
              <w:autoSpaceDN w:val="0"/>
              <w:adjustRightInd w:val="0"/>
              <w:spacing w:before="240" w:after="120" w:line="360" w:lineRule="auto"/>
              <w:rPr>
                <w:rFonts w:ascii="Arial" w:hAnsi="Arial" w:cs="Arial"/>
                <w:spacing w:val="20"/>
              </w:rPr>
            </w:pPr>
          </w:p>
        </w:tc>
      </w:tr>
    </w:tbl>
    <w:p w:rsidR="004837C1" w:rsidRPr="000D36C4" w:rsidRDefault="004837C1" w:rsidP="00046129">
      <w:pPr>
        <w:spacing w:before="240" w:after="120" w:line="360" w:lineRule="auto"/>
        <w:rPr>
          <w:rFonts w:ascii="Arial" w:hAnsi="Arial" w:cs="Arial"/>
          <w:spacing w:val="20"/>
        </w:rPr>
      </w:pPr>
    </w:p>
    <w:sectPr w:rsidR="004837C1" w:rsidRPr="000D36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D11" w:rsidRDefault="00A87D11" w:rsidP="00A87D11">
      <w:r>
        <w:separator/>
      </w:r>
    </w:p>
  </w:endnote>
  <w:endnote w:type="continuationSeparator" w:id="0">
    <w:p w:rsidR="00A87D11" w:rsidRDefault="00A87D11" w:rsidP="00A8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D11" w:rsidRDefault="00A87D11" w:rsidP="00A87D11">
      <w:r>
        <w:separator/>
      </w:r>
    </w:p>
  </w:footnote>
  <w:footnote w:type="continuationSeparator" w:id="0">
    <w:p w:rsidR="00A87D11" w:rsidRDefault="00A87D11" w:rsidP="00A87D11">
      <w:r>
        <w:continuationSeparator/>
      </w:r>
    </w:p>
  </w:footnote>
  <w:footnote w:id="1">
    <w:p w:rsidR="00A87D11" w:rsidRPr="009654C1" w:rsidRDefault="00A87D11" w:rsidP="00A87D11">
      <w:pPr>
        <w:pStyle w:val="Textodenotaderodap"/>
        <w:jc w:val="both"/>
        <w:rPr>
          <w:rFonts w:ascii="Arial" w:hAnsi="Arial" w:cs="Arial"/>
        </w:rPr>
      </w:pPr>
      <w:r w:rsidRPr="009654C1">
        <w:rPr>
          <w:rStyle w:val="Refdenotaderodap"/>
          <w:rFonts w:ascii="Arial" w:hAnsi="Arial" w:cs="Arial"/>
        </w:rPr>
        <w:footnoteRef/>
      </w:r>
      <w:r w:rsidRPr="009654C1">
        <w:rPr>
          <w:rFonts w:ascii="Arial" w:hAnsi="Arial" w:cs="Arial"/>
        </w:rPr>
        <w:t xml:space="preserve"> Mestrando em Direito do Trabalho pela Pontifícia Universidade Católica de São Paulo; Especialista em Direito Contratual pela Pontifícia Universidade Católica de São Paulo; Graduado em Direito pelas Faculdades Metropolitanas Unidas; Advogado em São Paulo.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C1"/>
    <w:rsid w:val="00046129"/>
    <w:rsid w:val="000D36C4"/>
    <w:rsid w:val="000E454A"/>
    <w:rsid w:val="001B4B7B"/>
    <w:rsid w:val="0025092B"/>
    <w:rsid w:val="002F3CA8"/>
    <w:rsid w:val="00346F23"/>
    <w:rsid w:val="004837C1"/>
    <w:rsid w:val="006B296A"/>
    <w:rsid w:val="008131FB"/>
    <w:rsid w:val="009654C1"/>
    <w:rsid w:val="00973BA1"/>
    <w:rsid w:val="00A87D11"/>
    <w:rsid w:val="00AA00AC"/>
    <w:rsid w:val="00AF4320"/>
    <w:rsid w:val="00B550CE"/>
    <w:rsid w:val="00BA5783"/>
    <w:rsid w:val="00F577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C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dentificao">
    <w:name w:val="Identificação"/>
    <w:uiPriority w:val="99"/>
    <w:rsid w:val="00B550CE"/>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denotaderodap">
    <w:name w:val="footnote text"/>
    <w:basedOn w:val="Normal"/>
    <w:link w:val="TextodenotaderodapChar"/>
    <w:semiHidden/>
    <w:rsid w:val="00A87D11"/>
    <w:rPr>
      <w:sz w:val="20"/>
      <w:szCs w:val="20"/>
    </w:rPr>
  </w:style>
  <w:style w:type="character" w:customStyle="1" w:styleId="TextodenotaderodapChar">
    <w:name w:val="Texto de nota de rodapé Char"/>
    <w:basedOn w:val="Fontepargpadro"/>
    <w:link w:val="Textodenotaderodap"/>
    <w:semiHidden/>
    <w:rsid w:val="00A87D1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A87D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C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dentificao">
    <w:name w:val="Identificação"/>
    <w:uiPriority w:val="99"/>
    <w:rsid w:val="00B550CE"/>
    <w:pPr>
      <w:widowControl w:val="0"/>
      <w:autoSpaceDE w:val="0"/>
      <w:autoSpaceDN w:val="0"/>
      <w:adjustRightInd w:val="0"/>
      <w:spacing w:after="0" w:line="240" w:lineRule="auto"/>
      <w:jc w:val="both"/>
    </w:pPr>
    <w:rPr>
      <w:rFonts w:ascii="Courier New" w:eastAsia="Times New Roman" w:hAnsi="Courier New" w:cs="Courier New"/>
      <w:color w:val="000000"/>
      <w:sz w:val="24"/>
      <w:szCs w:val="24"/>
      <w:lang w:eastAsia="pt-BR"/>
    </w:rPr>
  </w:style>
  <w:style w:type="paragraph" w:styleId="Textodenotaderodap">
    <w:name w:val="footnote text"/>
    <w:basedOn w:val="Normal"/>
    <w:link w:val="TextodenotaderodapChar"/>
    <w:semiHidden/>
    <w:rsid w:val="00A87D11"/>
    <w:rPr>
      <w:sz w:val="20"/>
      <w:szCs w:val="20"/>
    </w:rPr>
  </w:style>
  <w:style w:type="character" w:customStyle="1" w:styleId="TextodenotaderodapChar">
    <w:name w:val="Texto de nota de rodapé Char"/>
    <w:basedOn w:val="Fontepargpadro"/>
    <w:link w:val="Textodenotaderodap"/>
    <w:semiHidden/>
    <w:rsid w:val="00A87D1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A87D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1220</Words>
  <Characters>6592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Arthur</cp:lastModifiedBy>
  <cp:revision>4</cp:revision>
  <dcterms:created xsi:type="dcterms:W3CDTF">2016-03-02T22:30:00Z</dcterms:created>
  <dcterms:modified xsi:type="dcterms:W3CDTF">2016-03-02T23:20:00Z</dcterms:modified>
</cp:coreProperties>
</file>